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D16211C" w14:textId="1807CBF9" w:rsidR="000C3274" w:rsidRPr="00601B12" w:rsidRDefault="003F79FB" w:rsidP="000C3274">
      <w:pPr>
        <w:ind w:left="720"/>
        <w:jc w:val="both"/>
        <w:rPr>
          <w:rFonts w:ascii="Arial" w:hAnsi="Arial" w:cs="Arial"/>
          <w:b/>
          <w:sz w:val="32"/>
          <w:szCs w:val="32"/>
        </w:rPr>
      </w:pPr>
      <w:r w:rsidRPr="009248B5">
        <w:rPr>
          <w:rFonts w:ascii="Arial" w:hAnsi="Arial" w:cs="Arial"/>
          <w:b/>
          <w:sz w:val="32"/>
          <w:szCs w:val="32"/>
        </w:rPr>
        <w:tab/>
      </w:r>
    </w:p>
    <w:p w14:paraId="6D16211D" w14:textId="3889DADA" w:rsidR="00C41C82" w:rsidRPr="00601B12" w:rsidRDefault="005E2371" w:rsidP="005E2371">
      <w:pPr>
        <w:autoSpaceDE w:val="0"/>
        <w:autoSpaceDN w:val="0"/>
        <w:adjustRightInd w:val="0"/>
        <w:ind w:left="1276"/>
        <w:rPr>
          <w:rFonts w:ascii="Arial" w:hAnsi="Arial" w:cs="Arial"/>
          <w:b/>
          <w:bCs/>
          <w:color w:val="A60021"/>
          <w:sz w:val="40"/>
          <w:szCs w:val="40"/>
        </w:rPr>
      </w:pPr>
      <w:r w:rsidRPr="00E35F96">
        <w:rPr>
          <w:rFonts w:ascii="Arial" w:hAnsi="Arial" w:cs="Arial"/>
          <w:noProof/>
          <w:color w:val="0000FF"/>
        </w:rPr>
        <w:drawing>
          <wp:inline distT="0" distB="0" distL="0" distR="0" wp14:anchorId="6D16406C" wp14:editId="6D16406D">
            <wp:extent cx="4330700" cy="2165350"/>
            <wp:effectExtent l="0" t="0" r="0" b="0"/>
            <wp:docPr id="6" name="Picture 6" descr="Image result for london borough of barking and dagenham logo">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london borough of barking and dagenham logo">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30700" cy="2165350"/>
                    </a:xfrm>
                    <a:prstGeom prst="rect">
                      <a:avLst/>
                    </a:prstGeom>
                    <a:noFill/>
                    <a:ln>
                      <a:noFill/>
                    </a:ln>
                  </pic:spPr>
                </pic:pic>
              </a:graphicData>
            </a:graphic>
          </wp:inline>
        </w:drawing>
      </w:r>
    </w:p>
    <w:p w14:paraId="6D16211E" w14:textId="77777777" w:rsidR="008E19A3" w:rsidRPr="00601B12" w:rsidRDefault="008E19A3" w:rsidP="00C41C82">
      <w:pPr>
        <w:autoSpaceDE w:val="0"/>
        <w:autoSpaceDN w:val="0"/>
        <w:adjustRightInd w:val="0"/>
        <w:rPr>
          <w:rFonts w:ascii="Arial" w:hAnsi="Arial" w:cs="Arial"/>
          <w:b/>
          <w:bCs/>
          <w:color w:val="A60021"/>
          <w:sz w:val="40"/>
          <w:szCs w:val="40"/>
        </w:rPr>
      </w:pPr>
    </w:p>
    <w:p w14:paraId="6D16211F" w14:textId="77777777" w:rsidR="005E2371" w:rsidRPr="00601B12" w:rsidRDefault="005E2371" w:rsidP="00C41C82">
      <w:pPr>
        <w:autoSpaceDE w:val="0"/>
        <w:autoSpaceDN w:val="0"/>
        <w:adjustRightInd w:val="0"/>
        <w:rPr>
          <w:rFonts w:ascii="Arial" w:hAnsi="Arial" w:cs="Arial"/>
          <w:b/>
          <w:bCs/>
          <w:color w:val="A60021"/>
          <w:sz w:val="40"/>
          <w:szCs w:val="40"/>
        </w:rPr>
      </w:pPr>
    </w:p>
    <w:p w14:paraId="6D162120" w14:textId="56A84C94" w:rsidR="00C41C82" w:rsidRPr="00601B12" w:rsidRDefault="00683263" w:rsidP="00C41C82">
      <w:pPr>
        <w:autoSpaceDE w:val="0"/>
        <w:autoSpaceDN w:val="0"/>
        <w:adjustRightInd w:val="0"/>
        <w:jc w:val="center"/>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pPr>
      <w:r>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t xml:space="preserve">DRAFT </w:t>
      </w:r>
      <w:r w:rsidR="00C41C82" w:rsidRPr="00601B12">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t>PENSION FUND</w:t>
      </w:r>
      <w:r w:rsidR="008E19A3" w:rsidRPr="00601B12">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t xml:space="preserve"> </w:t>
      </w:r>
      <w:r w:rsidR="00C41C82" w:rsidRPr="00601B12">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t>ANNUAL REPORT</w:t>
      </w:r>
    </w:p>
    <w:p w14:paraId="6D162121" w14:textId="72869528" w:rsidR="00C41C82" w:rsidRPr="00601B12" w:rsidRDefault="004055C2" w:rsidP="008E19A3">
      <w:pPr>
        <w:autoSpaceDE w:val="0"/>
        <w:autoSpaceDN w:val="0"/>
        <w:adjustRightInd w:val="0"/>
        <w:jc w:val="center"/>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pPr>
      <w:r>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t>202</w:t>
      </w:r>
      <w:r w:rsidR="00096B14">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t>1</w:t>
      </w:r>
      <w:r>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t>-2</w:t>
      </w:r>
      <w:r w:rsidR="00096B14">
        <w:rPr>
          <w:rFonts w:ascii="Arial" w:hAnsi="Arial" w:cs="Arial"/>
          <w:b/>
          <w:bCs/>
          <w:caps/>
          <w:color w:val="C00000"/>
          <w:sz w:val="48"/>
          <w:szCs w:val="48"/>
          <w14:shadow w14:blurRad="0" w14:dist="25400" w14:dir="13500000" w14:sx="0" w14:sy="0" w14:kx="0" w14:ky="0" w14:algn="none">
            <w14:srgbClr w14:val="000000">
              <w14:alpha w14:val="50000"/>
            </w14:srgbClr>
          </w14:shadow>
          <w14:textOutline w14:w="9525" w14:cap="flat" w14:cmpd="sng" w14:algn="ctr">
            <w14:solidFill>
              <w14:schemeClr w14:val="tx1">
                <w14:alpha w14:val="100000"/>
              </w14:schemeClr>
            </w14:solidFill>
            <w14:prstDash w14:val="solid"/>
            <w14:round/>
          </w14:textOutline>
        </w:rPr>
        <w:t>2</w:t>
      </w:r>
    </w:p>
    <w:p w14:paraId="6D162122" w14:textId="77777777" w:rsidR="00FD433D" w:rsidRPr="00601B12" w:rsidRDefault="00FD433D" w:rsidP="008E19A3">
      <w:pPr>
        <w:autoSpaceDE w:val="0"/>
        <w:autoSpaceDN w:val="0"/>
        <w:adjustRightInd w:val="0"/>
        <w:jc w:val="center"/>
        <w:rPr>
          <w:rFonts w:ascii="Arial" w:hAnsi="Arial" w:cs="Arial"/>
          <w:b/>
          <w:bCs/>
          <w:color w:val="A60021"/>
          <w:sz w:val="48"/>
          <w:szCs w:val="48"/>
        </w:rPr>
      </w:pPr>
    </w:p>
    <w:p w14:paraId="6D162123" w14:textId="77777777" w:rsidR="00C41C82" w:rsidRPr="00601B12" w:rsidRDefault="00CA45FB" w:rsidP="00872169">
      <w:pPr>
        <w:jc w:val="center"/>
        <w:rPr>
          <w:rFonts w:ascii="Arial" w:hAnsi="Arial" w:cs="Arial"/>
          <w:b/>
          <w:bCs/>
          <w:color w:val="000000" w:themeColor="text1"/>
          <w:sz w:val="28"/>
          <w:szCs w:val="28"/>
          <w:u w:val="single"/>
        </w:rPr>
      </w:pPr>
      <w:r w:rsidRPr="00E35F96">
        <w:rPr>
          <w:rFonts w:ascii="Arial" w:hAnsi="Arial" w:cs="Arial"/>
          <w:noProof/>
          <w:color w:val="0000FF"/>
        </w:rPr>
        <w:drawing>
          <wp:inline distT="0" distB="0" distL="0" distR="0" wp14:anchorId="6D16406E" wp14:editId="6D16406F">
            <wp:extent cx="3924300" cy="3452125"/>
            <wp:effectExtent l="247650" t="247650" r="228600" b="224790"/>
            <wp:docPr id="10" name="Picture 10" descr="Image result for barking and dagenham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arking and dagenham logo">
                      <a:hlinkClick r:id="rId15"/>
                    </pic:cNvPr>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3939526" cy="3465519"/>
                    </a:xfrm>
                    <a:prstGeom prst="rect">
                      <a:avLst/>
                    </a:prstGeom>
                    <a:noFill/>
                    <a:ln>
                      <a:noFill/>
                    </a:ln>
                    <a:effectLst>
                      <a:glow rad="228600">
                        <a:schemeClr val="bg1">
                          <a:alpha val="85000"/>
                        </a:schemeClr>
                      </a:glow>
                      <a:outerShdw blurRad="1003300" sx="113000" sy="113000" algn="ctr" rotWithShape="0">
                        <a:schemeClr val="bg1">
                          <a:alpha val="0"/>
                        </a:schemeClr>
                      </a:outerShdw>
                    </a:effectLst>
                  </pic:spPr>
                </pic:pic>
              </a:graphicData>
            </a:graphic>
          </wp:inline>
        </w:drawing>
      </w:r>
      <w:r w:rsidR="00C41C82" w:rsidRPr="00601B12">
        <w:rPr>
          <w:rFonts w:ascii="Arial" w:hAnsi="Arial" w:cs="Arial"/>
          <w:b/>
          <w:bCs/>
          <w:color w:val="A60021"/>
          <w:sz w:val="36"/>
          <w:szCs w:val="36"/>
        </w:rPr>
        <w:br w:type="page"/>
      </w:r>
      <w:r w:rsidR="00C41C82" w:rsidRPr="00E35F96">
        <w:rPr>
          <w:rFonts w:ascii="Arial" w:hAnsi="Arial" w:cs="Arial"/>
          <w:b/>
          <w:bCs/>
          <w:noProof/>
          <w:color w:val="0070C0"/>
          <w:sz w:val="28"/>
          <w:szCs w:val="28"/>
        </w:rPr>
        <w:lastRenderedPageBreak/>
        <w:drawing>
          <wp:anchor distT="0" distB="0" distL="114300" distR="114300" simplePos="0" relativeHeight="251658240" behindDoc="0" locked="1" layoutInCell="1" allowOverlap="1" wp14:anchorId="6D164070" wp14:editId="6D164071">
            <wp:simplePos x="0" y="0"/>
            <wp:positionH relativeFrom="character">
              <wp:posOffset>-1657350</wp:posOffset>
            </wp:positionH>
            <wp:positionV relativeFrom="line">
              <wp:posOffset>-6581775</wp:posOffset>
            </wp:positionV>
            <wp:extent cx="5534025" cy="2190750"/>
            <wp:effectExtent l="19050" t="0" r="9525" b="0"/>
            <wp:wrapNone/>
            <wp:docPr id="2" name="Picture 2" descr="B&amp;D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D LOGO sml"/>
                    <pic:cNvPicPr>
                      <a:picLocks noChangeAspect="1" noChangeArrowheads="1"/>
                    </pic:cNvPicPr>
                  </pic:nvPicPr>
                  <pic:blipFill>
                    <a:blip r:embed="rId18" cstate="print"/>
                    <a:srcRect/>
                    <a:stretch>
                      <a:fillRect/>
                    </a:stretch>
                  </pic:blipFill>
                  <pic:spPr bwMode="auto">
                    <a:xfrm>
                      <a:off x="0" y="0"/>
                      <a:ext cx="5534025" cy="2190750"/>
                    </a:xfrm>
                    <a:prstGeom prst="rect">
                      <a:avLst/>
                    </a:prstGeom>
                    <a:noFill/>
                  </pic:spPr>
                </pic:pic>
              </a:graphicData>
            </a:graphic>
          </wp:anchor>
        </w:drawing>
      </w:r>
      <w:r w:rsidR="00C41C82" w:rsidRPr="00C30123">
        <w:rPr>
          <w:rFonts w:ascii="Arial" w:hAnsi="Arial" w:cs="Arial"/>
          <w:b/>
          <w:bCs/>
          <w:color w:val="0070C0"/>
          <w:sz w:val="28"/>
          <w:szCs w:val="28"/>
          <w:u w:val="single"/>
        </w:rPr>
        <w:t>Contents</w:t>
      </w:r>
    </w:p>
    <w:p w14:paraId="6D162124" w14:textId="77777777" w:rsidR="00C41C82" w:rsidRPr="00601B12" w:rsidRDefault="00C41C82" w:rsidP="00C41C82">
      <w:pPr>
        <w:autoSpaceDE w:val="0"/>
        <w:autoSpaceDN w:val="0"/>
        <w:adjustRightInd w:val="0"/>
        <w:rPr>
          <w:rFonts w:ascii="Arial" w:hAnsi="Arial" w:cs="Arial"/>
          <w:b/>
          <w:bCs/>
          <w:color w:val="A60021"/>
          <w:sz w:val="22"/>
          <w:szCs w:val="22"/>
        </w:rPr>
      </w:pPr>
      <w:r w:rsidRPr="00601B12">
        <w:rPr>
          <w:rFonts w:ascii="Arial" w:hAnsi="Arial" w:cs="Arial"/>
          <w:b/>
          <w:bCs/>
          <w:color w:val="A60021"/>
          <w:sz w:val="22"/>
          <w:szCs w:val="22"/>
        </w:rPr>
        <w:tab/>
      </w:r>
      <w:r w:rsidRPr="00601B12">
        <w:rPr>
          <w:rFonts w:ascii="Arial" w:hAnsi="Arial" w:cs="Arial"/>
          <w:b/>
          <w:bCs/>
          <w:color w:val="A60021"/>
          <w:sz w:val="22"/>
          <w:szCs w:val="22"/>
        </w:rPr>
        <w:tab/>
      </w:r>
      <w:r w:rsidRPr="00601B12">
        <w:rPr>
          <w:rFonts w:ascii="Arial" w:hAnsi="Arial" w:cs="Arial"/>
          <w:b/>
          <w:bCs/>
          <w:color w:val="A60021"/>
          <w:sz w:val="22"/>
          <w:szCs w:val="22"/>
        </w:rPr>
        <w:tab/>
      </w:r>
      <w:r w:rsidRPr="00601B12">
        <w:rPr>
          <w:rFonts w:ascii="Arial" w:hAnsi="Arial" w:cs="Arial"/>
          <w:b/>
          <w:bCs/>
          <w:color w:val="A60021"/>
          <w:sz w:val="22"/>
          <w:szCs w:val="22"/>
        </w:rPr>
        <w:tab/>
      </w:r>
      <w:r w:rsidRPr="00601B12">
        <w:rPr>
          <w:rFonts w:ascii="Arial" w:hAnsi="Arial" w:cs="Arial"/>
          <w:b/>
          <w:bCs/>
          <w:color w:val="A60021"/>
          <w:sz w:val="22"/>
          <w:szCs w:val="22"/>
        </w:rPr>
        <w:tab/>
      </w:r>
      <w:r w:rsidRPr="00601B12">
        <w:rPr>
          <w:rFonts w:ascii="Arial" w:hAnsi="Arial" w:cs="Arial"/>
          <w:b/>
          <w:bCs/>
          <w:color w:val="A60021"/>
          <w:sz w:val="22"/>
          <w:szCs w:val="22"/>
        </w:rPr>
        <w:tab/>
      </w:r>
      <w:r w:rsidRPr="00601B12">
        <w:rPr>
          <w:rFonts w:ascii="Arial" w:hAnsi="Arial" w:cs="Arial"/>
          <w:b/>
          <w:bCs/>
          <w:color w:val="A60021"/>
          <w:sz w:val="22"/>
          <w:szCs w:val="22"/>
        </w:rPr>
        <w:tab/>
      </w:r>
      <w:r w:rsidRPr="00601B12">
        <w:rPr>
          <w:rFonts w:ascii="Arial" w:hAnsi="Arial" w:cs="Arial"/>
          <w:b/>
          <w:bCs/>
          <w:color w:val="A60021"/>
          <w:sz w:val="22"/>
          <w:szCs w:val="22"/>
        </w:rPr>
        <w:tab/>
      </w:r>
    </w:p>
    <w:tbl>
      <w:tblPr>
        <w:tblStyle w:val="TableGrid"/>
        <w:tblW w:w="9680" w:type="dxa"/>
        <w:tblLook w:val="04A0" w:firstRow="1" w:lastRow="0" w:firstColumn="1" w:lastColumn="0" w:noHBand="0" w:noVBand="1"/>
      </w:tblPr>
      <w:tblGrid>
        <w:gridCol w:w="1579"/>
        <w:gridCol w:w="6740"/>
        <w:gridCol w:w="1361"/>
      </w:tblGrid>
      <w:tr w:rsidR="00F613D4" w:rsidRPr="00D54041" w14:paraId="0DD805DC" w14:textId="77777777" w:rsidTr="00A660AD">
        <w:trPr>
          <w:trHeight w:val="136"/>
        </w:trPr>
        <w:tc>
          <w:tcPr>
            <w:tcW w:w="0" w:type="auto"/>
          </w:tcPr>
          <w:p w14:paraId="783781DC" w14:textId="77777777" w:rsidR="00F613D4" w:rsidRPr="00D54041" w:rsidRDefault="00F613D4" w:rsidP="00A660AD">
            <w:pPr>
              <w:autoSpaceDE w:val="0"/>
              <w:autoSpaceDN w:val="0"/>
              <w:adjustRightInd w:val="0"/>
              <w:jc w:val="center"/>
              <w:rPr>
                <w:rFonts w:ascii="Arial" w:hAnsi="Arial" w:cs="Arial"/>
                <w:b/>
                <w:bCs/>
                <w:color w:val="FFFFFF" w:themeColor="background1"/>
              </w:rPr>
            </w:pPr>
            <w:bookmarkStart w:id="0" w:name="_Hlk15041801"/>
            <w:r w:rsidRPr="00D54041">
              <w:rPr>
                <w:rFonts w:ascii="Arial" w:hAnsi="Arial" w:cs="Arial"/>
                <w:b/>
                <w:bCs/>
                <w:color w:val="FFFFFF" w:themeColor="background1"/>
              </w:rPr>
              <w:t>Section</w:t>
            </w:r>
          </w:p>
        </w:tc>
        <w:tc>
          <w:tcPr>
            <w:tcW w:w="6740" w:type="dxa"/>
          </w:tcPr>
          <w:p w14:paraId="047DBD27" w14:textId="77777777" w:rsidR="00F613D4" w:rsidRPr="00D54041" w:rsidRDefault="00F613D4" w:rsidP="00A660AD">
            <w:pPr>
              <w:autoSpaceDE w:val="0"/>
              <w:autoSpaceDN w:val="0"/>
              <w:adjustRightInd w:val="0"/>
              <w:jc w:val="center"/>
              <w:rPr>
                <w:rFonts w:ascii="Arial" w:hAnsi="Arial" w:cs="Arial"/>
                <w:b/>
                <w:bCs/>
                <w:color w:val="FFFFFF" w:themeColor="background1"/>
              </w:rPr>
            </w:pPr>
            <w:r w:rsidRPr="00D54041">
              <w:rPr>
                <w:rFonts w:ascii="Arial" w:hAnsi="Arial" w:cs="Arial"/>
                <w:b/>
                <w:bCs/>
                <w:color w:val="FFFFFF" w:themeColor="background1"/>
              </w:rPr>
              <w:t>Subject</w:t>
            </w:r>
          </w:p>
        </w:tc>
        <w:tc>
          <w:tcPr>
            <w:tcW w:w="1361" w:type="dxa"/>
          </w:tcPr>
          <w:p w14:paraId="66CE27C1" w14:textId="77777777" w:rsidR="00F613D4" w:rsidRPr="00D54041" w:rsidRDefault="00F613D4" w:rsidP="00A660AD">
            <w:pPr>
              <w:autoSpaceDE w:val="0"/>
              <w:autoSpaceDN w:val="0"/>
              <w:adjustRightInd w:val="0"/>
              <w:jc w:val="center"/>
              <w:rPr>
                <w:rFonts w:ascii="Arial" w:hAnsi="Arial" w:cs="Arial"/>
                <w:b/>
                <w:bCs/>
                <w:color w:val="FFFFFF" w:themeColor="background1"/>
              </w:rPr>
            </w:pPr>
            <w:r w:rsidRPr="00D54041">
              <w:rPr>
                <w:rFonts w:ascii="Arial" w:hAnsi="Arial" w:cs="Arial"/>
                <w:b/>
                <w:bCs/>
                <w:color w:val="FFFFFF" w:themeColor="background1"/>
              </w:rPr>
              <w:t>Page</w:t>
            </w:r>
          </w:p>
        </w:tc>
      </w:tr>
      <w:tr w:rsidR="00F613D4" w:rsidRPr="00D54041" w14:paraId="015CE9DB" w14:textId="77777777" w:rsidTr="00A660AD">
        <w:trPr>
          <w:trHeight w:val="472"/>
        </w:trPr>
        <w:tc>
          <w:tcPr>
            <w:tcW w:w="0" w:type="auto"/>
          </w:tcPr>
          <w:p w14:paraId="33658E3B"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1.</w:t>
            </w:r>
          </w:p>
        </w:tc>
        <w:tc>
          <w:tcPr>
            <w:tcW w:w="6740" w:type="dxa"/>
          </w:tcPr>
          <w:p w14:paraId="5A0E47F2"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Executive Summary</w:t>
            </w:r>
          </w:p>
        </w:tc>
        <w:tc>
          <w:tcPr>
            <w:tcW w:w="1361" w:type="dxa"/>
          </w:tcPr>
          <w:p w14:paraId="70EAF8EF" w14:textId="77777777"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3-4</w:t>
            </w:r>
          </w:p>
        </w:tc>
      </w:tr>
      <w:tr w:rsidR="00F613D4" w:rsidRPr="00D54041" w14:paraId="3C8A0C17" w14:textId="77777777" w:rsidTr="00A660AD">
        <w:trPr>
          <w:trHeight w:val="368"/>
        </w:trPr>
        <w:tc>
          <w:tcPr>
            <w:tcW w:w="0" w:type="auto"/>
          </w:tcPr>
          <w:p w14:paraId="648421F1"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2.</w:t>
            </w:r>
          </w:p>
        </w:tc>
        <w:tc>
          <w:tcPr>
            <w:tcW w:w="6740" w:type="dxa"/>
          </w:tcPr>
          <w:p w14:paraId="3C16FAE9"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Fund Governance and Administration</w:t>
            </w:r>
          </w:p>
        </w:tc>
        <w:tc>
          <w:tcPr>
            <w:tcW w:w="1361" w:type="dxa"/>
          </w:tcPr>
          <w:p w14:paraId="58A49236" w14:textId="77777777"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5-7</w:t>
            </w:r>
          </w:p>
        </w:tc>
      </w:tr>
      <w:tr w:rsidR="00F613D4" w:rsidRPr="00D54041" w14:paraId="71C17022" w14:textId="77777777" w:rsidTr="00A660AD">
        <w:trPr>
          <w:trHeight w:val="415"/>
        </w:trPr>
        <w:tc>
          <w:tcPr>
            <w:tcW w:w="0" w:type="auto"/>
          </w:tcPr>
          <w:p w14:paraId="16FEAC78"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3.</w:t>
            </w:r>
          </w:p>
        </w:tc>
        <w:tc>
          <w:tcPr>
            <w:tcW w:w="6740" w:type="dxa"/>
          </w:tcPr>
          <w:p w14:paraId="432B3077"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Career Average Pension Scheme</w:t>
            </w:r>
          </w:p>
        </w:tc>
        <w:tc>
          <w:tcPr>
            <w:tcW w:w="1361" w:type="dxa"/>
          </w:tcPr>
          <w:p w14:paraId="6AEF19E6" w14:textId="77777777"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8-9</w:t>
            </w:r>
          </w:p>
        </w:tc>
      </w:tr>
      <w:tr w:rsidR="00F613D4" w:rsidRPr="00D54041" w14:paraId="15CBA238" w14:textId="77777777" w:rsidTr="00A660AD">
        <w:trPr>
          <w:trHeight w:val="415"/>
        </w:trPr>
        <w:tc>
          <w:tcPr>
            <w:tcW w:w="0" w:type="auto"/>
          </w:tcPr>
          <w:p w14:paraId="24F7B1A1"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4.</w:t>
            </w:r>
          </w:p>
        </w:tc>
        <w:tc>
          <w:tcPr>
            <w:tcW w:w="6740" w:type="dxa"/>
          </w:tcPr>
          <w:p w14:paraId="4D6628E8"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 xml:space="preserve">Pension Fund Management </w:t>
            </w:r>
          </w:p>
        </w:tc>
        <w:tc>
          <w:tcPr>
            <w:tcW w:w="1361" w:type="dxa"/>
          </w:tcPr>
          <w:p w14:paraId="633C27B1" w14:textId="77777777"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10-11</w:t>
            </w:r>
          </w:p>
        </w:tc>
      </w:tr>
      <w:tr w:rsidR="00F613D4" w:rsidRPr="00D54041" w14:paraId="207F80BE" w14:textId="77777777" w:rsidTr="00A660AD">
        <w:trPr>
          <w:trHeight w:val="415"/>
        </w:trPr>
        <w:tc>
          <w:tcPr>
            <w:tcW w:w="0" w:type="auto"/>
          </w:tcPr>
          <w:p w14:paraId="401B0DEB"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5.</w:t>
            </w:r>
          </w:p>
        </w:tc>
        <w:tc>
          <w:tcPr>
            <w:tcW w:w="6740" w:type="dxa"/>
          </w:tcPr>
          <w:p w14:paraId="68F1C676"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Investment Policy, Performance and Developments</w:t>
            </w:r>
          </w:p>
        </w:tc>
        <w:tc>
          <w:tcPr>
            <w:tcW w:w="1361" w:type="dxa"/>
          </w:tcPr>
          <w:p w14:paraId="1E5791C2" w14:textId="6AF2C972"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12-</w:t>
            </w:r>
            <w:r w:rsidR="00B8542C">
              <w:rPr>
                <w:rFonts w:ascii="Arial" w:hAnsi="Arial" w:cs="Arial"/>
                <w:b/>
                <w:bCs/>
                <w:color w:val="000000" w:themeColor="text1"/>
                <w:sz w:val="22"/>
                <w:szCs w:val="22"/>
              </w:rPr>
              <w:t>19</w:t>
            </w:r>
          </w:p>
        </w:tc>
      </w:tr>
      <w:tr w:rsidR="00F613D4" w:rsidRPr="00D54041" w14:paraId="6BBC1FCB" w14:textId="77777777" w:rsidTr="00A660AD">
        <w:trPr>
          <w:trHeight w:val="367"/>
        </w:trPr>
        <w:tc>
          <w:tcPr>
            <w:tcW w:w="0" w:type="auto"/>
          </w:tcPr>
          <w:p w14:paraId="567AB484"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6.</w:t>
            </w:r>
          </w:p>
        </w:tc>
        <w:tc>
          <w:tcPr>
            <w:tcW w:w="6740" w:type="dxa"/>
          </w:tcPr>
          <w:p w14:paraId="3C6C0E56"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Member Training and Development</w:t>
            </w:r>
          </w:p>
        </w:tc>
        <w:tc>
          <w:tcPr>
            <w:tcW w:w="1361" w:type="dxa"/>
          </w:tcPr>
          <w:p w14:paraId="186EBFAD" w14:textId="4E99C168" w:rsidR="00F613D4" w:rsidRPr="00D54041" w:rsidRDefault="00B8542C" w:rsidP="00A660AD">
            <w:pPr>
              <w:tabs>
                <w:tab w:val="left" w:pos="1101"/>
              </w:tabs>
              <w:autoSpaceDE w:val="0"/>
              <w:autoSpaceDN w:val="0"/>
              <w:adjustRightInd w:val="0"/>
              <w:jc w:val="center"/>
              <w:rPr>
                <w:rFonts w:ascii="Arial" w:hAnsi="Arial" w:cs="Arial"/>
                <w:b/>
                <w:bCs/>
                <w:color w:val="000000" w:themeColor="text1"/>
                <w:sz w:val="22"/>
                <w:szCs w:val="22"/>
              </w:rPr>
            </w:pPr>
            <w:r>
              <w:rPr>
                <w:rFonts w:ascii="Arial" w:hAnsi="Arial" w:cs="Arial"/>
                <w:b/>
                <w:bCs/>
                <w:color w:val="000000" w:themeColor="text1"/>
                <w:sz w:val="22"/>
                <w:szCs w:val="22"/>
              </w:rPr>
              <w:t>20</w:t>
            </w:r>
            <w:r w:rsidR="00F613D4" w:rsidRPr="00D54041">
              <w:rPr>
                <w:rFonts w:ascii="Arial" w:hAnsi="Arial" w:cs="Arial"/>
                <w:b/>
                <w:bCs/>
                <w:color w:val="000000" w:themeColor="text1"/>
                <w:sz w:val="22"/>
                <w:szCs w:val="22"/>
              </w:rPr>
              <w:t>-</w:t>
            </w:r>
            <w:r w:rsidR="00F613D4">
              <w:rPr>
                <w:rFonts w:ascii="Arial" w:hAnsi="Arial" w:cs="Arial"/>
                <w:b/>
                <w:bCs/>
                <w:color w:val="000000" w:themeColor="text1"/>
                <w:sz w:val="22"/>
                <w:szCs w:val="22"/>
              </w:rPr>
              <w:t>20</w:t>
            </w:r>
          </w:p>
        </w:tc>
      </w:tr>
      <w:tr w:rsidR="00F613D4" w:rsidRPr="00D54041" w14:paraId="4955EE75" w14:textId="77777777" w:rsidTr="00A660AD">
        <w:trPr>
          <w:trHeight w:val="415"/>
        </w:trPr>
        <w:tc>
          <w:tcPr>
            <w:tcW w:w="0" w:type="auto"/>
          </w:tcPr>
          <w:p w14:paraId="2B1CA7AF"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7.</w:t>
            </w:r>
          </w:p>
        </w:tc>
        <w:tc>
          <w:tcPr>
            <w:tcW w:w="6740" w:type="dxa"/>
          </w:tcPr>
          <w:p w14:paraId="05599EA6"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Fund Membership Details</w:t>
            </w:r>
          </w:p>
        </w:tc>
        <w:tc>
          <w:tcPr>
            <w:tcW w:w="1361" w:type="dxa"/>
          </w:tcPr>
          <w:p w14:paraId="5A27F103" w14:textId="66ACBB7C"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2</w:t>
            </w:r>
            <w:r>
              <w:rPr>
                <w:rFonts w:ascii="Arial" w:hAnsi="Arial" w:cs="Arial"/>
                <w:b/>
                <w:bCs/>
                <w:color w:val="000000" w:themeColor="text1"/>
                <w:sz w:val="22"/>
                <w:szCs w:val="22"/>
              </w:rPr>
              <w:t>1</w:t>
            </w:r>
            <w:r w:rsidRPr="00D54041">
              <w:rPr>
                <w:rFonts w:ascii="Arial" w:hAnsi="Arial" w:cs="Arial"/>
                <w:b/>
                <w:bCs/>
                <w:color w:val="000000" w:themeColor="text1"/>
                <w:sz w:val="22"/>
                <w:szCs w:val="22"/>
              </w:rPr>
              <w:t>-2</w:t>
            </w:r>
            <w:r w:rsidR="00B8542C">
              <w:rPr>
                <w:rFonts w:ascii="Arial" w:hAnsi="Arial" w:cs="Arial"/>
                <w:b/>
                <w:bCs/>
                <w:color w:val="000000" w:themeColor="text1"/>
                <w:sz w:val="22"/>
                <w:szCs w:val="22"/>
              </w:rPr>
              <w:t>5</w:t>
            </w:r>
          </w:p>
        </w:tc>
      </w:tr>
      <w:tr w:rsidR="00F613D4" w:rsidRPr="00D54041" w14:paraId="27008A9C" w14:textId="77777777" w:rsidTr="00A660AD">
        <w:trPr>
          <w:trHeight w:val="415"/>
        </w:trPr>
        <w:tc>
          <w:tcPr>
            <w:tcW w:w="0" w:type="auto"/>
          </w:tcPr>
          <w:p w14:paraId="00A9EDB4"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8.</w:t>
            </w:r>
          </w:p>
        </w:tc>
        <w:tc>
          <w:tcPr>
            <w:tcW w:w="6740" w:type="dxa"/>
          </w:tcPr>
          <w:p w14:paraId="1210B4C9"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Risk Management</w:t>
            </w:r>
          </w:p>
        </w:tc>
        <w:tc>
          <w:tcPr>
            <w:tcW w:w="1361" w:type="dxa"/>
          </w:tcPr>
          <w:p w14:paraId="25F444CF" w14:textId="48E09C08"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2</w:t>
            </w:r>
            <w:r w:rsidR="00B8542C">
              <w:rPr>
                <w:rFonts w:ascii="Arial" w:hAnsi="Arial" w:cs="Arial"/>
                <w:b/>
                <w:bCs/>
                <w:color w:val="000000" w:themeColor="text1"/>
                <w:sz w:val="22"/>
                <w:szCs w:val="22"/>
              </w:rPr>
              <w:t>6</w:t>
            </w:r>
          </w:p>
        </w:tc>
      </w:tr>
      <w:tr w:rsidR="00F613D4" w:rsidRPr="00D54041" w14:paraId="1F882ACA" w14:textId="77777777" w:rsidTr="00A660AD">
        <w:trPr>
          <w:trHeight w:val="415"/>
        </w:trPr>
        <w:tc>
          <w:tcPr>
            <w:tcW w:w="0" w:type="auto"/>
          </w:tcPr>
          <w:p w14:paraId="5AD256DA"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9.</w:t>
            </w:r>
          </w:p>
        </w:tc>
        <w:tc>
          <w:tcPr>
            <w:tcW w:w="6740" w:type="dxa"/>
          </w:tcPr>
          <w:p w14:paraId="525AD906"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Actuarial Report on Fund Valuation</w:t>
            </w:r>
          </w:p>
        </w:tc>
        <w:tc>
          <w:tcPr>
            <w:tcW w:w="1361" w:type="dxa"/>
          </w:tcPr>
          <w:p w14:paraId="0244AC07" w14:textId="76EDEDE6"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2</w:t>
            </w:r>
            <w:r w:rsidR="00B8542C">
              <w:rPr>
                <w:rFonts w:ascii="Arial" w:hAnsi="Arial" w:cs="Arial"/>
                <w:b/>
                <w:bCs/>
                <w:color w:val="000000" w:themeColor="text1"/>
                <w:sz w:val="22"/>
                <w:szCs w:val="22"/>
              </w:rPr>
              <w:t>7</w:t>
            </w:r>
          </w:p>
        </w:tc>
      </w:tr>
      <w:tr w:rsidR="00F613D4" w:rsidRPr="00D54041" w14:paraId="73C2CF6B" w14:textId="77777777" w:rsidTr="00A660AD">
        <w:trPr>
          <w:trHeight w:val="415"/>
        </w:trPr>
        <w:tc>
          <w:tcPr>
            <w:tcW w:w="0" w:type="auto"/>
          </w:tcPr>
          <w:p w14:paraId="45DE3B3C"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10.</w:t>
            </w:r>
          </w:p>
        </w:tc>
        <w:tc>
          <w:tcPr>
            <w:tcW w:w="6740" w:type="dxa"/>
          </w:tcPr>
          <w:p w14:paraId="799351F2"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Independent Auditor’s Report</w:t>
            </w:r>
          </w:p>
        </w:tc>
        <w:tc>
          <w:tcPr>
            <w:tcW w:w="1361" w:type="dxa"/>
          </w:tcPr>
          <w:p w14:paraId="23BBB95C" w14:textId="07280E1E"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2</w:t>
            </w:r>
            <w:r w:rsidR="00410E54">
              <w:rPr>
                <w:rFonts w:ascii="Arial" w:hAnsi="Arial" w:cs="Arial"/>
                <w:b/>
                <w:bCs/>
                <w:color w:val="000000" w:themeColor="text1"/>
                <w:sz w:val="22"/>
                <w:szCs w:val="22"/>
              </w:rPr>
              <w:t>8-29</w:t>
            </w:r>
          </w:p>
        </w:tc>
      </w:tr>
      <w:tr w:rsidR="00F613D4" w:rsidRPr="00D54041" w14:paraId="6B268CDA" w14:textId="77777777" w:rsidTr="00A660AD">
        <w:trPr>
          <w:trHeight w:val="415"/>
        </w:trPr>
        <w:tc>
          <w:tcPr>
            <w:tcW w:w="0" w:type="auto"/>
          </w:tcPr>
          <w:p w14:paraId="139C2346" w14:textId="77777777" w:rsidR="00F613D4" w:rsidRPr="00D54041" w:rsidRDefault="00F613D4" w:rsidP="00A660AD">
            <w:pPr>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11.</w:t>
            </w:r>
          </w:p>
        </w:tc>
        <w:tc>
          <w:tcPr>
            <w:tcW w:w="6740" w:type="dxa"/>
          </w:tcPr>
          <w:p w14:paraId="68020161" w14:textId="530F167C"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Pension Fund Three Year Budget (</w:t>
            </w:r>
            <w:r>
              <w:rPr>
                <w:rFonts w:ascii="Arial" w:hAnsi="Arial" w:cs="Arial"/>
                <w:b/>
                <w:bCs/>
                <w:color w:val="000000" w:themeColor="text1"/>
                <w:sz w:val="22"/>
                <w:szCs w:val="22"/>
              </w:rPr>
              <w:t>202</w:t>
            </w:r>
            <w:r w:rsidR="002821FA">
              <w:rPr>
                <w:rFonts w:ascii="Arial" w:hAnsi="Arial" w:cs="Arial"/>
                <w:b/>
                <w:bCs/>
                <w:color w:val="000000" w:themeColor="text1"/>
                <w:sz w:val="22"/>
                <w:szCs w:val="22"/>
              </w:rPr>
              <w:t>2</w:t>
            </w:r>
            <w:r>
              <w:rPr>
                <w:rFonts w:ascii="Arial" w:hAnsi="Arial" w:cs="Arial"/>
                <w:b/>
                <w:bCs/>
                <w:color w:val="000000" w:themeColor="text1"/>
                <w:sz w:val="22"/>
                <w:szCs w:val="22"/>
              </w:rPr>
              <w:t>-2</w:t>
            </w:r>
            <w:r w:rsidR="002821FA">
              <w:rPr>
                <w:rFonts w:ascii="Arial" w:hAnsi="Arial" w:cs="Arial"/>
                <w:b/>
                <w:bCs/>
                <w:color w:val="000000" w:themeColor="text1"/>
                <w:sz w:val="22"/>
                <w:szCs w:val="22"/>
              </w:rPr>
              <w:t>3</w:t>
            </w:r>
            <w:r>
              <w:rPr>
                <w:rFonts w:ascii="Arial" w:hAnsi="Arial" w:cs="Arial"/>
                <w:b/>
                <w:bCs/>
                <w:color w:val="000000" w:themeColor="text1"/>
                <w:sz w:val="22"/>
                <w:szCs w:val="22"/>
              </w:rPr>
              <w:t xml:space="preserve"> </w:t>
            </w:r>
            <w:r w:rsidRPr="00D54041">
              <w:rPr>
                <w:rFonts w:ascii="Arial" w:hAnsi="Arial" w:cs="Arial"/>
                <w:b/>
                <w:bCs/>
                <w:color w:val="000000" w:themeColor="text1"/>
                <w:sz w:val="22"/>
                <w:szCs w:val="22"/>
              </w:rPr>
              <w:t>to 202</w:t>
            </w:r>
            <w:r w:rsidR="002821FA">
              <w:rPr>
                <w:rFonts w:ascii="Arial" w:hAnsi="Arial" w:cs="Arial"/>
                <w:b/>
                <w:bCs/>
                <w:color w:val="000000" w:themeColor="text1"/>
                <w:sz w:val="22"/>
                <w:szCs w:val="22"/>
              </w:rPr>
              <w:t>5</w:t>
            </w:r>
            <w:r>
              <w:rPr>
                <w:rFonts w:ascii="Arial" w:hAnsi="Arial" w:cs="Arial"/>
                <w:b/>
                <w:bCs/>
                <w:color w:val="000000" w:themeColor="text1"/>
                <w:sz w:val="22"/>
                <w:szCs w:val="22"/>
              </w:rPr>
              <w:t>-2</w:t>
            </w:r>
            <w:r w:rsidR="002821FA">
              <w:rPr>
                <w:rFonts w:ascii="Arial" w:hAnsi="Arial" w:cs="Arial"/>
                <w:b/>
                <w:bCs/>
                <w:color w:val="000000" w:themeColor="text1"/>
                <w:sz w:val="22"/>
                <w:szCs w:val="22"/>
              </w:rPr>
              <w:t>6</w:t>
            </w:r>
            <w:r w:rsidRPr="00D54041">
              <w:rPr>
                <w:rFonts w:ascii="Arial" w:hAnsi="Arial" w:cs="Arial"/>
                <w:b/>
                <w:bCs/>
                <w:color w:val="000000" w:themeColor="text1"/>
                <w:sz w:val="22"/>
                <w:szCs w:val="22"/>
              </w:rPr>
              <w:t>)</w:t>
            </w:r>
          </w:p>
        </w:tc>
        <w:tc>
          <w:tcPr>
            <w:tcW w:w="1361" w:type="dxa"/>
          </w:tcPr>
          <w:p w14:paraId="2FFBD4FC" w14:textId="2396CED3" w:rsidR="00F613D4" w:rsidRPr="00D54041" w:rsidRDefault="00410E54" w:rsidP="00A660AD">
            <w:pPr>
              <w:tabs>
                <w:tab w:val="left" w:pos="1101"/>
              </w:tabs>
              <w:autoSpaceDE w:val="0"/>
              <w:autoSpaceDN w:val="0"/>
              <w:adjustRightInd w:val="0"/>
              <w:jc w:val="center"/>
              <w:rPr>
                <w:rFonts w:ascii="Arial" w:hAnsi="Arial" w:cs="Arial"/>
                <w:b/>
                <w:bCs/>
                <w:color w:val="000000" w:themeColor="text1"/>
                <w:sz w:val="22"/>
                <w:szCs w:val="22"/>
              </w:rPr>
            </w:pPr>
            <w:r>
              <w:rPr>
                <w:rFonts w:ascii="Arial" w:hAnsi="Arial" w:cs="Arial"/>
                <w:b/>
                <w:bCs/>
                <w:color w:val="000000" w:themeColor="text1"/>
                <w:sz w:val="22"/>
                <w:szCs w:val="22"/>
              </w:rPr>
              <w:t>30</w:t>
            </w:r>
          </w:p>
        </w:tc>
      </w:tr>
      <w:tr w:rsidR="00F613D4" w:rsidRPr="00D54041" w14:paraId="4CCF0490" w14:textId="77777777" w:rsidTr="00A660AD">
        <w:trPr>
          <w:gridAfter w:val="2"/>
          <w:wAfter w:w="8101" w:type="dxa"/>
          <w:trHeight w:val="136"/>
        </w:trPr>
        <w:tc>
          <w:tcPr>
            <w:tcW w:w="0" w:type="auto"/>
          </w:tcPr>
          <w:p w14:paraId="40F68812" w14:textId="77777777"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p>
        </w:tc>
      </w:tr>
      <w:tr w:rsidR="00F613D4" w:rsidRPr="00D54041" w14:paraId="5368B2F3" w14:textId="77777777" w:rsidTr="00A660AD">
        <w:trPr>
          <w:trHeight w:val="136"/>
        </w:trPr>
        <w:tc>
          <w:tcPr>
            <w:tcW w:w="0" w:type="auto"/>
          </w:tcPr>
          <w:p w14:paraId="3CEEE2FA" w14:textId="77777777" w:rsidR="00F613D4" w:rsidRPr="00D54041" w:rsidRDefault="00F613D4" w:rsidP="00A660AD">
            <w:pPr>
              <w:autoSpaceDE w:val="0"/>
              <w:autoSpaceDN w:val="0"/>
              <w:adjustRightInd w:val="0"/>
              <w:rPr>
                <w:rFonts w:ascii="Arial" w:hAnsi="Arial" w:cs="Arial"/>
                <w:b/>
                <w:bCs/>
                <w:color w:val="000000" w:themeColor="text1"/>
                <w:sz w:val="22"/>
                <w:szCs w:val="22"/>
              </w:rPr>
            </w:pPr>
          </w:p>
          <w:p w14:paraId="3386626B"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Appendix 1</w:t>
            </w:r>
          </w:p>
        </w:tc>
        <w:tc>
          <w:tcPr>
            <w:tcW w:w="6740" w:type="dxa"/>
          </w:tcPr>
          <w:p w14:paraId="457A754B"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p>
          <w:p w14:paraId="05F29099" w14:textId="5C734A43" w:rsidR="00F613D4" w:rsidRPr="00D54041" w:rsidRDefault="00F613D4" w:rsidP="00A660AD">
            <w:pPr>
              <w:autoSpaceDE w:val="0"/>
              <w:autoSpaceDN w:val="0"/>
              <w:adjustRightInd w:val="0"/>
              <w:ind w:left="34"/>
              <w:rPr>
                <w:rFonts w:ascii="Arial" w:hAnsi="Arial" w:cs="Arial"/>
                <w:b/>
                <w:bCs/>
                <w:color w:val="000000" w:themeColor="text1"/>
                <w:sz w:val="22"/>
                <w:szCs w:val="22"/>
              </w:rPr>
            </w:pPr>
            <w:r w:rsidRPr="00D54041">
              <w:rPr>
                <w:rFonts w:ascii="Arial" w:hAnsi="Arial" w:cs="Arial"/>
                <w:b/>
                <w:bCs/>
                <w:color w:val="000000" w:themeColor="text1"/>
                <w:sz w:val="22"/>
                <w:szCs w:val="22"/>
              </w:rPr>
              <w:t xml:space="preserve">Pension Fund Accounts </w:t>
            </w:r>
            <w:r>
              <w:rPr>
                <w:rFonts w:ascii="Arial" w:hAnsi="Arial" w:cs="Arial"/>
                <w:b/>
                <w:bCs/>
                <w:color w:val="000000" w:themeColor="text1"/>
                <w:sz w:val="22"/>
                <w:szCs w:val="22"/>
              </w:rPr>
              <w:t>202</w:t>
            </w:r>
            <w:r w:rsidR="002821FA">
              <w:rPr>
                <w:rFonts w:ascii="Arial" w:hAnsi="Arial" w:cs="Arial"/>
                <w:b/>
                <w:bCs/>
                <w:color w:val="000000" w:themeColor="text1"/>
                <w:sz w:val="22"/>
                <w:szCs w:val="22"/>
              </w:rPr>
              <w:t>1-22</w:t>
            </w:r>
          </w:p>
          <w:p w14:paraId="45A1E299" w14:textId="77777777" w:rsidR="00F613D4" w:rsidRPr="00D54041" w:rsidRDefault="00F613D4" w:rsidP="007337FE">
            <w:pPr>
              <w:pStyle w:val="ListParagraph"/>
              <w:numPr>
                <w:ilvl w:val="0"/>
                <w:numId w:val="58"/>
              </w:numPr>
              <w:autoSpaceDE w:val="0"/>
              <w:autoSpaceDN w:val="0"/>
              <w:adjustRightInd w:val="0"/>
              <w:rPr>
                <w:rFonts w:ascii="Arial" w:hAnsi="Arial" w:cs="Arial"/>
                <w:b/>
                <w:bCs/>
                <w:color w:val="000000" w:themeColor="text1"/>
              </w:rPr>
            </w:pPr>
            <w:r w:rsidRPr="00D54041">
              <w:rPr>
                <w:rFonts w:ascii="Arial" w:hAnsi="Arial" w:cs="Arial"/>
                <w:b/>
                <w:bCs/>
                <w:color w:val="000000" w:themeColor="text1"/>
              </w:rPr>
              <w:t>Explanatory Foreword</w:t>
            </w:r>
          </w:p>
          <w:p w14:paraId="6E7ED714" w14:textId="77777777" w:rsidR="00F613D4" w:rsidRPr="00D54041" w:rsidRDefault="00F613D4" w:rsidP="007337FE">
            <w:pPr>
              <w:pStyle w:val="ListParagraph"/>
              <w:numPr>
                <w:ilvl w:val="0"/>
                <w:numId w:val="58"/>
              </w:numPr>
              <w:autoSpaceDE w:val="0"/>
              <w:autoSpaceDN w:val="0"/>
              <w:adjustRightInd w:val="0"/>
              <w:rPr>
                <w:rFonts w:ascii="Arial" w:hAnsi="Arial" w:cs="Arial"/>
                <w:b/>
                <w:bCs/>
                <w:color w:val="000000" w:themeColor="text1"/>
              </w:rPr>
            </w:pPr>
            <w:r w:rsidRPr="00D54041">
              <w:rPr>
                <w:rFonts w:ascii="Arial" w:hAnsi="Arial" w:cs="Arial"/>
                <w:b/>
                <w:bCs/>
                <w:color w:val="000000" w:themeColor="text1"/>
              </w:rPr>
              <w:t>Pension Fund Accounts</w:t>
            </w:r>
          </w:p>
          <w:p w14:paraId="130E0FC2" w14:textId="77777777" w:rsidR="00F613D4" w:rsidRPr="00D54041" w:rsidRDefault="00F613D4" w:rsidP="007337FE">
            <w:pPr>
              <w:pStyle w:val="ListParagraph"/>
              <w:numPr>
                <w:ilvl w:val="0"/>
                <w:numId w:val="58"/>
              </w:numPr>
              <w:autoSpaceDE w:val="0"/>
              <w:autoSpaceDN w:val="0"/>
              <w:adjustRightInd w:val="0"/>
              <w:rPr>
                <w:rFonts w:ascii="Arial" w:hAnsi="Arial" w:cs="Arial"/>
                <w:b/>
                <w:bCs/>
                <w:color w:val="000000" w:themeColor="text1"/>
              </w:rPr>
            </w:pPr>
            <w:r w:rsidRPr="00D54041">
              <w:rPr>
                <w:rFonts w:ascii="Arial" w:hAnsi="Arial" w:cs="Arial"/>
                <w:b/>
                <w:bCs/>
                <w:color w:val="000000" w:themeColor="text1"/>
              </w:rPr>
              <w:t>Notes to the Pension Fund Accounts</w:t>
            </w:r>
          </w:p>
        </w:tc>
        <w:tc>
          <w:tcPr>
            <w:tcW w:w="1361" w:type="dxa"/>
          </w:tcPr>
          <w:p w14:paraId="1D7F31C3" w14:textId="77777777"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p>
          <w:p w14:paraId="33A4C6BB" w14:textId="37E3DEA5"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Pr>
                <w:rFonts w:ascii="Arial" w:hAnsi="Arial" w:cs="Arial"/>
                <w:b/>
                <w:bCs/>
                <w:color w:val="000000" w:themeColor="text1"/>
                <w:sz w:val="22"/>
                <w:szCs w:val="22"/>
              </w:rPr>
              <w:t>3</w:t>
            </w:r>
            <w:r w:rsidR="00410E54">
              <w:rPr>
                <w:rFonts w:ascii="Arial" w:hAnsi="Arial" w:cs="Arial"/>
                <w:b/>
                <w:bCs/>
                <w:color w:val="000000" w:themeColor="text1"/>
                <w:sz w:val="22"/>
                <w:szCs w:val="22"/>
              </w:rPr>
              <w:t>1</w:t>
            </w:r>
            <w:r w:rsidRPr="00D54041">
              <w:rPr>
                <w:rFonts w:ascii="Arial" w:hAnsi="Arial" w:cs="Arial"/>
                <w:b/>
                <w:bCs/>
                <w:color w:val="000000" w:themeColor="text1"/>
                <w:sz w:val="22"/>
                <w:szCs w:val="22"/>
              </w:rPr>
              <w:t>-5</w:t>
            </w:r>
            <w:r w:rsidR="00410E54">
              <w:rPr>
                <w:rFonts w:ascii="Arial" w:hAnsi="Arial" w:cs="Arial"/>
                <w:b/>
                <w:bCs/>
                <w:color w:val="000000" w:themeColor="text1"/>
                <w:sz w:val="22"/>
                <w:szCs w:val="22"/>
              </w:rPr>
              <w:t>4</w:t>
            </w:r>
          </w:p>
        </w:tc>
      </w:tr>
      <w:tr w:rsidR="00F613D4" w:rsidRPr="00D54041" w14:paraId="5E58B6B1" w14:textId="77777777" w:rsidTr="00A660AD">
        <w:trPr>
          <w:trHeight w:val="407"/>
        </w:trPr>
        <w:tc>
          <w:tcPr>
            <w:tcW w:w="0" w:type="auto"/>
          </w:tcPr>
          <w:p w14:paraId="72A5E4E6"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Appendix 2</w:t>
            </w:r>
          </w:p>
        </w:tc>
        <w:tc>
          <w:tcPr>
            <w:tcW w:w="6740" w:type="dxa"/>
          </w:tcPr>
          <w:p w14:paraId="614B367A"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Governance Compliance Statement</w:t>
            </w:r>
          </w:p>
          <w:p w14:paraId="1D75C7F4"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p>
        </w:tc>
        <w:tc>
          <w:tcPr>
            <w:tcW w:w="1361" w:type="dxa"/>
          </w:tcPr>
          <w:p w14:paraId="4A84A91E" w14:textId="3663C56C"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5</w:t>
            </w:r>
            <w:r w:rsidR="00B664D0">
              <w:rPr>
                <w:rFonts w:ascii="Arial" w:hAnsi="Arial" w:cs="Arial"/>
                <w:b/>
                <w:bCs/>
                <w:color w:val="000000" w:themeColor="text1"/>
                <w:sz w:val="22"/>
                <w:szCs w:val="22"/>
              </w:rPr>
              <w:t>5</w:t>
            </w:r>
            <w:r w:rsidRPr="00D54041">
              <w:rPr>
                <w:rFonts w:ascii="Arial" w:hAnsi="Arial" w:cs="Arial"/>
                <w:b/>
                <w:bCs/>
                <w:color w:val="000000" w:themeColor="text1"/>
                <w:sz w:val="22"/>
                <w:szCs w:val="22"/>
              </w:rPr>
              <w:t>-</w:t>
            </w:r>
            <w:r w:rsidR="00806991">
              <w:rPr>
                <w:rFonts w:ascii="Arial" w:hAnsi="Arial" w:cs="Arial"/>
                <w:b/>
                <w:bCs/>
                <w:color w:val="000000" w:themeColor="text1"/>
                <w:sz w:val="22"/>
                <w:szCs w:val="22"/>
              </w:rPr>
              <w:t>58</w:t>
            </w:r>
          </w:p>
        </w:tc>
      </w:tr>
      <w:tr w:rsidR="00F613D4" w:rsidRPr="00D54041" w14:paraId="3EC3D7C6" w14:textId="77777777" w:rsidTr="00A660AD">
        <w:trPr>
          <w:trHeight w:val="559"/>
        </w:trPr>
        <w:tc>
          <w:tcPr>
            <w:tcW w:w="0" w:type="auto"/>
          </w:tcPr>
          <w:p w14:paraId="0C65997E"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Appendix 3</w:t>
            </w:r>
          </w:p>
        </w:tc>
        <w:tc>
          <w:tcPr>
            <w:tcW w:w="6740" w:type="dxa"/>
          </w:tcPr>
          <w:p w14:paraId="30BE2D8C" w14:textId="71FA1E9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 xml:space="preserve">Funding Strategy </w:t>
            </w:r>
            <w:r w:rsidRPr="009A5CCD">
              <w:rPr>
                <w:rFonts w:ascii="Arial" w:hAnsi="Arial" w:cs="Arial"/>
                <w:b/>
                <w:bCs/>
                <w:color w:val="000000" w:themeColor="text1"/>
                <w:sz w:val="22"/>
                <w:szCs w:val="22"/>
              </w:rPr>
              <w:t xml:space="preserve">Statement </w:t>
            </w:r>
            <w:r>
              <w:rPr>
                <w:rFonts w:ascii="Arial" w:hAnsi="Arial" w:cs="Arial"/>
                <w:b/>
                <w:bCs/>
                <w:color w:val="000000" w:themeColor="text1"/>
                <w:sz w:val="22"/>
                <w:szCs w:val="22"/>
              </w:rPr>
              <w:t>202</w:t>
            </w:r>
            <w:r w:rsidR="004C2E69">
              <w:rPr>
                <w:rFonts w:ascii="Arial" w:hAnsi="Arial" w:cs="Arial"/>
                <w:b/>
                <w:bCs/>
                <w:color w:val="000000" w:themeColor="text1"/>
                <w:sz w:val="22"/>
                <w:szCs w:val="22"/>
              </w:rPr>
              <w:t>2-23</w:t>
            </w:r>
          </w:p>
          <w:p w14:paraId="0AE6253C"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p>
        </w:tc>
        <w:tc>
          <w:tcPr>
            <w:tcW w:w="1361" w:type="dxa"/>
          </w:tcPr>
          <w:p w14:paraId="3A2F2C50" w14:textId="69C0F672"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5</w:t>
            </w:r>
            <w:r w:rsidR="00B664D0">
              <w:rPr>
                <w:rFonts w:ascii="Arial" w:hAnsi="Arial" w:cs="Arial"/>
                <w:b/>
                <w:bCs/>
                <w:color w:val="000000" w:themeColor="text1"/>
                <w:sz w:val="22"/>
                <w:szCs w:val="22"/>
              </w:rPr>
              <w:t>9</w:t>
            </w:r>
            <w:r w:rsidRPr="00D54041">
              <w:rPr>
                <w:rFonts w:ascii="Arial" w:hAnsi="Arial" w:cs="Arial"/>
                <w:b/>
                <w:bCs/>
                <w:color w:val="000000" w:themeColor="text1"/>
                <w:sz w:val="22"/>
                <w:szCs w:val="22"/>
              </w:rPr>
              <w:t>-</w:t>
            </w:r>
            <w:r w:rsidR="00B664D0">
              <w:rPr>
                <w:rFonts w:ascii="Arial" w:hAnsi="Arial" w:cs="Arial"/>
                <w:b/>
                <w:bCs/>
                <w:color w:val="000000" w:themeColor="text1"/>
                <w:sz w:val="22"/>
                <w:szCs w:val="22"/>
              </w:rPr>
              <w:t>85</w:t>
            </w:r>
          </w:p>
        </w:tc>
      </w:tr>
      <w:tr w:rsidR="00F613D4" w:rsidRPr="00D54041" w14:paraId="060DA990" w14:textId="77777777" w:rsidTr="00A660AD">
        <w:trPr>
          <w:trHeight w:val="415"/>
        </w:trPr>
        <w:tc>
          <w:tcPr>
            <w:tcW w:w="0" w:type="auto"/>
          </w:tcPr>
          <w:p w14:paraId="7A39912E"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Appendix 4</w:t>
            </w:r>
          </w:p>
        </w:tc>
        <w:tc>
          <w:tcPr>
            <w:tcW w:w="6740" w:type="dxa"/>
          </w:tcPr>
          <w:p w14:paraId="0D839224"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Investment Strategy Statement</w:t>
            </w:r>
          </w:p>
          <w:p w14:paraId="0B8A2F72"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p>
        </w:tc>
        <w:tc>
          <w:tcPr>
            <w:tcW w:w="1361" w:type="dxa"/>
          </w:tcPr>
          <w:p w14:paraId="4F4ADD03" w14:textId="451BE023" w:rsidR="00F613D4" w:rsidRPr="00D54041" w:rsidRDefault="00806991" w:rsidP="00A660AD">
            <w:pPr>
              <w:tabs>
                <w:tab w:val="left" w:pos="1101"/>
              </w:tabs>
              <w:autoSpaceDE w:val="0"/>
              <w:autoSpaceDN w:val="0"/>
              <w:adjustRightInd w:val="0"/>
              <w:jc w:val="center"/>
              <w:rPr>
                <w:rFonts w:ascii="Arial" w:hAnsi="Arial" w:cs="Arial"/>
                <w:b/>
                <w:bCs/>
                <w:color w:val="000000" w:themeColor="text1"/>
                <w:sz w:val="22"/>
                <w:szCs w:val="22"/>
              </w:rPr>
            </w:pPr>
            <w:r>
              <w:rPr>
                <w:rFonts w:ascii="Arial" w:hAnsi="Arial" w:cs="Arial"/>
                <w:b/>
                <w:bCs/>
                <w:color w:val="000000" w:themeColor="text1"/>
                <w:sz w:val="22"/>
                <w:szCs w:val="22"/>
              </w:rPr>
              <w:t>86</w:t>
            </w:r>
            <w:r w:rsidR="00F613D4" w:rsidRPr="00D54041">
              <w:rPr>
                <w:rFonts w:ascii="Arial" w:hAnsi="Arial" w:cs="Arial"/>
                <w:b/>
                <w:bCs/>
                <w:color w:val="000000" w:themeColor="text1"/>
                <w:sz w:val="22"/>
                <w:szCs w:val="22"/>
              </w:rPr>
              <w:t>-1</w:t>
            </w:r>
            <w:r>
              <w:rPr>
                <w:rFonts w:ascii="Arial" w:hAnsi="Arial" w:cs="Arial"/>
                <w:b/>
                <w:bCs/>
                <w:color w:val="000000" w:themeColor="text1"/>
                <w:sz w:val="22"/>
                <w:szCs w:val="22"/>
              </w:rPr>
              <w:t>04</w:t>
            </w:r>
          </w:p>
        </w:tc>
      </w:tr>
      <w:tr w:rsidR="00F613D4" w:rsidRPr="00D54041" w14:paraId="607CC391" w14:textId="77777777" w:rsidTr="00A660AD">
        <w:trPr>
          <w:trHeight w:val="279"/>
        </w:trPr>
        <w:tc>
          <w:tcPr>
            <w:tcW w:w="0" w:type="auto"/>
          </w:tcPr>
          <w:p w14:paraId="552EBB40"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Appendix 5</w:t>
            </w:r>
          </w:p>
        </w:tc>
        <w:tc>
          <w:tcPr>
            <w:tcW w:w="6740" w:type="dxa"/>
          </w:tcPr>
          <w:p w14:paraId="7CD25A17"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Communication Policy</w:t>
            </w:r>
          </w:p>
          <w:p w14:paraId="2CD72E60"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p>
        </w:tc>
        <w:tc>
          <w:tcPr>
            <w:tcW w:w="1361" w:type="dxa"/>
          </w:tcPr>
          <w:p w14:paraId="561AE2D4" w14:textId="0A151099"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1</w:t>
            </w:r>
            <w:r w:rsidR="00806991">
              <w:rPr>
                <w:rFonts w:ascii="Arial" w:hAnsi="Arial" w:cs="Arial"/>
                <w:b/>
                <w:bCs/>
                <w:color w:val="000000" w:themeColor="text1"/>
                <w:sz w:val="22"/>
                <w:szCs w:val="22"/>
              </w:rPr>
              <w:t>05</w:t>
            </w:r>
            <w:r w:rsidRPr="00D54041">
              <w:rPr>
                <w:rFonts w:ascii="Arial" w:hAnsi="Arial" w:cs="Arial"/>
                <w:b/>
                <w:bCs/>
                <w:color w:val="000000" w:themeColor="text1"/>
                <w:sz w:val="22"/>
                <w:szCs w:val="22"/>
              </w:rPr>
              <w:t>-1</w:t>
            </w:r>
            <w:r w:rsidR="00806991">
              <w:rPr>
                <w:rFonts w:ascii="Arial" w:hAnsi="Arial" w:cs="Arial"/>
                <w:b/>
                <w:bCs/>
                <w:color w:val="000000" w:themeColor="text1"/>
                <w:sz w:val="22"/>
                <w:szCs w:val="22"/>
              </w:rPr>
              <w:t>15</w:t>
            </w:r>
          </w:p>
        </w:tc>
      </w:tr>
      <w:tr w:rsidR="00F613D4" w:rsidRPr="00D54041" w14:paraId="79902B3D" w14:textId="77777777" w:rsidTr="00A660AD">
        <w:trPr>
          <w:trHeight w:val="455"/>
        </w:trPr>
        <w:tc>
          <w:tcPr>
            <w:tcW w:w="0" w:type="auto"/>
          </w:tcPr>
          <w:p w14:paraId="2D6788BD"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Appendix 6</w:t>
            </w:r>
          </w:p>
        </w:tc>
        <w:tc>
          <w:tcPr>
            <w:tcW w:w="6740" w:type="dxa"/>
          </w:tcPr>
          <w:p w14:paraId="77F5862F"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Actuarial Statement</w:t>
            </w:r>
          </w:p>
          <w:p w14:paraId="2129BCE0"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p>
        </w:tc>
        <w:tc>
          <w:tcPr>
            <w:tcW w:w="1361" w:type="dxa"/>
          </w:tcPr>
          <w:p w14:paraId="593FA455" w14:textId="07D9A991"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1</w:t>
            </w:r>
            <w:r w:rsidR="00806991">
              <w:rPr>
                <w:rFonts w:ascii="Arial" w:hAnsi="Arial" w:cs="Arial"/>
                <w:b/>
                <w:bCs/>
                <w:color w:val="000000" w:themeColor="text1"/>
                <w:sz w:val="22"/>
                <w:szCs w:val="22"/>
              </w:rPr>
              <w:t>16</w:t>
            </w:r>
            <w:r w:rsidRPr="00D54041">
              <w:rPr>
                <w:rFonts w:ascii="Arial" w:hAnsi="Arial" w:cs="Arial"/>
                <w:b/>
                <w:bCs/>
                <w:color w:val="000000" w:themeColor="text1"/>
                <w:sz w:val="22"/>
                <w:szCs w:val="22"/>
              </w:rPr>
              <w:t>-1</w:t>
            </w:r>
            <w:r w:rsidR="00806991">
              <w:rPr>
                <w:rFonts w:ascii="Arial" w:hAnsi="Arial" w:cs="Arial"/>
                <w:b/>
                <w:bCs/>
                <w:color w:val="000000" w:themeColor="text1"/>
                <w:sz w:val="22"/>
                <w:szCs w:val="22"/>
              </w:rPr>
              <w:t>18</w:t>
            </w:r>
          </w:p>
        </w:tc>
      </w:tr>
      <w:tr w:rsidR="00F613D4" w:rsidRPr="00D54041" w14:paraId="065AC5E6" w14:textId="77777777" w:rsidTr="00A660AD">
        <w:trPr>
          <w:trHeight w:val="528"/>
        </w:trPr>
        <w:tc>
          <w:tcPr>
            <w:tcW w:w="0" w:type="auto"/>
          </w:tcPr>
          <w:p w14:paraId="2AD7C59D"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Appendix 7</w:t>
            </w:r>
          </w:p>
        </w:tc>
        <w:tc>
          <w:tcPr>
            <w:tcW w:w="6740" w:type="dxa"/>
          </w:tcPr>
          <w:p w14:paraId="32C4D4A7"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Pension Fund Risk Register</w:t>
            </w:r>
          </w:p>
          <w:p w14:paraId="441EE27C"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p>
        </w:tc>
        <w:tc>
          <w:tcPr>
            <w:tcW w:w="1361" w:type="dxa"/>
          </w:tcPr>
          <w:p w14:paraId="6FE38463" w14:textId="5588F35E"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1</w:t>
            </w:r>
            <w:r w:rsidR="00806991">
              <w:rPr>
                <w:rFonts w:ascii="Arial" w:hAnsi="Arial" w:cs="Arial"/>
                <w:b/>
                <w:bCs/>
                <w:color w:val="000000" w:themeColor="text1"/>
                <w:sz w:val="22"/>
                <w:szCs w:val="22"/>
              </w:rPr>
              <w:t>19</w:t>
            </w:r>
            <w:r w:rsidRPr="00D54041">
              <w:rPr>
                <w:rFonts w:ascii="Arial" w:hAnsi="Arial" w:cs="Arial"/>
                <w:b/>
                <w:bCs/>
                <w:color w:val="000000" w:themeColor="text1"/>
                <w:sz w:val="22"/>
                <w:szCs w:val="22"/>
              </w:rPr>
              <w:t>-1</w:t>
            </w:r>
            <w:r w:rsidR="00806991">
              <w:rPr>
                <w:rFonts w:ascii="Arial" w:hAnsi="Arial" w:cs="Arial"/>
                <w:b/>
                <w:bCs/>
                <w:color w:val="000000" w:themeColor="text1"/>
                <w:sz w:val="22"/>
                <w:szCs w:val="22"/>
              </w:rPr>
              <w:t>29</w:t>
            </w:r>
          </w:p>
        </w:tc>
      </w:tr>
      <w:tr w:rsidR="00F613D4" w:rsidRPr="00D54041" w14:paraId="2E9A5BC2" w14:textId="77777777" w:rsidTr="00A660AD">
        <w:trPr>
          <w:trHeight w:val="528"/>
        </w:trPr>
        <w:tc>
          <w:tcPr>
            <w:tcW w:w="0" w:type="auto"/>
          </w:tcPr>
          <w:p w14:paraId="6366CCD0"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Appendix 8</w:t>
            </w:r>
          </w:p>
        </w:tc>
        <w:tc>
          <w:tcPr>
            <w:tcW w:w="6740" w:type="dxa"/>
          </w:tcPr>
          <w:p w14:paraId="79CC339B" w14:textId="77777777" w:rsidR="00F613D4" w:rsidRPr="00D54041" w:rsidRDefault="00F613D4" w:rsidP="00A660AD">
            <w:pPr>
              <w:autoSpaceDE w:val="0"/>
              <w:autoSpaceDN w:val="0"/>
              <w:adjustRightInd w:val="0"/>
              <w:rPr>
                <w:rFonts w:ascii="Arial" w:hAnsi="Arial" w:cs="Arial"/>
                <w:b/>
                <w:bCs/>
                <w:color w:val="000000" w:themeColor="text1"/>
                <w:sz w:val="22"/>
                <w:szCs w:val="22"/>
              </w:rPr>
            </w:pPr>
            <w:r w:rsidRPr="00D54041">
              <w:rPr>
                <w:rFonts w:ascii="Arial" w:hAnsi="Arial" w:cs="Arial"/>
                <w:b/>
                <w:bCs/>
                <w:color w:val="000000" w:themeColor="text1"/>
                <w:sz w:val="22"/>
                <w:szCs w:val="22"/>
              </w:rPr>
              <w:t>Pension Board Terms of Reference</w:t>
            </w:r>
          </w:p>
          <w:p w14:paraId="29E4BEAA" w14:textId="77777777" w:rsidR="00F613D4" w:rsidRPr="00D54041" w:rsidRDefault="00F613D4" w:rsidP="00A660AD">
            <w:pPr>
              <w:autoSpaceDE w:val="0"/>
              <w:autoSpaceDN w:val="0"/>
              <w:adjustRightInd w:val="0"/>
              <w:ind w:left="34"/>
              <w:rPr>
                <w:rFonts w:ascii="Arial" w:hAnsi="Arial" w:cs="Arial"/>
                <w:b/>
                <w:bCs/>
                <w:color w:val="000000" w:themeColor="text1"/>
                <w:sz w:val="22"/>
                <w:szCs w:val="22"/>
              </w:rPr>
            </w:pPr>
          </w:p>
        </w:tc>
        <w:tc>
          <w:tcPr>
            <w:tcW w:w="1361" w:type="dxa"/>
          </w:tcPr>
          <w:p w14:paraId="47735540" w14:textId="021BF6E7" w:rsidR="00F613D4" w:rsidRPr="00D54041" w:rsidRDefault="00F613D4" w:rsidP="00A660AD">
            <w:pPr>
              <w:tabs>
                <w:tab w:val="left" w:pos="1101"/>
              </w:tabs>
              <w:autoSpaceDE w:val="0"/>
              <w:autoSpaceDN w:val="0"/>
              <w:adjustRightInd w:val="0"/>
              <w:jc w:val="center"/>
              <w:rPr>
                <w:rFonts w:ascii="Arial" w:hAnsi="Arial" w:cs="Arial"/>
                <w:b/>
                <w:bCs/>
                <w:color w:val="000000" w:themeColor="text1"/>
                <w:sz w:val="22"/>
                <w:szCs w:val="22"/>
              </w:rPr>
            </w:pPr>
            <w:r w:rsidRPr="00D54041">
              <w:rPr>
                <w:rFonts w:ascii="Arial" w:hAnsi="Arial" w:cs="Arial"/>
                <w:b/>
                <w:bCs/>
                <w:color w:val="000000" w:themeColor="text1"/>
                <w:sz w:val="22"/>
                <w:szCs w:val="22"/>
              </w:rPr>
              <w:t>1</w:t>
            </w:r>
            <w:r w:rsidR="00806991">
              <w:rPr>
                <w:rFonts w:ascii="Arial" w:hAnsi="Arial" w:cs="Arial"/>
                <w:b/>
                <w:bCs/>
                <w:color w:val="000000" w:themeColor="text1"/>
                <w:sz w:val="22"/>
                <w:szCs w:val="22"/>
              </w:rPr>
              <w:t>30</w:t>
            </w:r>
            <w:r w:rsidRPr="00D54041">
              <w:rPr>
                <w:rFonts w:ascii="Arial" w:hAnsi="Arial" w:cs="Arial"/>
                <w:b/>
                <w:bCs/>
                <w:color w:val="000000" w:themeColor="text1"/>
                <w:sz w:val="22"/>
                <w:szCs w:val="22"/>
              </w:rPr>
              <w:t>-1</w:t>
            </w:r>
            <w:r w:rsidR="00806991">
              <w:rPr>
                <w:rFonts w:ascii="Arial" w:hAnsi="Arial" w:cs="Arial"/>
                <w:b/>
                <w:bCs/>
                <w:color w:val="000000" w:themeColor="text1"/>
                <w:sz w:val="22"/>
                <w:szCs w:val="22"/>
              </w:rPr>
              <w:t>39</w:t>
            </w:r>
          </w:p>
        </w:tc>
      </w:tr>
      <w:bookmarkEnd w:id="0"/>
    </w:tbl>
    <w:p w14:paraId="6F69CA0C" w14:textId="77777777" w:rsidR="00C30123" w:rsidRPr="00E35F96" w:rsidRDefault="00C30123" w:rsidP="00E35F96">
      <w:pPr>
        <w:jc w:val="both"/>
        <w:rPr>
          <w:rFonts w:ascii="Arial" w:hAnsi="Arial" w:cs="Arial"/>
          <w:b/>
          <w:bCs/>
          <w:color w:val="FF0000"/>
          <w:sz w:val="28"/>
          <w:szCs w:val="28"/>
        </w:rPr>
      </w:pPr>
    </w:p>
    <w:p w14:paraId="4FDD65E1" w14:textId="77777777" w:rsidR="001D4337" w:rsidRPr="00E35F96" w:rsidRDefault="001D4337" w:rsidP="00E35F96">
      <w:pPr>
        <w:pStyle w:val="ListParagraph"/>
        <w:spacing w:after="0" w:line="240" w:lineRule="auto"/>
        <w:ind w:left="426"/>
        <w:jc w:val="both"/>
        <w:rPr>
          <w:rFonts w:ascii="Arial" w:hAnsi="Arial" w:cs="Arial"/>
          <w:b/>
          <w:bCs/>
          <w:color w:val="FF0000"/>
          <w:sz w:val="28"/>
          <w:szCs w:val="28"/>
        </w:rPr>
      </w:pPr>
    </w:p>
    <w:p w14:paraId="6B968FCB" w14:textId="77777777" w:rsidR="001D4337" w:rsidRPr="00E35F96" w:rsidRDefault="001D4337" w:rsidP="00E35F96">
      <w:pPr>
        <w:pStyle w:val="ListParagraph"/>
        <w:spacing w:after="0" w:line="240" w:lineRule="auto"/>
        <w:ind w:left="426"/>
        <w:jc w:val="both"/>
        <w:rPr>
          <w:rFonts w:ascii="Arial" w:hAnsi="Arial" w:cs="Arial"/>
          <w:b/>
          <w:bCs/>
          <w:color w:val="FF0000"/>
          <w:sz w:val="28"/>
          <w:szCs w:val="28"/>
        </w:rPr>
      </w:pPr>
    </w:p>
    <w:p w14:paraId="3A2D09DB" w14:textId="77777777" w:rsidR="001D4337" w:rsidRPr="00E35F96" w:rsidRDefault="001D4337" w:rsidP="00E35F96">
      <w:pPr>
        <w:pStyle w:val="ListParagraph"/>
        <w:spacing w:after="0" w:line="240" w:lineRule="auto"/>
        <w:ind w:left="426"/>
        <w:jc w:val="both"/>
        <w:rPr>
          <w:rFonts w:ascii="Arial" w:hAnsi="Arial" w:cs="Arial"/>
          <w:b/>
          <w:bCs/>
          <w:color w:val="FF0000"/>
          <w:sz w:val="28"/>
          <w:szCs w:val="28"/>
        </w:rPr>
      </w:pPr>
    </w:p>
    <w:p w14:paraId="4A68C57E" w14:textId="77777777" w:rsidR="001D4337" w:rsidRDefault="001D4337" w:rsidP="00E35F96">
      <w:pPr>
        <w:pStyle w:val="ListParagraph"/>
        <w:spacing w:after="0" w:line="240" w:lineRule="auto"/>
        <w:ind w:left="426"/>
        <w:jc w:val="both"/>
        <w:rPr>
          <w:rFonts w:ascii="Arial" w:hAnsi="Arial" w:cs="Arial"/>
          <w:b/>
          <w:bCs/>
          <w:color w:val="FF0000"/>
          <w:sz w:val="28"/>
          <w:szCs w:val="28"/>
        </w:rPr>
      </w:pPr>
    </w:p>
    <w:p w14:paraId="31E77BC6" w14:textId="77777777" w:rsidR="009C132E" w:rsidRPr="00E35F96" w:rsidRDefault="009C132E" w:rsidP="00E35F96">
      <w:pPr>
        <w:pStyle w:val="ListParagraph"/>
        <w:spacing w:after="0" w:line="240" w:lineRule="auto"/>
        <w:ind w:left="426"/>
        <w:jc w:val="both"/>
        <w:rPr>
          <w:rFonts w:ascii="Arial" w:hAnsi="Arial" w:cs="Arial"/>
          <w:b/>
          <w:bCs/>
          <w:color w:val="FF0000"/>
          <w:sz w:val="28"/>
          <w:szCs w:val="28"/>
        </w:rPr>
      </w:pPr>
    </w:p>
    <w:p w14:paraId="6D16218D" w14:textId="6F922E0C" w:rsidR="00C41C82" w:rsidRPr="00601B12" w:rsidRDefault="00D22F89" w:rsidP="007337FE">
      <w:pPr>
        <w:pStyle w:val="ListParagraph"/>
        <w:numPr>
          <w:ilvl w:val="0"/>
          <w:numId w:val="48"/>
        </w:numPr>
        <w:spacing w:after="0" w:line="240" w:lineRule="auto"/>
        <w:ind w:left="426" w:hanging="426"/>
        <w:jc w:val="both"/>
        <w:rPr>
          <w:rFonts w:ascii="Arial" w:hAnsi="Arial" w:cs="Arial"/>
          <w:b/>
          <w:bCs/>
          <w:color w:val="FF0000"/>
          <w:sz w:val="28"/>
          <w:szCs w:val="28"/>
        </w:rPr>
      </w:pPr>
      <w:r w:rsidRPr="00601B12">
        <w:rPr>
          <w:rFonts w:ascii="Arial" w:hAnsi="Arial" w:cs="Arial"/>
          <w:b/>
          <w:bCs/>
          <w:color w:val="C00000"/>
          <w:sz w:val="28"/>
          <w:szCs w:val="28"/>
        </w:rPr>
        <w:lastRenderedPageBreak/>
        <w:t>Executive Summary</w:t>
      </w:r>
    </w:p>
    <w:p w14:paraId="6D16218E" w14:textId="77777777" w:rsidR="00C41C82" w:rsidRPr="00601B12" w:rsidRDefault="00C41C82" w:rsidP="00EF47C8">
      <w:pPr>
        <w:pStyle w:val="ListParagraph"/>
        <w:autoSpaceDE w:val="0"/>
        <w:autoSpaceDN w:val="0"/>
        <w:adjustRightInd w:val="0"/>
        <w:spacing w:after="0" w:line="240" w:lineRule="auto"/>
        <w:ind w:left="426" w:hanging="426"/>
        <w:jc w:val="both"/>
        <w:rPr>
          <w:rFonts w:ascii="Arial" w:hAnsi="Arial" w:cs="Arial"/>
          <w:b/>
          <w:bCs/>
          <w:color w:val="C00000"/>
        </w:rPr>
      </w:pPr>
    </w:p>
    <w:p w14:paraId="6D16218F" w14:textId="77777777" w:rsidR="009137DC" w:rsidRPr="00601B12" w:rsidRDefault="009137DC" w:rsidP="009137DC">
      <w:pPr>
        <w:autoSpaceDE w:val="0"/>
        <w:autoSpaceDN w:val="0"/>
        <w:adjustRightInd w:val="0"/>
        <w:ind w:left="426" w:hanging="426"/>
        <w:jc w:val="both"/>
        <w:rPr>
          <w:rFonts w:ascii="Arial" w:hAnsi="Arial" w:cs="Arial"/>
          <w:b/>
          <w:color w:val="0070C0"/>
          <w:sz w:val="22"/>
          <w:szCs w:val="22"/>
        </w:rPr>
      </w:pPr>
      <w:r w:rsidRPr="00601B12">
        <w:rPr>
          <w:rFonts w:ascii="Arial" w:hAnsi="Arial" w:cs="Arial"/>
          <w:b/>
          <w:color w:val="0070C0"/>
          <w:sz w:val="22"/>
          <w:szCs w:val="22"/>
        </w:rPr>
        <w:t>1.1</w:t>
      </w:r>
      <w:r w:rsidRPr="00601B12">
        <w:rPr>
          <w:rFonts w:ascii="Arial" w:hAnsi="Arial" w:cs="Arial"/>
          <w:b/>
          <w:color w:val="0070C0"/>
          <w:sz w:val="22"/>
          <w:szCs w:val="22"/>
        </w:rPr>
        <w:tab/>
        <w:t>Introduction</w:t>
      </w:r>
    </w:p>
    <w:p w14:paraId="6D162190" w14:textId="77777777" w:rsidR="009137DC" w:rsidRPr="00601B12" w:rsidRDefault="009137DC" w:rsidP="00EF47C8">
      <w:pPr>
        <w:autoSpaceDE w:val="0"/>
        <w:autoSpaceDN w:val="0"/>
        <w:adjustRightInd w:val="0"/>
        <w:ind w:left="426" w:hanging="426"/>
        <w:jc w:val="both"/>
        <w:rPr>
          <w:rFonts w:ascii="Arial" w:hAnsi="Arial" w:cs="Arial"/>
          <w:bCs/>
          <w:color w:val="000000"/>
          <w:sz w:val="22"/>
          <w:szCs w:val="22"/>
        </w:rPr>
      </w:pPr>
    </w:p>
    <w:p w14:paraId="6D162191" w14:textId="7D6DF7B6" w:rsidR="009137DC" w:rsidRPr="00601B12" w:rsidRDefault="00D22F89" w:rsidP="009137DC">
      <w:pPr>
        <w:autoSpaceDE w:val="0"/>
        <w:autoSpaceDN w:val="0"/>
        <w:adjustRightInd w:val="0"/>
        <w:ind w:left="426"/>
        <w:jc w:val="both"/>
        <w:rPr>
          <w:rFonts w:ascii="Arial" w:hAnsi="Arial" w:cs="Arial"/>
          <w:sz w:val="22"/>
          <w:szCs w:val="22"/>
        </w:rPr>
      </w:pPr>
      <w:r w:rsidRPr="00601B12">
        <w:rPr>
          <w:rFonts w:ascii="Arial" w:hAnsi="Arial" w:cs="Arial"/>
          <w:bCs/>
          <w:color w:val="000000"/>
          <w:sz w:val="22"/>
          <w:szCs w:val="22"/>
        </w:rPr>
        <w:t xml:space="preserve">Welcome to the London Borough of Barking and Dagenham Pension Fund (“the Fund”) Annual Report for </w:t>
      </w:r>
      <w:r w:rsidR="00F22964">
        <w:rPr>
          <w:rFonts w:ascii="Arial" w:hAnsi="Arial" w:cs="Arial"/>
          <w:bCs/>
          <w:color w:val="000000"/>
          <w:sz w:val="22"/>
          <w:szCs w:val="22"/>
        </w:rPr>
        <w:t>202</w:t>
      </w:r>
      <w:r w:rsidR="00C80747">
        <w:rPr>
          <w:rFonts w:ascii="Arial" w:hAnsi="Arial" w:cs="Arial"/>
          <w:bCs/>
          <w:color w:val="000000"/>
          <w:sz w:val="22"/>
          <w:szCs w:val="22"/>
        </w:rPr>
        <w:t>1</w:t>
      </w:r>
      <w:r w:rsidR="00F22964">
        <w:rPr>
          <w:rFonts w:ascii="Arial" w:hAnsi="Arial" w:cs="Arial"/>
          <w:bCs/>
          <w:color w:val="000000"/>
          <w:sz w:val="22"/>
          <w:szCs w:val="22"/>
        </w:rPr>
        <w:t>/2</w:t>
      </w:r>
      <w:r w:rsidR="00C80747">
        <w:rPr>
          <w:rFonts w:ascii="Arial" w:hAnsi="Arial" w:cs="Arial"/>
          <w:bCs/>
          <w:color w:val="000000"/>
          <w:sz w:val="22"/>
          <w:szCs w:val="22"/>
        </w:rPr>
        <w:t>2</w:t>
      </w:r>
      <w:r w:rsidRPr="00601B12">
        <w:rPr>
          <w:rFonts w:ascii="Arial" w:hAnsi="Arial" w:cs="Arial"/>
          <w:bCs/>
          <w:color w:val="000000"/>
          <w:sz w:val="22"/>
          <w:szCs w:val="22"/>
        </w:rPr>
        <w:t xml:space="preserve">. </w:t>
      </w:r>
      <w:r w:rsidR="009137DC" w:rsidRPr="00601B12">
        <w:rPr>
          <w:rFonts w:ascii="Arial" w:hAnsi="Arial" w:cs="Arial"/>
          <w:sz w:val="22"/>
          <w:szCs w:val="22"/>
        </w:rPr>
        <w:t>This report allows the Council to demonstrate the high standard of governance and financial management applied to the Fund. It brings together several reporting strands into one document that enables stakeholders to see how the Fund is managed and how it is performing.</w:t>
      </w:r>
    </w:p>
    <w:p w14:paraId="6D162192" w14:textId="77777777" w:rsidR="000939A5" w:rsidRPr="00601B12" w:rsidRDefault="000939A5" w:rsidP="00EF47C8">
      <w:pPr>
        <w:autoSpaceDE w:val="0"/>
        <w:autoSpaceDN w:val="0"/>
        <w:adjustRightInd w:val="0"/>
        <w:ind w:left="426" w:hanging="426"/>
        <w:jc w:val="both"/>
        <w:rPr>
          <w:rFonts w:ascii="Arial" w:hAnsi="Arial" w:cs="Arial"/>
          <w:color w:val="000000"/>
          <w:sz w:val="22"/>
          <w:szCs w:val="22"/>
        </w:rPr>
      </w:pPr>
    </w:p>
    <w:p w14:paraId="6D162193" w14:textId="77777777" w:rsidR="001E5BA5" w:rsidRPr="00601B12" w:rsidRDefault="004146ED" w:rsidP="00EF47C8">
      <w:pPr>
        <w:autoSpaceDE w:val="0"/>
        <w:autoSpaceDN w:val="0"/>
        <w:adjustRightInd w:val="0"/>
        <w:ind w:left="426" w:hanging="426"/>
        <w:jc w:val="both"/>
        <w:rPr>
          <w:rFonts w:ascii="Arial" w:hAnsi="Arial" w:cs="Arial"/>
          <w:sz w:val="22"/>
          <w:szCs w:val="22"/>
        </w:rPr>
      </w:pPr>
      <w:r w:rsidRPr="00601B12">
        <w:rPr>
          <w:rFonts w:ascii="Arial" w:hAnsi="Arial" w:cs="Arial"/>
          <w:sz w:val="22"/>
          <w:szCs w:val="22"/>
        </w:rPr>
        <w:tab/>
      </w:r>
      <w:r w:rsidR="001E5BA5" w:rsidRPr="00601B12">
        <w:rPr>
          <w:rFonts w:ascii="Arial" w:hAnsi="Arial" w:cs="Arial"/>
          <w:sz w:val="22"/>
          <w:szCs w:val="22"/>
        </w:rPr>
        <w:t xml:space="preserve">The Fund is </w:t>
      </w:r>
      <w:r w:rsidR="00892476" w:rsidRPr="00601B12">
        <w:rPr>
          <w:rFonts w:ascii="Arial" w:hAnsi="Arial" w:cs="Arial"/>
          <w:sz w:val="22"/>
          <w:szCs w:val="22"/>
        </w:rPr>
        <w:t>Local Government Pension Scheme</w:t>
      </w:r>
      <w:r w:rsidR="00D576F8" w:rsidRPr="00601B12">
        <w:rPr>
          <w:rFonts w:ascii="Arial" w:hAnsi="Arial" w:cs="Arial"/>
          <w:sz w:val="22"/>
          <w:szCs w:val="22"/>
        </w:rPr>
        <w:t xml:space="preserve"> (“LGPS”)</w:t>
      </w:r>
      <w:r w:rsidR="00892476" w:rsidRPr="00601B12">
        <w:rPr>
          <w:rFonts w:ascii="Arial" w:hAnsi="Arial" w:cs="Arial"/>
          <w:sz w:val="22"/>
          <w:szCs w:val="22"/>
        </w:rPr>
        <w:t xml:space="preserve"> and is </w:t>
      </w:r>
      <w:r w:rsidR="001E5BA5" w:rsidRPr="00601B12">
        <w:rPr>
          <w:rFonts w:ascii="Arial" w:hAnsi="Arial" w:cs="Arial"/>
          <w:sz w:val="22"/>
          <w:szCs w:val="22"/>
        </w:rPr>
        <w:t xml:space="preserve">overseen by </w:t>
      </w:r>
      <w:r w:rsidR="00A10F76" w:rsidRPr="00601B12">
        <w:rPr>
          <w:rFonts w:ascii="Arial" w:hAnsi="Arial" w:cs="Arial"/>
          <w:sz w:val="22"/>
          <w:szCs w:val="22"/>
        </w:rPr>
        <w:t>a</w:t>
      </w:r>
      <w:r w:rsidR="001E5BA5" w:rsidRPr="00601B12">
        <w:rPr>
          <w:rFonts w:ascii="Arial" w:hAnsi="Arial" w:cs="Arial"/>
          <w:sz w:val="22"/>
          <w:szCs w:val="22"/>
        </w:rPr>
        <w:t xml:space="preserve"> </w:t>
      </w:r>
      <w:r w:rsidR="00D576F8" w:rsidRPr="00601B12">
        <w:rPr>
          <w:rFonts w:ascii="Arial" w:hAnsi="Arial" w:cs="Arial"/>
          <w:sz w:val="22"/>
          <w:szCs w:val="22"/>
        </w:rPr>
        <w:t>Committee</w:t>
      </w:r>
      <w:r w:rsidR="001E5BA5" w:rsidRPr="00601B12">
        <w:rPr>
          <w:rFonts w:ascii="Arial" w:hAnsi="Arial" w:cs="Arial"/>
          <w:sz w:val="22"/>
          <w:szCs w:val="22"/>
        </w:rPr>
        <w:t xml:space="preserve"> of the London Borough of Barking and Dagenham</w:t>
      </w:r>
      <w:r w:rsidR="00C9117A" w:rsidRPr="00601B12">
        <w:rPr>
          <w:rFonts w:ascii="Arial" w:hAnsi="Arial" w:cs="Arial"/>
          <w:sz w:val="22"/>
          <w:szCs w:val="22"/>
        </w:rPr>
        <w:t xml:space="preserve"> (“the Council”)</w:t>
      </w:r>
      <w:r w:rsidR="001E5BA5" w:rsidRPr="00601B12">
        <w:rPr>
          <w:rFonts w:ascii="Arial" w:hAnsi="Arial" w:cs="Arial"/>
          <w:sz w:val="22"/>
          <w:szCs w:val="22"/>
        </w:rPr>
        <w:t>, who are the sponsoring employer for the Fund.</w:t>
      </w:r>
      <w:r w:rsidR="00A10F76" w:rsidRPr="00601B12">
        <w:rPr>
          <w:rFonts w:ascii="Arial" w:hAnsi="Arial" w:cs="Arial"/>
          <w:sz w:val="22"/>
          <w:szCs w:val="22"/>
        </w:rPr>
        <w:t xml:space="preserve"> The Pension </w:t>
      </w:r>
      <w:r w:rsidR="00D576F8" w:rsidRPr="00601B12">
        <w:rPr>
          <w:rFonts w:ascii="Arial" w:hAnsi="Arial" w:cs="Arial"/>
          <w:sz w:val="22"/>
          <w:szCs w:val="22"/>
        </w:rPr>
        <w:t>Committee</w:t>
      </w:r>
      <w:r w:rsidR="00A10F76" w:rsidRPr="00601B12">
        <w:rPr>
          <w:rFonts w:ascii="Arial" w:hAnsi="Arial" w:cs="Arial"/>
          <w:sz w:val="22"/>
          <w:szCs w:val="22"/>
        </w:rPr>
        <w:t xml:space="preserve"> consists of </w:t>
      </w:r>
      <w:r w:rsidR="00085278" w:rsidRPr="00601B12">
        <w:rPr>
          <w:rFonts w:ascii="Arial" w:hAnsi="Arial" w:cs="Arial"/>
          <w:sz w:val="22"/>
          <w:szCs w:val="22"/>
        </w:rPr>
        <w:t>seven</w:t>
      </w:r>
      <w:r w:rsidR="00A10F76" w:rsidRPr="00601B12">
        <w:rPr>
          <w:rFonts w:ascii="Arial" w:hAnsi="Arial" w:cs="Arial"/>
          <w:sz w:val="22"/>
          <w:szCs w:val="22"/>
        </w:rPr>
        <w:t xml:space="preserve"> Councillors, with </w:t>
      </w:r>
      <w:r w:rsidR="00210989" w:rsidRPr="00601B12">
        <w:rPr>
          <w:rFonts w:ascii="Arial" w:hAnsi="Arial" w:cs="Arial"/>
          <w:sz w:val="22"/>
          <w:szCs w:val="22"/>
        </w:rPr>
        <w:t>three</w:t>
      </w:r>
      <w:r w:rsidR="00A10F76" w:rsidRPr="00601B12">
        <w:rPr>
          <w:rFonts w:ascii="Arial" w:hAnsi="Arial" w:cs="Arial"/>
          <w:sz w:val="22"/>
          <w:szCs w:val="22"/>
        </w:rPr>
        <w:t xml:space="preserve"> nonvoting observers representing the Unions</w:t>
      </w:r>
      <w:r w:rsidR="00210989" w:rsidRPr="00601B12">
        <w:rPr>
          <w:rFonts w:ascii="Arial" w:hAnsi="Arial" w:cs="Arial"/>
          <w:sz w:val="22"/>
          <w:szCs w:val="22"/>
        </w:rPr>
        <w:t>, members of the Fund and employers.</w:t>
      </w:r>
      <w:r w:rsidR="00892476" w:rsidRPr="00601B12">
        <w:rPr>
          <w:rFonts w:ascii="Arial" w:hAnsi="Arial" w:cs="Arial"/>
          <w:sz w:val="22"/>
          <w:szCs w:val="22"/>
        </w:rPr>
        <w:t xml:space="preserve"> </w:t>
      </w:r>
    </w:p>
    <w:p w14:paraId="6D162194" w14:textId="77777777" w:rsidR="009137DC" w:rsidRPr="00601B12" w:rsidRDefault="009137DC" w:rsidP="00EF47C8">
      <w:pPr>
        <w:autoSpaceDE w:val="0"/>
        <w:autoSpaceDN w:val="0"/>
        <w:adjustRightInd w:val="0"/>
        <w:ind w:left="426" w:hanging="426"/>
        <w:jc w:val="both"/>
        <w:rPr>
          <w:rFonts w:ascii="Arial" w:hAnsi="Arial" w:cs="Arial"/>
          <w:sz w:val="22"/>
          <w:szCs w:val="22"/>
        </w:rPr>
      </w:pPr>
    </w:p>
    <w:p w14:paraId="6D162195" w14:textId="77777777" w:rsidR="009137DC" w:rsidRPr="00601B12" w:rsidRDefault="009137DC" w:rsidP="009137DC">
      <w:pPr>
        <w:autoSpaceDE w:val="0"/>
        <w:autoSpaceDN w:val="0"/>
        <w:adjustRightInd w:val="0"/>
        <w:ind w:left="426"/>
        <w:jc w:val="both"/>
        <w:rPr>
          <w:rFonts w:ascii="Arial" w:hAnsi="Arial" w:cs="Arial"/>
          <w:sz w:val="22"/>
          <w:szCs w:val="22"/>
        </w:rPr>
      </w:pPr>
      <w:r w:rsidRPr="00601B12">
        <w:rPr>
          <w:rFonts w:ascii="Arial" w:hAnsi="Arial" w:cs="Arial"/>
          <w:sz w:val="22"/>
          <w:szCs w:val="22"/>
        </w:rPr>
        <w:t>The Fund is governed by the Public Service Pensions Act 2013 and the LGPS Regulations 2013 and the LGPS (Management and Investment of Funds) Regulations 2016. The content and format of this annual report is prescribed by the LGPS Regulations 2013.</w:t>
      </w:r>
    </w:p>
    <w:p w14:paraId="6D162196" w14:textId="77777777" w:rsidR="00C9117A" w:rsidRPr="00601B12" w:rsidRDefault="00C9117A" w:rsidP="00EF47C8">
      <w:pPr>
        <w:ind w:left="426" w:hanging="426"/>
        <w:jc w:val="both"/>
        <w:rPr>
          <w:rFonts w:ascii="Arial" w:hAnsi="Arial" w:cs="Arial"/>
          <w:b/>
          <w:sz w:val="22"/>
          <w:szCs w:val="22"/>
        </w:rPr>
      </w:pPr>
    </w:p>
    <w:p w14:paraId="6D162197" w14:textId="77777777" w:rsidR="00C9117A" w:rsidRPr="00601B12" w:rsidRDefault="004146ED" w:rsidP="00EF47C8">
      <w:pPr>
        <w:autoSpaceDE w:val="0"/>
        <w:autoSpaceDN w:val="0"/>
        <w:adjustRightInd w:val="0"/>
        <w:ind w:left="426" w:hanging="426"/>
        <w:jc w:val="both"/>
        <w:rPr>
          <w:rFonts w:ascii="Arial" w:hAnsi="Arial" w:cs="Arial"/>
          <w:b/>
          <w:color w:val="0070C0"/>
          <w:sz w:val="22"/>
          <w:szCs w:val="22"/>
        </w:rPr>
      </w:pPr>
      <w:r w:rsidRPr="00601B12">
        <w:rPr>
          <w:rFonts w:ascii="Arial" w:hAnsi="Arial" w:cs="Arial"/>
          <w:b/>
          <w:color w:val="0070C0"/>
          <w:sz w:val="22"/>
          <w:szCs w:val="22"/>
        </w:rPr>
        <w:t>1.</w:t>
      </w:r>
      <w:r w:rsidR="00892476" w:rsidRPr="00601B12">
        <w:rPr>
          <w:rFonts w:ascii="Arial" w:hAnsi="Arial" w:cs="Arial"/>
          <w:b/>
          <w:color w:val="0070C0"/>
          <w:sz w:val="22"/>
          <w:szCs w:val="22"/>
        </w:rPr>
        <w:t>2</w:t>
      </w:r>
      <w:r w:rsidRPr="00601B12">
        <w:rPr>
          <w:rFonts w:ascii="Arial" w:hAnsi="Arial" w:cs="Arial"/>
          <w:b/>
          <w:color w:val="0070C0"/>
          <w:sz w:val="22"/>
          <w:szCs w:val="22"/>
        </w:rPr>
        <w:tab/>
      </w:r>
      <w:r w:rsidR="00C9117A" w:rsidRPr="00601B12">
        <w:rPr>
          <w:rFonts w:ascii="Arial" w:hAnsi="Arial" w:cs="Arial"/>
          <w:b/>
          <w:color w:val="0070C0"/>
          <w:sz w:val="22"/>
          <w:szCs w:val="22"/>
        </w:rPr>
        <w:t>Performance</w:t>
      </w:r>
    </w:p>
    <w:p w14:paraId="6D162198" w14:textId="77777777" w:rsidR="00C9117A" w:rsidRPr="00601B12" w:rsidRDefault="00C9117A" w:rsidP="00EF47C8">
      <w:pPr>
        <w:ind w:left="426" w:hanging="426"/>
        <w:jc w:val="both"/>
        <w:rPr>
          <w:rFonts w:ascii="Arial" w:hAnsi="Arial" w:cs="Arial"/>
          <w:b/>
          <w:sz w:val="22"/>
          <w:szCs w:val="22"/>
          <w:highlight w:val="yellow"/>
        </w:rPr>
      </w:pPr>
    </w:p>
    <w:p w14:paraId="6D162199" w14:textId="5911BBAE" w:rsidR="00C9117A" w:rsidRPr="00601B12" w:rsidRDefault="004146ED"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9117A" w:rsidRPr="00E35F96">
        <w:rPr>
          <w:rFonts w:ascii="Arial" w:hAnsi="Arial" w:cs="Arial"/>
          <w:color w:val="000000"/>
          <w:sz w:val="22"/>
          <w:szCs w:val="22"/>
        </w:rPr>
        <w:t xml:space="preserve">During the year the market value of the Fund’s assets </w:t>
      </w:r>
      <w:r w:rsidR="0081597F">
        <w:rPr>
          <w:rFonts w:ascii="Arial" w:hAnsi="Arial" w:cs="Arial"/>
          <w:color w:val="000000"/>
          <w:sz w:val="22"/>
          <w:szCs w:val="22"/>
        </w:rPr>
        <w:t>in</w:t>
      </w:r>
      <w:r w:rsidR="001C0349">
        <w:rPr>
          <w:rFonts w:ascii="Arial" w:hAnsi="Arial" w:cs="Arial"/>
          <w:color w:val="000000"/>
          <w:sz w:val="22"/>
          <w:szCs w:val="22"/>
        </w:rPr>
        <w:t>creased</w:t>
      </w:r>
      <w:r w:rsidR="00C9117A" w:rsidRPr="00E35F96">
        <w:rPr>
          <w:rFonts w:ascii="Arial" w:hAnsi="Arial" w:cs="Arial"/>
          <w:color w:val="000000"/>
          <w:sz w:val="22"/>
          <w:szCs w:val="22"/>
        </w:rPr>
        <w:t xml:space="preserve"> </w:t>
      </w:r>
      <w:r w:rsidR="00CF289F" w:rsidRPr="00E35F96">
        <w:rPr>
          <w:rFonts w:ascii="Arial" w:hAnsi="Arial" w:cs="Arial"/>
          <w:color w:val="000000"/>
          <w:sz w:val="22"/>
          <w:szCs w:val="22"/>
        </w:rPr>
        <w:t>from £</w:t>
      </w:r>
      <w:r w:rsidR="0013358C" w:rsidRPr="00AD416F">
        <w:rPr>
          <w:rFonts w:ascii="Arial" w:hAnsi="Arial" w:cs="Arial"/>
          <w:color w:val="000000"/>
          <w:sz w:val="22"/>
          <w:szCs w:val="22"/>
        </w:rPr>
        <w:t>1,263.1</w:t>
      </w:r>
      <w:r w:rsidR="00333BE7" w:rsidRPr="00AD416F">
        <w:rPr>
          <w:rFonts w:ascii="Arial" w:hAnsi="Arial" w:cs="Arial"/>
          <w:color w:val="000000"/>
          <w:sz w:val="22"/>
          <w:szCs w:val="22"/>
        </w:rPr>
        <w:t>m</w:t>
      </w:r>
      <w:r w:rsidR="00616136" w:rsidRPr="00AD416F">
        <w:rPr>
          <w:rFonts w:ascii="Arial" w:hAnsi="Arial" w:cs="Arial"/>
          <w:color w:val="000000"/>
          <w:sz w:val="22"/>
          <w:szCs w:val="22"/>
        </w:rPr>
        <w:t xml:space="preserve"> to £1,</w:t>
      </w:r>
      <w:r w:rsidR="007857DD" w:rsidRPr="00AD416F">
        <w:rPr>
          <w:rFonts w:ascii="Arial" w:hAnsi="Arial" w:cs="Arial"/>
          <w:color w:val="000000"/>
          <w:sz w:val="22"/>
          <w:szCs w:val="22"/>
        </w:rPr>
        <w:t>384</w:t>
      </w:r>
      <w:r w:rsidR="00AD416F" w:rsidRPr="00AD416F">
        <w:rPr>
          <w:rFonts w:ascii="Arial" w:hAnsi="Arial" w:cs="Arial"/>
          <w:color w:val="000000"/>
          <w:sz w:val="22"/>
          <w:szCs w:val="22"/>
        </w:rPr>
        <w:t>.8</w:t>
      </w:r>
      <w:r w:rsidR="00616136" w:rsidRPr="00AD416F">
        <w:rPr>
          <w:rFonts w:ascii="Arial" w:hAnsi="Arial" w:cs="Arial"/>
          <w:color w:val="000000"/>
          <w:sz w:val="22"/>
          <w:szCs w:val="22"/>
        </w:rPr>
        <w:t>m</w:t>
      </w:r>
      <w:r w:rsidR="009A0C69" w:rsidRPr="00E35F96">
        <w:rPr>
          <w:rFonts w:ascii="Arial" w:hAnsi="Arial" w:cs="Arial"/>
          <w:color w:val="000000"/>
          <w:sz w:val="22"/>
          <w:szCs w:val="22"/>
        </w:rPr>
        <w:t>;</w:t>
      </w:r>
      <w:r w:rsidR="008D2849" w:rsidRPr="00E35F96">
        <w:rPr>
          <w:rFonts w:ascii="Arial" w:hAnsi="Arial" w:cs="Arial"/>
          <w:color w:val="000000"/>
          <w:sz w:val="22"/>
          <w:szCs w:val="22"/>
        </w:rPr>
        <w:t xml:space="preserve"> which equates to a</w:t>
      </w:r>
      <w:r w:rsidR="00616136">
        <w:rPr>
          <w:rFonts w:ascii="Arial" w:hAnsi="Arial" w:cs="Arial"/>
          <w:color w:val="000000"/>
          <w:sz w:val="22"/>
          <w:szCs w:val="22"/>
        </w:rPr>
        <w:t>n increase</w:t>
      </w:r>
      <w:r w:rsidR="008D2849" w:rsidRPr="00870B91">
        <w:rPr>
          <w:rFonts w:ascii="Arial" w:hAnsi="Arial" w:cs="Arial"/>
          <w:color w:val="000000"/>
          <w:sz w:val="22"/>
          <w:szCs w:val="22"/>
        </w:rPr>
        <w:t xml:space="preserve"> of </w:t>
      </w:r>
      <w:r w:rsidR="00825933">
        <w:rPr>
          <w:rFonts w:ascii="Arial" w:hAnsi="Arial" w:cs="Arial"/>
          <w:color w:val="000000"/>
          <w:sz w:val="22"/>
          <w:szCs w:val="22"/>
        </w:rPr>
        <w:t>9.6</w:t>
      </w:r>
      <w:r w:rsidR="00111983" w:rsidRPr="00870B91">
        <w:rPr>
          <w:rFonts w:ascii="Arial" w:hAnsi="Arial" w:cs="Arial"/>
          <w:color w:val="000000"/>
          <w:sz w:val="22"/>
          <w:szCs w:val="22"/>
        </w:rPr>
        <w:t>%</w:t>
      </w:r>
      <w:r w:rsidR="008D2849" w:rsidRPr="00870B91">
        <w:rPr>
          <w:rFonts w:ascii="Arial" w:hAnsi="Arial" w:cs="Arial"/>
          <w:color w:val="000000"/>
          <w:sz w:val="22"/>
          <w:szCs w:val="22"/>
        </w:rPr>
        <w:t>,</w:t>
      </w:r>
      <w:r w:rsidR="00111983" w:rsidRPr="00870B91">
        <w:rPr>
          <w:rFonts w:ascii="Arial" w:hAnsi="Arial" w:cs="Arial"/>
          <w:color w:val="000000"/>
          <w:sz w:val="22"/>
          <w:szCs w:val="22"/>
        </w:rPr>
        <w:t xml:space="preserve"> net of</w:t>
      </w:r>
      <w:r w:rsidR="00111983" w:rsidRPr="00E35F96">
        <w:rPr>
          <w:rFonts w:ascii="Arial" w:hAnsi="Arial" w:cs="Arial"/>
          <w:color w:val="000000"/>
          <w:sz w:val="22"/>
          <w:szCs w:val="22"/>
        </w:rPr>
        <w:t xml:space="preserve"> investment and administration costs.</w:t>
      </w:r>
    </w:p>
    <w:p w14:paraId="6D16219A" w14:textId="77777777" w:rsidR="00C9117A" w:rsidRPr="00601B12" w:rsidRDefault="00C9117A" w:rsidP="00EF47C8">
      <w:pPr>
        <w:ind w:left="426" w:hanging="426"/>
        <w:jc w:val="both"/>
        <w:rPr>
          <w:rFonts w:ascii="Arial" w:hAnsi="Arial" w:cs="Arial"/>
          <w:b/>
          <w:sz w:val="22"/>
          <w:szCs w:val="22"/>
          <w:highlight w:val="yellow"/>
        </w:rPr>
      </w:pPr>
    </w:p>
    <w:p w14:paraId="6D16219B" w14:textId="77777777" w:rsidR="00C9117A" w:rsidRPr="00601B12" w:rsidRDefault="004146ED" w:rsidP="00EF47C8">
      <w:pPr>
        <w:autoSpaceDE w:val="0"/>
        <w:autoSpaceDN w:val="0"/>
        <w:adjustRightInd w:val="0"/>
        <w:ind w:left="426" w:hanging="426"/>
        <w:jc w:val="both"/>
        <w:rPr>
          <w:rFonts w:ascii="Arial" w:hAnsi="Arial" w:cs="Arial"/>
          <w:b/>
          <w:color w:val="0070C0"/>
          <w:sz w:val="22"/>
          <w:szCs w:val="22"/>
        </w:rPr>
      </w:pPr>
      <w:r w:rsidRPr="00601B12">
        <w:rPr>
          <w:rFonts w:ascii="Arial" w:hAnsi="Arial" w:cs="Arial"/>
          <w:b/>
          <w:color w:val="0070C0"/>
          <w:sz w:val="22"/>
          <w:szCs w:val="22"/>
        </w:rPr>
        <w:t>1.</w:t>
      </w:r>
      <w:r w:rsidR="00892476" w:rsidRPr="00601B12">
        <w:rPr>
          <w:rFonts w:ascii="Arial" w:hAnsi="Arial" w:cs="Arial"/>
          <w:b/>
          <w:color w:val="0070C0"/>
          <w:sz w:val="22"/>
          <w:szCs w:val="22"/>
        </w:rPr>
        <w:t>3</w:t>
      </w:r>
      <w:r w:rsidRPr="00601B12">
        <w:rPr>
          <w:rFonts w:ascii="Arial" w:hAnsi="Arial" w:cs="Arial"/>
          <w:b/>
          <w:color w:val="0070C0"/>
          <w:sz w:val="22"/>
          <w:szCs w:val="22"/>
        </w:rPr>
        <w:tab/>
      </w:r>
      <w:r w:rsidR="00C9117A" w:rsidRPr="00601B12">
        <w:rPr>
          <w:rFonts w:ascii="Arial" w:hAnsi="Arial" w:cs="Arial"/>
          <w:b/>
          <w:color w:val="0070C0"/>
          <w:sz w:val="22"/>
          <w:szCs w:val="22"/>
        </w:rPr>
        <w:t>Strategy Changes</w:t>
      </w:r>
    </w:p>
    <w:p w14:paraId="6D16219C" w14:textId="77777777" w:rsidR="00C9117A" w:rsidRPr="00601B12" w:rsidRDefault="00C9117A" w:rsidP="00EF47C8">
      <w:pPr>
        <w:ind w:left="426" w:hanging="426"/>
        <w:jc w:val="both"/>
        <w:rPr>
          <w:rFonts w:ascii="Arial" w:hAnsi="Arial" w:cs="Arial"/>
          <w:b/>
          <w:sz w:val="22"/>
          <w:szCs w:val="22"/>
          <w:highlight w:val="yellow"/>
        </w:rPr>
      </w:pPr>
    </w:p>
    <w:p w14:paraId="6D16219E" w14:textId="2025CE0E" w:rsidR="004864DC" w:rsidRDefault="004146ED" w:rsidP="00DF1617">
      <w:pPr>
        <w:ind w:left="426" w:hanging="426"/>
        <w:jc w:val="both"/>
        <w:rPr>
          <w:rFonts w:ascii="Arial" w:hAnsi="Arial" w:cs="Arial"/>
          <w:sz w:val="22"/>
          <w:szCs w:val="22"/>
        </w:rPr>
      </w:pPr>
      <w:r w:rsidRPr="00601B12">
        <w:rPr>
          <w:rFonts w:ascii="Arial" w:hAnsi="Arial" w:cs="Arial"/>
          <w:color w:val="000000"/>
          <w:sz w:val="22"/>
          <w:szCs w:val="22"/>
        </w:rPr>
        <w:tab/>
      </w:r>
      <w:r w:rsidR="00074084" w:rsidRPr="00601B12">
        <w:rPr>
          <w:rFonts w:ascii="Arial" w:hAnsi="Arial" w:cs="Arial"/>
          <w:color w:val="000000"/>
          <w:sz w:val="22"/>
          <w:szCs w:val="22"/>
        </w:rPr>
        <w:t>N</w:t>
      </w:r>
      <w:r w:rsidR="00CF289F" w:rsidRPr="00601B12">
        <w:rPr>
          <w:rFonts w:ascii="Arial" w:hAnsi="Arial" w:cs="Arial"/>
          <w:color w:val="000000"/>
          <w:sz w:val="22"/>
          <w:szCs w:val="22"/>
        </w:rPr>
        <w:t>o major strategic changes</w:t>
      </w:r>
      <w:r w:rsidR="00074084" w:rsidRPr="00601B12">
        <w:rPr>
          <w:rFonts w:ascii="Arial" w:hAnsi="Arial" w:cs="Arial"/>
          <w:color w:val="000000"/>
          <w:sz w:val="22"/>
          <w:szCs w:val="22"/>
        </w:rPr>
        <w:t xml:space="preserve"> were made</w:t>
      </w:r>
      <w:r w:rsidR="00CF289F" w:rsidRPr="00601B12">
        <w:rPr>
          <w:rFonts w:ascii="Arial" w:hAnsi="Arial" w:cs="Arial"/>
          <w:color w:val="000000"/>
          <w:sz w:val="22"/>
          <w:szCs w:val="22"/>
        </w:rPr>
        <w:t xml:space="preserve"> during the year</w:t>
      </w:r>
      <w:r w:rsidR="00C2121E" w:rsidRPr="00601B12">
        <w:rPr>
          <w:rFonts w:ascii="Arial" w:hAnsi="Arial" w:cs="Arial"/>
          <w:color w:val="000000"/>
          <w:sz w:val="22"/>
          <w:szCs w:val="22"/>
        </w:rPr>
        <w:t xml:space="preserve">. </w:t>
      </w:r>
      <w:r w:rsidR="00074084" w:rsidRPr="00601B12">
        <w:rPr>
          <w:rFonts w:ascii="Arial" w:hAnsi="Arial" w:cs="Arial"/>
          <w:color w:val="000000"/>
          <w:sz w:val="22"/>
          <w:szCs w:val="22"/>
        </w:rPr>
        <w:t>Continuous m</w:t>
      </w:r>
      <w:r w:rsidR="00CF289F" w:rsidRPr="00601B12">
        <w:rPr>
          <w:rFonts w:ascii="Arial" w:hAnsi="Arial" w:cs="Arial"/>
          <w:color w:val="000000"/>
          <w:sz w:val="22"/>
          <w:szCs w:val="22"/>
        </w:rPr>
        <w:t xml:space="preserve">onitoring of the Fund’s strategy and managers </w:t>
      </w:r>
      <w:r w:rsidR="00074084" w:rsidRPr="00601B12">
        <w:rPr>
          <w:rFonts w:ascii="Arial" w:hAnsi="Arial" w:cs="Arial"/>
          <w:color w:val="000000"/>
          <w:sz w:val="22"/>
          <w:szCs w:val="22"/>
        </w:rPr>
        <w:t>was carried out</w:t>
      </w:r>
      <w:r w:rsidR="00CF289F" w:rsidRPr="00601B12">
        <w:rPr>
          <w:rFonts w:ascii="Arial" w:hAnsi="Arial" w:cs="Arial"/>
          <w:color w:val="000000"/>
          <w:sz w:val="22"/>
          <w:szCs w:val="22"/>
        </w:rPr>
        <w:t>,</w:t>
      </w:r>
      <w:r w:rsidR="00C2121E" w:rsidRPr="00601B12">
        <w:rPr>
          <w:rFonts w:ascii="Arial" w:hAnsi="Arial" w:cs="Arial"/>
          <w:color w:val="000000"/>
          <w:sz w:val="22"/>
          <w:szCs w:val="22"/>
        </w:rPr>
        <w:t xml:space="preserve"> with quarterly</w:t>
      </w:r>
      <w:r w:rsidR="009A0C69" w:rsidRPr="00601B12">
        <w:rPr>
          <w:rFonts w:ascii="Arial" w:hAnsi="Arial" w:cs="Arial"/>
          <w:color w:val="000000"/>
          <w:sz w:val="22"/>
          <w:szCs w:val="22"/>
        </w:rPr>
        <w:t xml:space="preserve"> performance, cashflow and governance </w:t>
      </w:r>
      <w:r w:rsidR="00C2121E" w:rsidRPr="00601B12">
        <w:rPr>
          <w:rFonts w:ascii="Arial" w:hAnsi="Arial" w:cs="Arial"/>
          <w:color w:val="000000"/>
          <w:sz w:val="22"/>
          <w:szCs w:val="22"/>
        </w:rPr>
        <w:t>reviews</w:t>
      </w:r>
      <w:r w:rsidR="009A0C69" w:rsidRPr="00601B12">
        <w:rPr>
          <w:rFonts w:ascii="Arial" w:hAnsi="Arial" w:cs="Arial"/>
          <w:color w:val="000000"/>
          <w:sz w:val="22"/>
          <w:szCs w:val="22"/>
        </w:rPr>
        <w:t xml:space="preserve"> </w:t>
      </w:r>
      <w:r w:rsidR="00C2121E" w:rsidRPr="00601B12">
        <w:rPr>
          <w:rFonts w:ascii="Arial" w:hAnsi="Arial" w:cs="Arial"/>
          <w:color w:val="000000"/>
          <w:sz w:val="22"/>
          <w:szCs w:val="22"/>
        </w:rPr>
        <w:t>by the Pension Committee</w:t>
      </w:r>
      <w:r w:rsidR="00FD433D" w:rsidRPr="00601B12">
        <w:rPr>
          <w:rFonts w:ascii="Arial" w:hAnsi="Arial" w:cs="Arial"/>
          <w:color w:val="000000"/>
          <w:sz w:val="22"/>
          <w:szCs w:val="22"/>
        </w:rPr>
        <w:t>.</w:t>
      </w:r>
      <w:r w:rsidR="00D23B13" w:rsidRPr="00D23B13">
        <w:rPr>
          <w:rFonts w:ascii="Arial" w:hAnsi="Arial" w:cs="Arial"/>
          <w:sz w:val="22"/>
          <w:szCs w:val="22"/>
        </w:rPr>
        <w:t xml:space="preserve"> </w:t>
      </w:r>
      <w:r w:rsidR="00DF1617" w:rsidRPr="00DF1617">
        <w:rPr>
          <w:rFonts w:ascii="Arial" w:hAnsi="Arial" w:cs="Arial"/>
          <w:sz w:val="22"/>
          <w:szCs w:val="22"/>
        </w:rPr>
        <w:t xml:space="preserve">2021/22 had positive return for the year, although the return was significantly reduced </w:t>
      </w:r>
      <w:proofErr w:type="gramStart"/>
      <w:r w:rsidR="00DF1617" w:rsidRPr="00DF1617">
        <w:rPr>
          <w:rFonts w:ascii="Arial" w:hAnsi="Arial" w:cs="Arial"/>
          <w:sz w:val="22"/>
          <w:szCs w:val="22"/>
        </w:rPr>
        <w:t>as a result of</w:t>
      </w:r>
      <w:proofErr w:type="gramEnd"/>
      <w:r w:rsidR="00DF1617" w:rsidRPr="00DF1617">
        <w:rPr>
          <w:rFonts w:ascii="Arial" w:hAnsi="Arial" w:cs="Arial"/>
          <w:sz w:val="22"/>
          <w:szCs w:val="22"/>
        </w:rPr>
        <w:t xml:space="preserve"> a market downturn following Russia’s invasion of Ukraine</w:t>
      </w:r>
      <w:r w:rsidR="00DF1617">
        <w:rPr>
          <w:rFonts w:ascii="Arial" w:hAnsi="Arial" w:cs="Arial"/>
          <w:sz w:val="22"/>
          <w:szCs w:val="22"/>
        </w:rPr>
        <w:t xml:space="preserve">. </w:t>
      </w:r>
    </w:p>
    <w:p w14:paraId="60F21EF6" w14:textId="77777777" w:rsidR="00DF1617" w:rsidRPr="00601B12" w:rsidRDefault="00DF1617" w:rsidP="00DF1617">
      <w:pPr>
        <w:ind w:left="426" w:hanging="426"/>
        <w:jc w:val="both"/>
        <w:rPr>
          <w:rFonts w:ascii="Arial" w:hAnsi="Arial" w:cs="Arial"/>
          <w:b/>
          <w:color w:val="000000"/>
          <w:sz w:val="22"/>
          <w:szCs w:val="22"/>
        </w:rPr>
      </w:pPr>
    </w:p>
    <w:p w14:paraId="6D16219F" w14:textId="77777777" w:rsidR="00C9117A" w:rsidRPr="00601B12" w:rsidRDefault="004146ED" w:rsidP="00EF47C8">
      <w:pPr>
        <w:autoSpaceDE w:val="0"/>
        <w:autoSpaceDN w:val="0"/>
        <w:adjustRightInd w:val="0"/>
        <w:ind w:left="426" w:hanging="426"/>
        <w:jc w:val="both"/>
        <w:rPr>
          <w:rFonts w:ascii="Arial" w:hAnsi="Arial" w:cs="Arial"/>
          <w:b/>
          <w:color w:val="0070C0"/>
          <w:sz w:val="22"/>
          <w:szCs w:val="22"/>
        </w:rPr>
      </w:pPr>
      <w:r w:rsidRPr="00601B12">
        <w:rPr>
          <w:rFonts w:ascii="Arial" w:hAnsi="Arial" w:cs="Arial"/>
          <w:b/>
          <w:color w:val="0070C0"/>
          <w:sz w:val="22"/>
          <w:szCs w:val="22"/>
        </w:rPr>
        <w:t>1.</w:t>
      </w:r>
      <w:r w:rsidR="00892476" w:rsidRPr="00601B12">
        <w:rPr>
          <w:rFonts w:ascii="Arial" w:hAnsi="Arial" w:cs="Arial"/>
          <w:b/>
          <w:color w:val="0070C0"/>
          <w:sz w:val="22"/>
          <w:szCs w:val="22"/>
        </w:rPr>
        <w:t>4</w:t>
      </w:r>
      <w:r w:rsidRPr="00601B12">
        <w:rPr>
          <w:rFonts w:ascii="Arial" w:hAnsi="Arial" w:cs="Arial"/>
          <w:b/>
          <w:color w:val="0070C0"/>
          <w:sz w:val="22"/>
          <w:szCs w:val="22"/>
        </w:rPr>
        <w:tab/>
      </w:r>
      <w:r w:rsidR="00C9117A" w:rsidRPr="00601B12">
        <w:rPr>
          <w:rFonts w:ascii="Arial" w:hAnsi="Arial" w:cs="Arial"/>
          <w:b/>
          <w:color w:val="0070C0"/>
          <w:sz w:val="22"/>
          <w:szCs w:val="22"/>
        </w:rPr>
        <w:t>Fund Employers</w:t>
      </w:r>
    </w:p>
    <w:p w14:paraId="6D1621A0" w14:textId="77777777" w:rsidR="00C9117A" w:rsidRPr="00601B12" w:rsidRDefault="00C9117A" w:rsidP="00EF47C8">
      <w:pPr>
        <w:ind w:left="426" w:hanging="426"/>
        <w:jc w:val="both"/>
        <w:rPr>
          <w:rFonts w:ascii="Arial" w:hAnsi="Arial" w:cs="Arial"/>
          <w:sz w:val="22"/>
          <w:szCs w:val="22"/>
        </w:rPr>
      </w:pPr>
    </w:p>
    <w:p w14:paraId="54918CA7" w14:textId="3042B0B8" w:rsidR="004D3962" w:rsidRPr="00E35F96" w:rsidRDefault="00422185" w:rsidP="00CF289F">
      <w:pPr>
        <w:ind w:left="426"/>
        <w:jc w:val="both"/>
        <w:rPr>
          <w:rFonts w:ascii="Arial" w:hAnsi="Arial" w:cs="Arial"/>
          <w:sz w:val="22"/>
          <w:szCs w:val="22"/>
        </w:rPr>
      </w:pPr>
      <w:r>
        <w:rPr>
          <w:rFonts w:ascii="Arial" w:hAnsi="Arial" w:cs="Arial"/>
          <w:sz w:val="22"/>
          <w:szCs w:val="22"/>
        </w:rPr>
        <w:t>One</w:t>
      </w:r>
      <w:r w:rsidR="004D3962" w:rsidRPr="004D3962">
        <w:rPr>
          <w:rFonts w:ascii="Arial" w:hAnsi="Arial" w:cs="Arial"/>
          <w:sz w:val="22"/>
          <w:szCs w:val="22"/>
        </w:rPr>
        <w:t xml:space="preserve"> new employer</w:t>
      </w:r>
      <w:r>
        <w:rPr>
          <w:rFonts w:ascii="Arial" w:hAnsi="Arial" w:cs="Arial"/>
          <w:sz w:val="22"/>
          <w:szCs w:val="22"/>
        </w:rPr>
        <w:t xml:space="preserve"> </w:t>
      </w:r>
      <w:r w:rsidR="004D3962" w:rsidRPr="004D3962">
        <w:rPr>
          <w:rFonts w:ascii="Arial" w:hAnsi="Arial" w:cs="Arial"/>
          <w:sz w:val="22"/>
          <w:szCs w:val="22"/>
        </w:rPr>
        <w:t>w</w:t>
      </w:r>
      <w:r>
        <w:rPr>
          <w:rFonts w:ascii="Arial" w:hAnsi="Arial" w:cs="Arial"/>
          <w:sz w:val="22"/>
          <w:szCs w:val="22"/>
        </w:rPr>
        <w:t xml:space="preserve">as </w:t>
      </w:r>
      <w:r w:rsidR="004D3962" w:rsidRPr="004D3962">
        <w:rPr>
          <w:rFonts w:ascii="Arial" w:hAnsi="Arial" w:cs="Arial"/>
          <w:sz w:val="22"/>
          <w:szCs w:val="22"/>
        </w:rPr>
        <w:t xml:space="preserve">admitted to the Fund in </w:t>
      </w:r>
      <w:r w:rsidR="00F22964">
        <w:rPr>
          <w:rFonts w:ascii="Arial" w:hAnsi="Arial" w:cs="Arial"/>
          <w:sz w:val="22"/>
          <w:szCs w:val="22"/>
        </w:rPr>
        <w:t>202</w:t>
      </w:r>
      <w:r>
        <w:rPr>
          <w:rFonts w:ascii="Arial" w:hAnsi="Arial" w:cs="Arial"/>
          <w:sz w:val="22"/>
          <w:szCs w:val="22"/>
        </w:rPr>
        <w:t>1/22</w:t>
      </w:r>
      <w:r w:rsidR="004D3962" w:rsidRPr="004D3962">
        <w:rPr>
          <w:rFonts w:ascii="Arial" w:hAnsi="Arial" w:cs="Arial"/>
          <w:sz w:val="22"/>
          <w:szCs w:val="22"/>
        </w:rPr>
        <w:t xml:space="preserve">, </w:t>
      </w:r>
      <w:r w:rsidR="00E549F2">
        <w:rPr>
          <w:rFonts w:ascii="Arial" w:hAnsi="Arial" w:cs="Arial"/>
          <w:sz w:val="22"/>
          <w:szCs w:val="22"/>
        </w:rPr>
        <w:t>which was Aspens 3.</w:t>
      </w:r>
      <w:r w:rsidR="004D3962" w:rsidRPr="004D3962">
        <w:rPr>
          <w:rFonts w:ascii="Arial" w:hAnsi="Arial" w:cs="Arial"/>
          <w:sz w:val="22"/>
          <w:szCs w:val="22"/>
        </w:rPr>
        <w:t xml:space="preserve"> During the year, the total number of active employers within the Fund was </w:t>
      </w:r>
      <w:r w:rsidR="00852DD8">
        <w:rPr>
          <w:rFonts w:ascii="Arial" w:hAnsi="Arial" w:cs="Arial"/>
          <w:sz w:val="22"/>
          <w:szCs w:val="22"/>
        </w:rPr>
        <w:t>4</w:t>
      </w:r>
      <w:r w:rsidR="00645F50">
        <w:rPr>
          <w:rFonts w:ascii="Arial" w:hAnsi="Arial" w:cs="Arial"/>
          <w:sz w:val="22"/>
          <w:szCs w:val="22"/>
        </w:rPr>
        <w:t>2</w:t>
      </w:r>
      <w:r w:rsidR="004D3962" w:rsidRPr="004D3962">
        <w:rPr>
          <w:rFonts w:ascii="Arial" w:hAnsi="Arial" w:cs="Arial"/>
          <w:sz w:val="22"/>
          <w:szCs w:val="22"/>
        </w:rPr>
        <w:t xml:space="preserve">. </w:t>
      </w:r>
    </w:p>
    <w:p w14:paraId="55283F5B" w14:textId="77777777" w:rsidR="0019222C" w:rsidRPr="00601B12" w:rsidRDefault="0019222C" w:rsidP="00CF289F">
      <w:pPr>
        <w:ind w:left="426"/>
        <w:jc w:val="both"/>
        <w:rPr>
          <w:rFonts w:ascii="Arial" w:hAnsi="Arial" w:cs="Arial"/>
          <w:b/>
          <w:sz w:val="22"/>
          <w:szCs w:val="22"/>
        </w:rPr>
      </w:pPr>
    </w:p>
    <w:p w14:paraId="6D1621A3" w14:textId="77777777" w:rsidR="00C9117A" w:rsidRPr="00601B12" w:rsidRDefault="004146ED" w:rsidP="00EF47C8">
      <w:pPr>
        <w:ind w:left="426" w:hanging="426"/>
        <w:jc w:val="both"/>
        <w:rPr>
          <w:rFonts w:ascii="Arial" w:hAnsi="Arial" w:cs="Arial"/>
          <w:b/>
          <w:color w:val="0070C0"/>
          <w:sz w:val="22"/>
          <w:szCs w:val="22"/>
        </w:rPr>
      </w:pPr>
      <w:r w:rsidRPr="00601B12">
        <w:rPr>
          <w:rFonts w:ascii="Arial" w:hAnsi="Arial" w:cs="Arial"/>
          <w:b/>
          <w:color w:val="0070C0"/>
          <w:sz w:val="22"/>
          <w:szCs w:val="22"/>
        </w:rPr>
        <w:t>1</w:t>
      </w:r>
      <w:r w:rsidR="00892476" w:rsidRPr="00601B12">
        <w:rPr>
          <w:rFonts w:ascii="Arial" w:hAnsi="Arial" w:cs="Arial"/>
          <w:b/>
          <w:color w:val="0070C0"/>
          <w:sz w:val="22"/>
          <w:szCs w:val="22"/>
        </w:rPr>
        <w:t>.5</w:t>
      </w:r>
      <w:r w:rsidRPr="00601B12">
        <w:rPr>
          <w:rFonts w:ascii="Arial" w:hAnsi="Arial" w:cs="Arial"/>
          <w:b/>
          <w:color w:val="0070C0"/>
          <w:sz w:val="22"/>
          <w:szCs w:val="22"/>
        </w:rPr>
        <w:tab/>
      </w:r>
      <w:r w:rsidR="00A325F6" w:rsidRPr="00601B12">
        <w:rPr>
          <w:rFonts w:ascii="Arial" w:hAnsi="Arial" w:cs="Arial"/>
          <w:b/>
          <w:color w:val="0070C0"/>
          <w:sz w:val="22"/>
          <w:szCs w:val="22"/>
        </w:rPr>
        <w:t>Triennial Valuation</w:t>
      </w:r>
    </w:p>
    <w:p w14:paraId="6D1621A4" w14:textId="77777777" w:rsidR="00C9117A" w:rsidRPr="00601B12" w:rsidRDefault="00C9117A" w:rsidP="00EF47C8">
      <w:pPr>
        <w:ind w:left="426" w:hanging="426"/>
        <w:jc w:val="both"/>
        <w:rPr>
          <w:rFonts w:ascii="Arial" w:hAnsi="Arial" w:cs="Arial"/>
          <w:b/>
          <w:sz w:val="22"/>
          <w:szCs w:val="22"/>
        </w:rPr>
      </w:pPr>
    </w:p>
    <w:p w14:paraId="6D1621A5" w14:textId="27A53093" w:rsidR="004864DC" w:rsidRPr="00601B12" w:rsidRDefault="004146ED" w:rsidP="004864DC">
      <w:pPr>
        <w:ind w:left="426" w:hanging="426"/>
        <w:jc w:val="both"/>
        <w:rPr>
          <w:rFonts w:ascii="Arial" w:hAnsi="Arial" w:cs="Arial"/>
          <w:color w:val="000000"/>
          <w:sz w:val="22"/>
          <w:szCs w:val="22"/>
        </w:rPr>
      </w:pPr>
      <w:r w:rsidRPr="00601B12">
        <w:rPr>
          <w:rFonts w:ascii="Arial" w:hAnsi="Arial" w:cs="Arial"/>
          <w:sz w:val="22"/>
          <w:szCs w:val="22"/>
        </w:rPr>
        <w:tab/>
      </w:r>
      <w:r w:rsidR="00C9117A" w:rsidRPr="00F62363">
        <w:rPr>
          <w:rFonts w:ascii="Arial" w:hAnsi="Arial" w:cs="Arial"/>
          <w:sz w:val="22"/>
          <w:szCs w:val="22"/>
        </w:rPr>
        <w:t xml:space="preserve">The </w:t>
      </w:r>
      <w:r w:rsidR="00992A53" w:rsidRPr="00F62363">
        <w:rPr>
          <w:rFonts w:ascii="Arial" w:hAnsi="Arial" w:cs="Arial"/>
          <w:sz w:val="22"/>
          <w:szCs w:val="22"/>
        </w:rPr>
        <w:t xml:space="preserve">Fund’s triennial review was </w:t>
      </w:r>
      <w:r w:rsidR="00CF289F" w:rsidRPr="00F62363">
        <w:rPr>
          <w:rFonts w:ascii="Arial" w:hAnsi="Arial" w:cs="Arial"/>
          <w:sz w:val="22"/>
          <w:szCs w:val="22"/>
        </w:rPr>
        <w:t xml:space="preserve">last </w:t>
      </w:r>
      <w:r w:rsidR="00992A53" w:rsidRPr="00F62363">
        <w:rPr>
          <w:rFonts w:ascii="Arial" w:hAnsi="Arial" w:cs="Arial"/>
          <w:sz w:val="22"/>
          <w:szCs w:val="22"/>
        </w:rPr>
        <w:t xml:space="preserve">completed on </w:t>
      </w:r>
      <w:r w:rsidR="00C9117A" w:rsidRPr="00F62363">
        <w:rPr>
          <w:rFonts w:ascii="Arial" w:hAnsi="Arial" w:cs="Arial"/>
          <w:sz w:val="22"/>
          <w:szCs w:val="22"/>
        </w:rPr>
        <w:t>31 March 201</w:t>
      </w:r>
      <w:r w:rsidR="003010CD" w:rsidRPr="00F62363">
        <w:rPr>
          <w:rFonts w:ascii="Arial" w:hAnsi="Arial" w:cs="Arial"/>
          <w:sz w:val="22"/>
          <w:szCs w:val="22"/>
        </w:rPr>
        <w:t>9</w:t>
      </w:r>
      <w:r w:rsidR="00C9117A" w:rsidRPr="00F62363">
        <w:rPr>
          <w:rFonts w:ascii="Arial" w:hAnsi="Arial" w:cs="Arial"/>
          <w:color w:val="000000"/>
          <w:sz w:val="22"/>
          <w:szCs w:val="22"/>
        </w:rPr>
        <w:t xml:space="preserve">. </w:t>
      </w:r>
      <w:r w:rsidR="00C91DB6" w:rsidRPr="00F62363">
        <w:rPr>
          <w:rFonts w:ascii="Arial" w:hAnsi="Arial" w:cs="Arial"/>
          <w:color w:val="000000"/>
          <w:sz w:val="22"/>
          <w:szCs w:val="22"/>
        </w:rPr>
        <w:t xml:space="preserve">Following </w:t>
      </w:r>
      <w:r w:rsidR="00C9117A" w:rsidRPr="00F62363">
        <w:rPr>
          <w:rFonts w:ascii="Arial" w:hAnsi="Arial" w:cs="Arial"/>
          <w:color w:val="000000"/>
          <w:sz w:val="22"/>
          <w:szCs w:val="22"/>
        </w:rPr>
        <w:t xml:space="preserve">strong investment </w:t>
      </w:r>
      <w:r w:rsidR="005E2371" w:rsidRPr="00F62363">
        <w:rPr>
          <w:rFonts w:ascii="Arial" w:hAnsi="Arial" w:cs="Arial"/>
          <w:color w:val="000000"/>
          <w:sz w:val="22"/>
          <w:szCs w:val="22"/>
        </w:rPr>
        <w:t>growth,</w:t>
      </w:r>
      <w:r w:rsidR="004864DC" w:rsidRPr="00F62363">
        <w:rPr>
          <w:rFonts w:ascii="Arial" w:hAnsi="Arial" w:cs="Arial"/>
          <w:color w:val="000000"/>
          <w:sz w:val="22"/>
          <w:szCs w:val="22"/>
        </w:rPr>
        <w:t xml:space="preserve"> </w:t>
      </w:r>
      <w:r w:rsidR="00C9117A" w:rsidRPr="00F62363">
        <w:rPr>
          <w:rFonts w:ascii="Arial" w:hAnsi="Arial" w:cs="Arial"/>
          <w:color w:val="000000"/>
          <w:sz w:val="22"/>
          <w:szCs w:val="22"/>
        </w:rPr>
        <w:t xml:space="preserve">the </w:t>
      </w:r>
      <w:r w:rsidR="00C9117A" w:rsidRPr="00F62363">
        <w:rPr>
          <w:rFonts w:ascii="Arial" w:hAnsi="Arial" w:cs="Arial"/>
          <w:sz w:val="22"/>
          <w:szCs w:val="22"/>
        </w:rPr>
        <w:t>funding level</w:t>
      </w:r>
      <w:r w:rsidR="00C91DB6" w:rsidRPr="00F62363">
        <w:rPr>
          <w:rFonts w:ascii="Arial" w:hAnsi="Arial" w:cs="Arial"/>
          <w:sz w:val="22"/>
          <w:szCs w:val="22"/>
        </w:rPr>
        <w:t xml:space="preserve"> increased </w:t>
      </w:r>
      <w:r w:rsidR="00C9117A" w:rsidRPr="00F62363">
        <w:rPr>
          <w:rFonts w:ascii="Arial" w:hAnsi="Arial" w:cs="Arial"/>
          <w:sz w:val="22"/>
          <w:szCs w:val="22"/>
        </w:rPr>
        <w:t xml:space="preserve">from </w:t>
      </w:r>
      <w:r w:rsidR="00353388" w:rsidRPr="00F62363">
        <w:rPr>
          <w:rFonts w:ascii="Arial" w:hAnsi="Arial" w:cs="Arial"/>
          <w:sz w:val="22"/>
          <w:szCs w:val="22"/>
        </w:rPr>
        <w:t>77</w:t>
      </w:r>
      <w:r w:rsidR="00C9117A" w:rsidRPr="00F62363">
        <w:rPr>
          <w:rFonts w:ascii="Arial" w:hAnsi="Arial" w:cs="Arial"/>
          <w:sz w:val="22"/>
          <w:szCs w:val="22"/>
        </w:rPr>
        <w:t>% in 201</w:t>
      </w:r>
      <w:r w:rsidR="00353388" w:rsidRPr="00F62363">
        <w:rPr>
          <w:rFonts w:ascii="Arial" w:hAnsi="Arial" w:cs="Arial"/>
          <w:sz w:val="22"/>
          <w:szCs w:val="22"/>
        </w:rPr>
        <w:t>6</w:t>
      </w:r>
      <w:r w:rsidR="00C9117A" w:rsidRPr="00F62363">
        <w:rPr>
          <w:rFonts w:ascii="Arial" w:hAnsi="Arial" w:cs="Arial"/>
          <w:sz w:val="22"/>
          <w:szCs w:val="22"/>
        </w:rPr>
        <w:t xml:space="preserve"> to </w:t>
      </w:r>
      <w:r w:rsidR="00D062BE" w:rsidRPr="00F62363">
        <w:rPr>
          <w:rFonts w:ascii="Arial" w:hAnsi="Arial" w:cs="Arial"/>
          <w:sz w:val="22"/>
          <w:szCs w:val="22"/>
        </w:rPr>
        <w:t>90</w:t>
      </w:r>
      <w:r w:rsidR="00C9117A" w:rsidRPr="00F62363">
        <w:rPr>
          <w:rFonts w:ascii="Arial" w:hAnsi="Arial" w:cs="Arial"/>
          <w:sz w:val="22"/>
          <w:szCs w:val="22"/>
        </w:rPr>
        <w:t xml:space="preserve">% </w:t>
      </w:r>
      <w:proofErr w:type="gramStart"/>
      <w:r w:rsidR="00C9117A" w:rsidRPr="00F62363">
        <w:rPr>
          <w:rFonts w:ascii="Arial" w:hAnsi="Arial" w:cs="Arial"/>
          <w:sz w:val="22"/>
          <w:szCs w:val="22"/>
        </w:rPr>
        <w:t>at</w:t>
      </w:r>
      <w:proofErr w:type="gramEnd"/>
      <w:r w:rsidR="00C9117A" w:rsidRPr="00F62363">
        <w:rPr>
          <w:rFonts w:ascii="Arial" w:hAnsi="Arial" w:cs="Arial"/>
          <w:sz w:val="22"/>
          <w:szCs w:val="22"/>
        </w:rPr>
        <w:t xml:space="preserve"> 31 March 201</w:t>
      </w:r>
      <w:r w:rsidR="00D062BE" w:rsidRPr="00F62363">
        <w:rPr>
          <w:rFonts w:ascii="Arial" w:hAnsi="Arial" w:cs="Arial"/>
          <w:sz w:val="22"/>
          <w:szCs w:val="22"/>
        </w:rPr>
        <w:t>9</w:t>
      </w:r>
      <w:r w:rsidR="00C9117A" w:rsidRPr="00F62363">
        <w:rPr>
          <w:rFonts w:ascii="Arial" w:hAnsi="Arial" w:cs="Arial"/>
          <w:color w:val="000000"/>
          <w:sz w:val="22"/>
          <w:szCs w:val="22"/>
        </w:rPr>
        <w:t xml:space="preserve">. </w:t>
      </w:r>
      <w:r w:rsidR="00BA283F" w:rsidRPr="00F62363">
        <w:rPr>
          <w:rFonts w:ascii="Arial" w:hAnsi="Arial" w:cs="Arial"/>
          <w:color w:val="000000"/>
          <w:sz w:val="22"/>
          <w:szCs w:val="22"/>
        </w:rPr>
        <w:t xml:space="preserve">The Fund’s estimated funding level as </w:t>
      </w:r>
      <w:proofErr w:type="gramStart"/>
      <w:r w:rsidR="00BA283F" w:rsidRPr="00F62363">
        <w:rPr>
          <w:rFonts w:ascii="Arial" w:hAnsi="Arial" w:cs="Arial"/>
          <w:color w:val="000000"/>
          <w:sz w:val="22"/>
          <w:szCs w:val="22"/>
        </w:rPr>
        <w:t>at</w:t>
      </w:r>
      <w:proofErr w:type="gramEnd"/>
      <w:r w:rsidR="00BA283F" w:rsidRPr="00F62363">
        <w:rPr>
          <w:rFonts w:ascii="Arial" w:hAnsi="Arial" w:cs="Arial"/>
          <w:color w:val="000000"/>
          <w:sz w:val="22"/>
          <w:szCs w:val="22"/>
        </w:rPr>
        <w:t xml:space="preserve"> 31 March 20</w:t>
      </w:r>
      <w:r w:rsidR="002D344C" w:rsidRPr="00F62363">
        <w:rPr>
          <w:rFonts w:ascii="Arial" w:hAnsi="Arial" w:cs="Arial"/>
          <w:color w:val="000000"/>
          <w:sz w:val="22"/>
          <w:szCs w:val="22"/>
        </w:rPr>
        <w:t>2</w:t>
      </w:r>
      <w:r w:rsidR="005963D5" w:rsidRPr="00F62363">
        <w:rPr>
          <w:rFonts w:ascii="Arial" w:hAnsi="Arial" w:cs="Arial"/>
          <w:color w:val="000000"/>
          <w:sz w:val="22"/>
          <w:szCs w:val="22"/>
        </w:rPr>
        <w:t>1</w:t>
      </w:r>
      <w:r w:rsidR="00BA283F" w:rsidRPr="00F62363">
        <w:rPr>
          <w:rFonts w:ascii="Arial" w:hAnsi="Arial" w:cs="Arial"/>
          <w:color w:val="000000"/>
          <w:sz w:val="22"/>
          <w:szCs w:val="22"/>
        </w:rPr>
        <w:t xml:space="preserve"> was </w:t>
      </w:r>
      <w:r w:rsidR="003549FE" w:rsidRPr="00F62363">
        <w:rPr>
          <w:rFonts w:ascii="Arial" w:hAnsi="Arial" w:cs="Arial"/>
          <w:color w:val="000000"/>
          <w:sz w:val="22"/>
          <w:szCs w:val="22"/>
        </w:rPr>
        <w:t>approximately £100</w:t>
      </w:r>
      <w:r w:rsidR="00F83D38" w:rsidRPr="00F62363">
        <w:rPr>
          <w:rFonts w:ascii="Arial" w:hAnsi="Arial" w:cs="Arial"/>
          <w:color w:val="000000"/>
          <w:sz w:val="22"/>
          <w:szCs w:val="22"/>
        </w:rPr>
        <w:t>%.</w:t>
      </w:r>
      <w:r w:rsidR="00096582" w:rsidRPr="00601B12">
        <w:rPr>
          <w:rFonts w:ascii="Arial" w:hAnsi="Arial" w:cs="Arial"/>
          <w:color w:val="000000"/>
          <w:sz w:val="22"/>
          <w:szCs w:val="22"/>
        </w:rPr>
        <w:t xml:space="preserve"> </w:t>
      </w:r>
    </w:p>
    <w:p w14:paraId="6D1621A6" w14:textId="77777777" w:rsidR="00C91DB6" w:rsidRPr="00601B12" w:rsidRDefault="00C91DB6" w:rsidP="004864DC">
      <w:pPr>
        <w:ind w:left="426" w:hanging="426"/>
        <w:jc w:val="both"/>
        <w:rPr>
          <w:rFonts w:ascii="Arial" w:hAnsi="Arial" w:cs="Arial"/>
          <w:color w:val="000000"/>
          <w:sz w:val="22"/>
          <w:szCs w:val="22"/>
        </w:rPr>
      </w:pPr>
    </w:p>
    <w:p w14:paraId="6D1621A7" w14:textId="77777777" w:rsidR="00992A53" w:rsidRPr="00601B12" w:rsidRDefault="00992A53" w:rsidP="00992A53">
      <w:pPr>
        <w:ind w:left="426" w:hanging="426"/>
        <w:jc w:val="both"/>
        <w:rPr>
          <w:rFonts w:ascii="Arial" w:hAnsi="Arial" w:cs="Arial"/>
          <w:b/>
          <w:color w:val="0070C0"/>
          <w:sz w:val="22"/>
          <w:szCs w:val="22"/>
        </w:rPr>
      </w:pPr>
      <w:r w:rsidRPr="00601B12">
        <w:rPr>
          <w:rFonts w:ascii="Arial" w:hAnsi="Arial" w:cs="Arial"/>
          <w:b/>
          <w:color w:val="0070C0"/>
          <w:sz w:val="22"/>
          <w:szCs w:val="22"/>
        </w:rPr>
        <w:t>1.</w:t>
      </w:r>
      <w:r w:rsidR="00892476" w:rsidRPr="00601B12">
        <w:rPr>
          <w:rFonts w:ascii="Arial" w:hAnsi="Arial" w:cs="Arial"/>
          <w:b/>
          <w:color w:val="0070C0"/>
          <w:sz w:val="22"/>
          <w:szCs w:val="22"/>
        </w:rPr>
        <w:t>6</w:t>
      </w:r>
      <w:r w:rsidRPr="00601B12">
        <w:rPr>
          <w:rFonts w:ascii="Arial" w:hAnsi="Arial" w:cs="Arial"/>
          <w:b/>
          <w:color w:val="0070C0"/>
          <w:sz w:val="22"/>
          <w:szCs w:val="22"/>
        </w:rPr>
        <w:tab/>
        <w:t>Pension Boards</w:t>
      </w:r>
    </w:p>
    <w:p w14:paraId="6D1621A8" w14:textId="77777777" w:rsidR="00992A53" w:rsidRPr="00601B12" w:rsidRDefault="00992A53" w:rsidP="00992A53">
      <w:pPr>
        <w:ind w:left="426" w:hanging="426"/>
        <w:jc w:val="both"/>
        <w:rPr>
          <w:rFonts w:ascii="Arial" w:hAnsi="Arial" w:cs="Arial"/>
          <w:sz w:val="22"/>
          <w:szCs w:val="22"/>
        </w:rPr>
      </w:pPr>
    </w:p>
    <w:p w14:paraId="6D1621A9" w14:textId="77777777" w:rsidR="003A6569" w:rsidRDefault="00992A53" w:rsidP="00D576F8">
      <w:pPr>
        <w:ind w:left="426" w:hanging="426"/>
        <w:jc w:val="both"/>
        <w:rPr>
          <w:rFonts w:ascii="Arial" w:hAnsi="Arial" w:cs="Arial"/>
          <w:sz w:val="22"/>
          <w:szCs w:val="22"/>
        </w:rPr>
      </w:pPr>
      <w:r w:rsidRPr="00601B12">
        <w:rPr>
          <w:rFonts w:ascii="Arial" w:hAnsi="Arial" w:cs="Arial"/>
          <w:sz w:val="22"/>
          <w:szCs w:val="22"/>
        </w:rPr>
        <w:tab/>
      </w:r>
      <w:r w:rsidR="000428EF" w:rsidRPr="00601B12">
        <w:rPr>
          <w:rFonts w:ascii="Arial" w:hAnsi="Arial" w:cs="Arial"/>
          <w:sz w:val="22"/>
          <w:szCs w:val="22"/>
        </w:rPr>
        <w:t>The Public Service Pensions Act required Councils to establish local Pension Boards by the 1</w:t>
      </w:r>
      <w:r w:rsidR="000428EF" w:rsidRPr="00601B12">
        <w:rPr>
          <w:rFonts w:ascii="Arial" w:hAnsi="Arial" w:cs="Arial"/>
          <w:sz w:val="22"/>
          <w:szCs w:val="22"/>
          <w:vertAlign w:val="superscript"/>
        </w:rPr>
        <w:t>st</w:t>
      </w:r>
      <w:r w:rsidR="000428EF" w:rsidRPr="00601B12">
        <w:rPr>
          <w:rFonts w:ascii="Arial" w:hAnsi="Arial" w:cs="Arial"/>
          <w:sz w:val="22"/>
          <w:szCs w:val="22"/>
        </w:rPr>
        <w:t xml:space="preserve"> of April 2015. </w:t>
      </w:r>
      <w:r w:rsidRPr="00601B12">
        <w:rPr>
          <w:rFonts w:ascii="Arial" w:hAnsi="Arial" w:cs="Arial"/>
          <w:sz w:val="22"/>
          <w:szCs w:val="22"/>
        </w:rPr>
        <w:t xml:space="preserve">The Council established a Local Pension Board </w:t>
      </w:r>
      <w:r w:rsidR="000428EF" w:rsidRPr="00601B12">
        <w:rPr>
          <w:rFonts w:ascii="Arial" w:hAnsi="Arial" w:cs="Arial"/>
          <w:sz w:val="22"/>
          <w:szCs w:val="22"/>
        </w:rPr>
        <w:t xml:space="preserve">for the Fund </w:t>
      </w:r>
      <w:r w:rsidRPr="00601B12">
        <w:rPr>
          <w:rFonts w:ascii="Arial" w:hAnsi="Arial" w:cs="Arial"/>
          <w:sz w:val="22"/>
          <w:szCs w:val="22"/>
        </w:rPr>
        <w:t>by the 31</w:t>
      </w:r>
      <w:r w:rsidRPr="00601B12">
        <w:rPr>
          <w:rFonts w:ascii="Arial" w:hAnsi="Arial" w:cs="Arial"/>
          <w:sz w:val="22"/>
          <w:szCs w:val="22"/>
          <w:vertAlign w:val="superscript"/>
        </w:rPr>
        <w:t>st</w:t>
      </w:r>
      <w:r w:rsidR="000428EF" w:rsidRPr="00601B12">
        <w:rPr>
          <w:rFonts w:ascii="Arial" w:hAnsi="Arial" w:cs="Arial"/>
          <w:sz w:val="22"/>
          <w:szCs w:val="22"/>
        </w:rPr>
        <w:t xml:space="preserve"> of March 2015, with the first Pension Board meeting held on the </w:t>
      </w:r>
      <w:proofErr w:type="gramStart"/>
      <w:r w:rsidR="000428EF" w:rsidRPr="00601B12">
        <w:rPr>
          <w:rFonts w:ascii="Arial" w:hAnsi="Arial" w:cs="Arial"/>
          <w:sz w:val="22"/>
          <w:szCs w:val="22"/>
        </w:rPr>
        <w:t>27</w:t>
      </w:r>
      <w:r w:rsidR="000428EF" w:rsidRPr="00601B12">
        <w:rPr>
          <w:rFonts w:ascii="Arial" w:hAnsi="Arial" w:cs="Arial"/>
          <w:sz w:val="22"/>
          <w:szCs w:val="22"/>
          <w:vertAlign w:val="superscript"/>
        </w:rPr>
        <w:t>th</w:t>
      </w:r>
      <w:proofErr w:type="gramEnd"/>
      <w:r w:rsidR="000428EF" w:rsidRPr="00601B12">
        <w:rPr>
          <w:rFonts w:ascii="Arial" w:hAnsi="Arial" w:cs="Arial"/>
          <w:sz w:val="22"/>
          <w:szCs w:val="22"/>
        </w:rPr>
        <w:t xml:space="preserve"> July 2015.</w:t>
      </w:r>
      <w:r w:rsidR="00D576F8" w:rsidRPr="00601B12">
        <w:rPr>
          <w:rFonts w:ascii="Arial" w:hAnsi="Arial" w:cs="Arial"/>
          <w:sz w:val="22"/>
          <w:szCs w:val="22"/>
        </w:rPr>
        <w:t xml:space="preserve"> </w:t>
      </w:r>
      <w:r w:rsidR="000428EF" w:rsidRPr="00601B12">
        <w:rPr>
          <w:rFonts w:ascii="Arial" w:hAnsi="Arial" w:cs="Arial"/>
          <w:sz w:val="22"/>
          <w:szCs w:val="22"/>
        </w:rPr>
        <w:t xml:space="preserve">The Pension Board Terms of Reference are included as appendix </w:t>
      </w:r>
      <w:r w:rsidR="009A0C69" w:rsidRPr="00601B12">
        <w:rPr>
          <w:rFonts w:ascii="Arial" w:hAnsi="Arial" w:cs="Arial"/>
          <w:sz w:val="22"/>
          <w:szCs w:val="22"/>
        </w:rPr>
        <w:t>9</w:t>
      </w:r>
      <w:r w:rsidR="000428EF" w:rsidRPr="00601B12">
        <w:rPr>
          <w:rFonts w:ascii="Arial" w:hAnsi="Arial" w:cs="Arial"/>
          <w:sz w:val="22"/>
          <w:szCs w:val="22"/>
        </w:rPr>
        <w:t xml:space="preserve"> of this report.</w:t>
      </w:r>
    </w:p>
    <w:p w14:paraId="789C94D5" w14:textId="77777777" w:rsidR="003F6DA4" w:rsidRPr="00601B12" w:rsidRDefault="003F6DA4" w:rsidP="00D576F8">
      <w:pPr>
        <w:ind w:left="426" w:hanging="426"/>
        <w:jc w:val="both"/>
        <w:rPr>
          <w:rFonts w:ascii="Arial" w:hAnsi="Arial" w:cs="Arial"/>
          <w:sz w:val="22"/>
          <w:szCs w:val="22"/>
        </w:rPr>
      </w:pPr>
    </w:p>
    <w:p w14:paraId="6D1621AA" w14:textId="7399FDA4" w:rsidR="003A6569" w:rsidRDefault="003A6569" w:rsidP="003A6569">
      <w:pPr>
        <w:ind w:left="426" w:hanging="426"/>
        <w:jc w:val="both"/>
        <w:rPr>
          <w:rFonts w:ascii="Arial" w:hAnsi="Arial" w:cs="Arial"/>
          <w:b/>
          <w:color w:val="0070C0"/>
          <w:sz w:val="22"/>
          <w:szCs w:val="22"/>
        </w:rPr>
      </w:pPr>
    </w:p>
    <w:p w14:paraId="6D1621AC" w14:textId="6BA87744" w:rsidR="003A6569" w:rsidRPr="00601B12" w:rsidRDefault="003A6569" w:rsidP="00D23B13">
      <w:pPr>
        <w:tabs>
          <w:tab w:val="left" w:pos="1140"/>
        </w:tabs>
        <w:ind w:left="426" w:hanging="426"/>
        <w:jc w:val="both"/>
        <w:rPr>
          <w:rFonts w:ascii="Arial" w:hAnsi="Arial" w:cs="Arial"/>
          <w:b/>
          <w:color w:val="0070C0"/>
          <w:sz w:val="22"/>
          <w:szCs w:val="22"/>
        </w:rPr>
      </w:pPr>
      <w:r w:rsidRPr="00601B12">
        <w:rPr>
          <w:rFonts w:ascii="Arial" w:hAnsi="Arial" w:cs="Arial"/>
          <w:b/>
          <w:color w:val="0070C0"/>
          <w:sz w:val="22"/>
          <w:szCs w:val="22"/>
        </w:rPr>
        <w:lastRenderedPageBreak/>
        <w:t>1.</w:t>
      </w:r>
      <w:r w:rsidR="00D576F8" w:rsidRPr="00601B12">
        <w:rPr>
          <w:rFonts w:ascii="Arial" w:hAnsi="Arial" w:cs="Arial"/>
          <w:b/>
          <w:color w:val="0070C0"/>
          <w:sz w:val="22"/>
          <w:szCs w:val="22"/>
        </w:rPr>
        <w:t>7</w:t>
      </w:r>
      <w:r w:rsidR="00227E88" w:rsidRPr="00601B12">
        <w:rPr>
          <w:rFonts w:ascii="Arial" w:hAnsi="Arial" w:cs="Arial"/>
          <w:b/>
          <w:color w:val="0070C0"/>
          <w:sz w:val="22"/>
          <w:szCs w:val="22"/>
        </w:rPr>
        <w:t xml:space="preserve"> </w:t>
      </w:r>
      <w:r w:rsidRPr="00601B12">
        <w:rPr>
          <w:rFonts w:ascii="Arial" w:hAnsi="Arial" w:cs="Arial"/>
          <w:b/>
          <w:color w:val="0070C0"/>
          <w:sz w:val="22"/>
          <w:szCs w:val="22"/>
        </w:rPr>
        <w:t>General Data Protection Regulations</w:t>
      </w:r>
    </w:p>
    <w:p w14:paraId="6D1621AD" w14:textId="77777777" w:rsidR="003A6569" w:rsidRPr="00601B12" w:rsidRDefault="003A6569" w:rsidP="004864DC">
      <w:pPr>
        <w:ind w:firstLine="426"/>
        <w:jc w:val="both"/>
        <w:rPr>
          <w:rFonts w:ascii="Arial" w:hAnsi="Arial" w:cs="Arial"/>
          <w:color w:val="000000"/>
          <w:sz w:val="22"/>
          <w:szCs w:val="22"/>
        </w:rPr>
      </w:pPr>
    </w:p>
    <w:p w14:paraId="6D1621AE" w14:textId="77777777" w:rsidR="00C2121E" w:rsidRPr="00601B12" w:rsidRDefault="003A6569" w:rsidP="00D576F8">
      <w:pPr>
        <w:ind w:left="426"/>
        <w:jc w:val="both"/>
        <w:rPr>
          <w:rFonts w:ascii="Arial" w:hAnsi="Arial" w:cs="Arial"/>
          <w:color w:val="000000"/>
          <w:sz w:val="22"/>
          <w:szCs w:val="22"/>
        </w:rPr>
      </w:pPr>
      <w:r w:rsidRPr="00601B12">
        <w:rPr>
          <w:rFonts w:ascii="Arial" w:hAnsi="Arial" w:cs="Arial"/>
          <w:color w:val="000000"/>
          <w:sz w:val="22"/>
          <w:szCs w:val="22"/>
        </w:rPr>
        <w:t>The General Data Protection Regulation (GDPR) came into force on 25 May 2018. GDPR changes how organisations process and handle data, with the key aim of giving greater protection and rights to individuals. To ensure GDPR compliance, every</w:t>
      </w:r>
      <w:r w:rsidR="00C2121E" w:rsidRPr="00601B12">
        <w:rPr>
          <w:rFonts w:ascii="Arial" w:hAnsi="Arial" w:cs="Arial"/>
          <w:color w:val="000000"/>
          <w:sz w:val="22"/>
          <w:szCs w:val="22"/>
        </w:rPr>
        <w:t xml:space="preserve"> </w:t>
      </w:r>
      <w:r w:rsidRPr="00601B12">
        <w:rPr>
          <w:rFonts w:ascii="Arial" w:hAnsi="Arial" w:cs="Arial"/>
          <w:color w:val="000000"/>
          <w:sz w:val="22"/>
          <w:szCs w:val="22"/>
        </w:rPr>
        <w:t xml:space="preserve">fund </w:t>
      </w:r>
      <w:r w:rsidR="00C2121E" w:rsidRPr="00601B12">
        <w:rPr>
          <w:rFonts w:ascii="Arial" w:hAnsi="Arial" w:cs="Arial"/>
          <w:color w:val="000000"/>
          <w:sz w:val="22"/>
          <w:szCs w:val="22"/>
        </w:rPr>
        <w:t>must</w:t>
      </w:r>
      <w:r w:rsidRPr="00601B12">
        <w:rPr>
          <w:rFonts w:ascii="Arial" w:hAnsi="Arial" w:cs="Arial"/>
          <w:color w:val="000000"/>
          <w:sz w:val="22"/>
          <w:szCs w:val="22"/>
        </w:rPr>
        <w:t xml:space="preserve"> update their privacy notice in line with the new requirements setting out, among other things, why certain data is held, the reason for processing the data, who they share the data with and the period for which the data will be retained. </w:t>
      </w:r>
    </w:p>
    <w:p w14:paraId="6D1621AF" w14:textId="77777777" w:rsidR="00C2121E" w:rsidRPr="00601B12" w:rsidRDefault="00C2121E" w:rsidP="00D576F8">
      <w:pPr>
        <w:ind w:left="426"/>
        <w:jc w:val="both"/>
        <w:rPr>
          <w:rFonts w:ascii="Arial" w:hAnsi="Arial" w:cs="Arial"/>
          <w:color w:val="000000"/>
          <w:sz w:val="22"/>
          <w:szCs w:val="22"/>
        </w:rPr>
      </w:pPr>
    </w:p>
    <w:p w14:paraId="6D1621B0" w14:textId="77777777" w:rsidR="00C2121E" w:rsidRPr="00601B12" w:rsidRDefault="00C2121E" w:rsidP="00C2121E">
      <w:pPr>
        <w:ind w:left="426"/>
        <w:jc w:val="both"/>
        <w:rPr>
          <w:rFonts w:ascii="Arial" w:hAnsi="Arial" w:cs="Arial"/>
          <w:color w:val="000000"/>
          <w:sz w:val="22"/>
          <w:szCs w:val="22"/>
        </w:rPr>
      </w:pPr>
      <w:r w:rsidRPr="00601B12">
        <w:rPr>
          <w:rFonts w:ascii="Arial" w:hAnsi="Arial" w:cs="Arial"/>
          <w:color w:val="000000"/>
          <w:sz w:val="22"/>
          <w:szCs w:val="22"/>
        </w:rPr>
        <w:t xml:space="preserve">The London Borough of Barking and Dagenham (the Council) is the Data Controller for the purposes of the Data Protection Act 1998. This means that the Council is responsible for making decisions about how your personal data will be processed and how it may be used. </w:t>
      </w:r>
    </w:p>
    <w:p w14:paraId="6D1621B1" w14:textId="77777777" w:rsidR="00074084" w:rsidRPr="00601B12" w:rsidRDefault="00074084" w:rsidP="005A1E68">
      <w:pPr>
        <w:jc w:val="both"/>
        <w:rPr>
          <w:rFonts w:ascii="Arial" w:hAnsi="Arial" w:cs="Arial"/>
          <w:color w:val="000000"/>
          <w:sz w:val="22"/>
          <w:szCs w:val="22"/>
        </w:rPr>
      </w:pPr>
    </w:p>
    <w:p w14:paraId="6D1621B2" w14:textId="77777777" w:rsidR="00074084" w:rsidRPr="00601B12" w:rsidRDefault="00074084" w:rsidP="00074084">
      <w:pPr>
        <w:ind w:left="426" w:hanging="426"/>
        <w:jc w:val="both"/>
        <w:rPr>
          <w:rFonts w:ascii="Arial" w:hAnsi="Arial" w:cs="Arial"/>
          <w:b/>
          <w:color w:val="0070C0"/>
          <w:sz w:val="22"/>
          <w:szCs w:val="22"/>
        </w:rPr>
      </w:pPr>
      <w:r w:rsidRPr="00601B12">
        <w:rPr>
          <w:rFonts w:ascii="Arial" w:hAnsi="Arial" w:cs="Arial"/>
          <w:b/>
          <w:color w:val="0070C0"/>
          <w:sz w:val="22"/>
          <w:szCs w:val="22"/>
        </w:rPr>
        <w:t>1.8</w:t>
      </w:r>
      <w:r w:rsidRPr="00601B12">
        <w:rPr>
          <w:rFonts w:ascii="Arial" w:hAnsi="Arial" w:cs="Arial"/>
          <w:b/>
          <w:color w:val="0070C0"/>
          <w:sz w:val="22"/>
          <w:szCs w:val="22"/>
        </w:rPr>
        <w:tab/>
        <w:t xml:space="preserve">LGPS </w:t>
      </w:r>
      <w:proofErr w:type="gramStart"/>
      <w:r w:rsidRPr="00601B12">
        <w:rPr>
          <w:rFonts w:ascii="Arial" w:hAnsi="Arial" w:cs="Arial"/>
          <w:b/>
          <w:color w:val="0070C0"/>
          <w:sz w:val="22"/>
          <w:szCs w:val="22"/>
        </w:rPr>
        <w:t>pooling</w:t>
      </w:r>
      <w:proofErr w:type="gramEnd"/>
    </w:p>
    <w:p w14:paraId="6D1621B3" w14:textId="77777777" w:rsidR="00074084" w:rsidRPr="00601B12" w:rsidRDefault="00074084" w:rsidP="00C2121E">
      <w:pPr>
        <w:ind w:left="426"/>
        <w:jc w:val="both"/>
        <w:rPr>
          <w:rFonts w:ascii="Arial" w:hAnsi="Arial" w:cs="Arial"/>
          <w:color w:val="000000"/>
          <w:sz w:val="22"/>
          <w:szCs w:val="22"/>
        </w:rPr>
      </w:pPr>
    </w:p>
    <w:p w14:paraId="6D1621B4" w14:textId="570A2044" w:rsidR="00074084" w:rsidRPr="00601B12" w:rsidRDefault="00074084" w:rsidP="00074084">
      <w:pPr>
        <w:ind w:left="426"/>
        <w:jc w:val="both"/>
        <w:rPr>
          <w:rFonts w:ascii="Arial" w:hAnsi="Arial" w:cs="Arial"/>
          <w:color w:val="000000"/>
          <w:sz w:val="22"/>
          <w:szCs w:val="22"/>
        </w:rPr>
      </w:pPr>
      <w:r w:rsidRPr="00601B12">
        <w:rPr>
          <w:rFonts w:ascii="Arial" w:hAnsi="Arial" w:cs="Arial"/>
          <w:color w:val="000000"/>
          <w:sz w:val="22"/>
          <w:szCs w:val="22"/>
        </w:rPr>
        <w:t xml:space="preserve">As part of working collaboratively with other LGPS Funds, the Fund has signed up to the London Collective Investment Vehicle </w:t>
      </w:r>
      <w:r w:rsidR="009A0C69" w:rsidRPr="00601B12">
        <w:rPr>
          <w:rFonts w:ascii="Arial" w:hAnsi="Arial" w:cs="Arial"/>
          <w:color w:val="000000"/>
          <w:sz w:val="22"/>
          <w:szCs w:val="22"/>
        </w:rPr>
        <w:t xml:space="preserve">(LCIV) </w:t>
      </w:r>
      <w:r w:rsidRPr="00601B12">
        <w:rPr>
          <w:rFonts w:ascii="Arial" w:hAnsi="Arial" w:cs="Arial"/>
          <w:color w:val="000000"/>
          <w:sz w:val="22"/>
          <w:szCs w:val="22"/>
        </w:rPr>
        <w:t xml:space="preserve">with all the other London Borough Pension Schemes. Currently the Fund has </w:t>
      </w:r>
      <w:r w:rsidRPr="006F5F68">
        <w:rPr>
          <w:rFonts w:ascii="Arial" w:hAnsi="Arial" w:cs="Arial"/>
          <w:color w:val="000000"/>
          <w:sz w:val="22"/>
          <w:szCs w:val="22"/>
        </w:rPr>
        <w:t>around £</w:t>
      </w:r>
      <w:r w:rsidR="003D5C6A">
        <w:rPr>
          <w:rFonts w:ascii="Arial" w:hAnsi="Arial" w:cs="Arial"/>
          <w:color w:val="000000"/>
          <w:sz w:val="22"/>
          <w:szCs w:val="22"/>
        </w:rPr>
        <w:t>488</w:t>
      </w:r>
      <w:r w:rsidRPr="008E393D">
        <w:rPr>
          <w:rFonts w:ascii="Arial" w:hAnsi="Arial" w:cs="Arial"/>
          <w:color w:val="000000"/>
          <w:sz w:val="22"/>
          <w:szCs w:val="22"/>
        </w:rPr>
        <w:t>m, or 3</w:t>
      </w:r>
      <w:r w:rsidR="00081A2F">
        <w:rPr>
          <w:rFonts w:ascii="Arial" w:hAnsi="Arial" w:cs="Arial"/>
          <w:color w:val="000000"/>
          <w:sz w:val="22"/>
          <w:szCs w:val="22"/>
        </w:rPr>
        <w:t>5</w:t>
      </w:r>
      <w:r w:rsidR="003C69FA">
        <w:rPr>
          <w:rFonts w:ascii="Arial" w:hAnsi="Arial" w:cs="Arial"/>
          <w:color w:val="000000"/>
          <w:sz w:val="22"/>
          <w:szCs w:val="22"/>
        </w:rPr>
        <w:t>.3</w:t>
      </w:r>
      <w:r w:rsidRPr="008E393D">
        <w:rPr>
          <w:rFonts w:ascii="Arial" w:hAnsi="Arial" w:cs="Arial"/>
          <w:color w:val="000000"/>
          <w:sz w:val="22"/>
          <w:szCs w:val="22"/>
        </w:rPr>
        <w:t>% of</w:t>
      </w:r>
      <w:r w:rsidRPr="00601B12">
        <w:rPr>
          <w:rFonts w:ascii="Arial" w:hAnsi="Arial" w:cs="Arial"/>
          <w:color w:val="000000"/>
          <w:sz w:val="22"/>
          <w:szCs w:val="22"/>
        </w:rPr>
        <w:t xml:space="preserve"> its investment, managed via the CIV. With LGPS Asset Pooling </w:t>
      </w:r>
      <w:r w:rsidR="00A42294" w:rsidRPr="00601B12">
        <w:rPr>
          <w:rFonts w:ascii="Arial" w:hAnsi="Arial" w:cs="Arial"/>
          <w:color w:val="000000"/>
          <w:sz w:val="22"/>
          <w:szCs w:val="22"/>
        </w:rPr>
        <w:t xml:space="preserve">having </w:t>
      </w:r>
      <w:r w:rsidRPr="00601B12">
        <w:rPr>
          <w:rFonts w:ascii="Arial" w:hAnsi="Arial" w:cs="Arial"/>
          <w:color w:val="000000"/>
          <w:sz w:val="22"/>
          <w:szCs w:val="22"/>
        </w:rPr>
        <w:t>officially sta</w:t>
      </w:r>
      <w:r w:rsidR="007E3010" w:rsidRPr="00601B12">
        <w:rPr>
          <w:rFonts w:ascii="Arial" w:hAnsi="Arial" w:cs="Arial"/>
          <w:color w:val="000000"/>
          <w:sz w:val="22"/>
          <w:szCs w:val="22"/>
        </w:rPr>
        <w:t>rted</w:t>
      </w:r>
      <w:r w:rsidRPr="00601B12">
        <w:rPr>
          <w:rFonts w:ascii="Arial" w:hAnsi="Arial" w:cs="Arial"/>
          <w:color w:val="000000"/>
          <w:sz w:val="22"/>
          <w:szCs w:val="22"/>
        </w:rPr>
        <w:t xml:space="preserve"> in April 2018, the Fund will follow Government Regulation and use the CIV for future investments where an appropriate manager and strategy is available.</w:t>
      </w:r>
    </w:p>
    <w:p w14:paraId="6D1621B5" w14:textId="77777777" w:rsidR="00074084" w:rsidRPr="00601B12" w:rsidRDefault="00074084" w:rsidP="00074084">
      <w:pPr>
        <w:jc w:val="both"/>
        <w:rPr>
          <w:rFonts w:ascii="Arial" w:hAnsi="Arial" w:cs="Arial"/>
          <w:color w:val="000000"/>
          <w:sz w:val="22"/>
          <w:szCs w:val="22"/>
        </w:rPr>
      </w:pPr>
    </w:p>
    <w:p w14:paraId="6D1621B6" w14:textId="77777777" w:rsidR="00074084" w:rsidRPr="00601B12" w:rsidRDefault="00074084" w:rsidP="00074084">
      <w:pPr>
        <w:ind w:left="426" w:hanging="426"/>
        <w:jc w:val="both"/>
        <w:rPr>
          <w:rFonts w:ascii="Arial" w:hAnsi="Arial" w:cs="Arial"/>
          <w:b/>
          <w:color w:val="0070C0"/>
          <w:sz w:val="22"/>
          <w:szCs w:val="22"/>
        </w:rPr>
      </w:pPr>
      <w:r w:rsidRPr="00601B12">
        <w:rPr>
          <w:rFonts w:ascii="Arial" w:hAnsi="Arial" w:cs="Arial"/>
          <w:b/>
          <w:color w:val="0070C0"/>
          <w:sz w:val="22"/>
          <w:szCs w:val="22"/>
        </w:rPr>
        <w:t>1.9</w:t>
      </w:r>
      <w:r w:rsidRPr="00601B12">
        <w:rPr>
          <w:rFonts w:ascii="Arial" w:hAnsi="Arial" w:cs="Arial"/>
          <w:b/>
          <w:color w:val="0070C0"/>
          <w:sz w:val="22"/>
          <w:szCs w:val="22"/>
        </w:rPr>
        <w:tab/>
      </w:r>
      <w:r w:rsidR="00AB7C2B" w:rsidRPr="00601B12">
        <w:rPr>
          <w:rFonts w:ascii="Arial" w:hAnsi="Arial" w:cs="Arial"/>
          <w:b/>
          <w:color w:val="0070C0"/>
          <w:sz w:val="22"/>
          <w:szCs w:val="22"/>
        </w:rPr>
        <w:t>Responsible Investing</w:t>
      </w:r>
    </w:p>
    <w:p w14:paraId="6D1621B7" w14:textId="77777777" w:rsidR="00074084" w:rsidRPr="00601B12" w:rsidRDefault="00074084" w:rsidP="00074084">
      <w:pPr>
        <w:jc w:val="both"/>
        <w:rPr>
          <w:rFonts w:ascii="Arial" w:hAnsi="Arial" w:cs="Arial"/>
          <w:color w:val="000000"/>
          <w:sz w:val="22"/>
          <w:szCs w:val="22"/>
        </w:rPr>
      </w:pPr>
    </w:p>
    <w:p w14:paraId="6D1621B8" w14:textId="77777777" w:rsidR="00AB7C2B" w:rsidRPr="00601B12" w:rsidRDefault="00AB7C2B" w:rsidP="00AB7C2B">
      <w:pPr>
        <w:ind w:left="426"/>
        <w:jc w:val="both"/>
        <w:rPr>
          <w:rFonts w:ascii="Arial" w:hAnsi="Arial" w:cs="Arial"/>
          <w:color w:val="000000"/>
          <w:sz w:val="22"/>
          <w:szCs w:val="22"/>
        </w:rPr>
      </w:pPr>
      <w:r w:rsidRPr="00601B12">
        <w:rPr>
          <w:rFonts w:ascii="Arial" w:hAnsi="Arial" w:cs="Arial"/>
          <w:color w:val="000000"/>
          <w:sz w:val="22"/>
          <w:szCs w:val="22"/>
        </w:rPr>
        <w:t xml:space="preserve">The Fund is committed to being a long-term steward of the assets in which it invests and expects this approach to protect and enhance the value of the Fund in the long term. In making investment decisions, the Fund seeks and receives proper advice from internal and external advisers with the requisite knowledge and skills. </w:t>
      </w:r>
    </w:p>
    <w:p w14:paraId="6D1621B9" w14:textId="77777777" w:rsidR="00AB7C2B" w:rsidRPr="00601B12" w:rsidRDefault="00AB7C2B" w:rsidP="00AB7C2B">
      <w:pPr>
        <w:ind w:left="426"/>
        <w:jc w:val="both"/>
        <w:rPr>
          <w:rFonts w:ascii="Arial" w:hAnsi="Arial" w:cs="Arial"/>
          <w:color w:val="000000"/>
          <w:sz w:val="22"/>
          <w:szCs w:val="22"/>
        </w:rPr>
      </w:pPr>
    </w:p>
    <w:p w14:paraId="6D1621BA" w14:textId="77777777" w:rsidR="00AB7C2B" w:rsidRPr="00601B12" w:rsidRDefault="00AB7C2B" w:rsidP="00AB7C2B">
      <w:pPr>
        <w:ind w:left="426"/>
        <w:jc w:val="both"/>
        <w:rPr>
          <w:rFonts w:ascii="Arial" w:hAnsi="Arial" w:cs="Arial"/>
          <w:color w:val="000000"/>
          <w:sz w:val="22"/>
          <w:szCs w:val="22"/>
        </w:rPr>
      </w:pPr>
      <w:r w:rsidRPr="00601B12">
        <w:rPr>
          <w:rFonts w:ascii="Arial" w:hAnsi="Arial" w:cs="Arial"/>
          <w:color w:val="000000"/>
          <w:sz w:val="22"/>
          <w:szCs w:val="22"/>
        </w:rPr>
        <w:t xml:space="preserve">The Committee recognises that social, </w:t>
      </w:r>
      <w:proofErr w:type="gramStart"/>
      <w:r w:rsidRPr="00601B12">
        <w:rPr>
          <w:rFonts w:ascii="Arial" w:hAnsi="Arial" w:cs="Arial"/>
          <w:color w:val="000000"/>
          <w:sz w:val="22"/>
          <w:szCs w:val="22"/>
        </w:rPr>
        <w:t>environmental</w:t>
      </w:r>
      <w:proofErr w:type="gramEnd"/>
      <w:r w:rsidRPr="00601B12">
        <w:rPr>
          <w:rFonts w:ascii="Arial" w:hAnsi="Arial" w:cs="Arial"/>
          <w:color w:val="000000"/>
          <w:sz w:val="22"/>
          <w:szCs w:val="22"/>
        </w:rPr>
        <w:t xml:space="preserve"> and ethical considerations are among the factors which investment managers will </w:t>
      </w:r>
      <w:r w:rsidR="005A1E68" w:rsidRPr="00601B12">
        <w:rPr>
          <w:rFonts w:ascii="Arial" w:hAnsi="Arial" w:cs="Arial"/>
          <w:color w:val="000000"/>
          <w:sz w:val="22"/>
          <w:szCs w:val="22"/>
        </w:rPr>
        <w:t>consider</w:t>
      </w:r>
      <w:r w:rsidRPr="00601B12">
        <w:rPr>
          <w:rFonts w:ascii="Arial" w:hAnsi="Arial" w:cs="Arial"/>
          <w:color w:val="000000"/>
          <w:sz w:val="22"/>
          <w:szCs w:val="22"/>
        </w:rPr>
        <w:t xml:space="preserve">, where relevant, when selecting investments. In addition, the </w:t>
      </w:r>
      <w:r w:rsidR="005A1E68" w:rsidRPr="00601B12">
        <w:rPr>
          <w:rFonts w:ascii="Arial" w:hAnsi="Arial" w:cs="Arial"/>
          <w:color w:val="000000"/>
          <w:sz w:val="22"/>
          <w:szCs w:val="22"/>
        </w:rPr>
        <w:t>Committee</w:t>
      </w:r>
      <w:r w:rsidRPr="00601B12">
        <w:rPr>
          <w:rFonts w:ascii="Arial" w:hAnsi="Arial" w:cs="Arial"/>
          <w:color w:val="000000"/>
          <w:sz w:val="22"/>
          <w:szCs w:val="22"/>
        </w:rPr>
        <w:t xml:space="preserve"> undertakes </w:t>
      </w:r>
      <w:r w:rsidR="00707B1E" w:rsidRPr="00601B12">
        <w:rPr>
          <w:rFonts w:ascii="Arial" w:hAnsi="Arial" w:cs="Arial"/>
          <w:color w:val="000000"/>
          <w:sz w:val="22"/>
          <w:szCs w:val="22"/>
        </w:rPr>
        <w:t>training,</w:t>
      </w:r>
      <w:r w:rsidR="005A1E68" w:rsidRPr="00601B12">
        <w:rPr>
          <w:rFonts w:ascii="Arial" w:hAnsi="Arial" w:cs="Arial"/>
          <w:color w:val="000000"/>
          <w:sz w:val="22"/>
          <w:szCs w:val="22"/>
        </w:rPr>
        <w:t xml:space="preserve"> </w:t>
      </w:r>
      <w:r w:rsidRPr="00601B12">
        <w:rPr>
          <w:rFonts w:ascii="Arial" w:hAnsi="Arial" w:cs="Arial"/>
          <w:color w:val="000000"/>
          <w:sz w:val="22"/>
          <w:szCs w:val="22"/>
        </w:rPr>
        <w:t xml:space="preserve">and this will include training and information sessions on matters of social, </w:t>
      </w:r>
      <w:proofErr w:type="gramStart"/>
      <w:r w:rsidRPr="00601B12">
        <w:rPr>
          <w:rFonts w:ascii="Arial" w:hAnsi="Arial" w:cs="Arial"/>
          <w:color w:val="000000"/>
          <w:sz w:val="22"/>
          <w:szCs w:val="22"/>
        </w:rPr>
        <w:t>environmental</w:t>
      </w:r>
      <w:proofErr w:type="gramEnd"/>
      <w:r w:rsidRPr="00601B12">
        <w:rPr>
          <w:rFonts w:ascii="Arial" w:hAnsi="Arial" w:cs="Arial"/>
          <w:color w:val="000000"/>
          <w:sz w:val="22"/>
          <w:szCs w:val="22"/>
        </w:rPr>
        <w:t xml:space="preserve"> and corporate governance.  </w:t>
      </w:r>
    </w:p>
    <w:p w14:paraId="6D1621BB" w14:textId="77777777" w:rsidR="00AB7C2B" w:rsidRPr="00601B12" w:rsidRDefault="00AB7C2B" w:rsidP="005A1E68">
      <w:pPr>
        <w:jc w:val="both"/>
        <w:rPr>
          <w:rFonts w:ascii="Arial" w:hAnsi="Arial" w:cs="Arial"/>
          <w:color w:val="000000"/>
          <w:sz w:val="22"/>
          <w:szCs w:val="22"/>
        </w:rPr>
      </w:pPr>
    </w:p>
    <w:p w14:paraId="6D1621BC" w14:textId="05C67DA1" w:rsidR="00AB7C2B" w:rsidRPr="00601B12" w:rsidRDefault="00AB7C2B" w:rsidP="00AB7C2B">
      <w:pPr>
        <w:ind w:left="426"/>
        <w:jc w:val="both"/>
        <w:rPr>
          <w:rFonts w:ascii="Arial" w:hAnsi="Arial" w:cs="Arial"/>
          <w:color w:val="000000"/>
          <w:sz w:val="22"/>
          <w:szCs w:val="22"/>
        </w:rPr>
      </w:pPr>
      <w:proofErr w:type="gramStart"/>
      <w:r w:rsidRPr="00601B12">
        <w:rPr>
          <w:rFonts w:ascii="Arial" w:hAnsi="Arial" w:cs="Arial"/>
          <w:color w:val="000000"/>
          <w:sz w:val="22"/>
          <w:szCs w:val="22"/>
        </w:rPr>
        <w:t>The Fund,</w:t>
      </w:r>
      <w:proofErr w:type="gramEnd"/>
      <w:r w:rsidRPr="00601B12">
        <w:rPr>
          <w:rFonts w:ascii="Arial" w:hAnsi="Arial" w:cs="Arial"/>
          <w:color w:val="000000"/>
          <w:sz w:val="22"/>
          <w:szCs w:val="22"/>
        </w:rPr>
        <w:t xml:space="preserve"> </w:t>
      </w:r>
      <w:r w:rsidR="003E3026">
        <w:rPr>
          <w:rFonts w:ascii="Arial" w:hAnsi="Arial" w:cs="Arial"/>
          <w:color w:val="000000"/>
          <w:sz w:val="22"/>
          <w:szCs w:val="22"/>
        </w:rPr>
        <w:t xml:space="preserve">is in the process of reviewing its </w:t>
      </w:r>
      <w:r w:rsidRPr="00601B12">
        <w:rPr>
          <w:rFonts w:ascii="Arial" w:hAnsi="Arial" w:cs="Arial"/>
          <w:color w:val="000000"/>
          <w:sz w:val="22"/>
          <w:szCs w:val="22"/>
        </w:rPr>
        <w:t xml:space="preserve">Investment Strategy Statement and will consult with interested stakeholders including, but not limited to Fund employers, investment managers, Local Pension Board, advisers to the Fund and other parties that it deems appropriate to consult with. </w:t>
      </w:r>
      <w:r w:rsidR="00BC4ED9">
        <w:rPr>
          <w:rFonts w:ascii="Arial" w:hAnsi="Arial" w:cs="Arial"/>
          <w:color w:val="000000"/>
          <w:sz w:val="22"/>
          <w:szCs w:val="22"/>
        </w:rPr>
        <w:t>A full review will be completed following the 2022 Triennial V</w:t>
      </w:r>
      <w:r w:rsidR="00453250">
        <w:rPr>
          <w:rFonts w:ascii="Arial" w:hAnsi="Arial" w:cs="Arial"/>
          <w:color w:val="000000"/>
          <w:sz w:val="22"/>
          <w:szCs w:val="22"/>
        </w:rPr>
        <w:t>aluation.</w:t>
      </w:r>
    </w:p>
    <w:p w14:paraId="6D1621BD" w14:textId="77777777" w:rsidR="00707B1E" w:rsidRPr="00601B12" w:rsidRDefault="00707B1E" w:rsidP="00AB7C2B">
      <w:pPr>
        <w:ind w:left="426"/>
        <w:jc w:val="both"/>
        <w:rPr>
          <w:rFonts w:ascii="Arial" w:hAnsi="Arial" w:cs="Arial"/>
          <w:color w:val="000000"/>
          <w:sz w:val="22"/>
          <w:szCs w:val="22"/>
        </w:rPr>
      </w:pPr>
    </w:p>
    <w:p w14:paraId="6D1621BE" w14:textId="7610605E" w:rsidR="00707B1E" w:rsidRPr="00601B12" w:rsidRDefault="00707B1E" w:rsidP="00AB7C2B">
      <w:pPr>
        <w:ind w:left="426"/>
        <w:jc w:val="both"/>
        <w:rPr>
          <w:rFonts w:ascii="Arial" w:hAnsi="Arial" w:cs="Arial"/>
          <w:color w:val="000000"/>
          <w:sz w:val="22"/>
          <w:szCs w:val="22"/>
        </w:rPr>
      </w:pPr>
      <w:r w:rsidRPr="00603747">
        <w:rPr>
          <w:rFonts w:ascii="Arial" w:hAnsi="Arial" w:cs="Arial"/>
          <w:color w:val="000000"/>
          <w:sz w:val="22"/>
          <w:szCs w:val="22"/>
        </w:rPr>
        <w:t xml:space="preserve">As </w:t>
      </w:r>
      <w:proofErr w:type="gramStart"/>
      <w:r w:rsidRPr="00603747">
        <w:rPr>
          <w:rFonts w:ascii="Arial" w:hAnsi="Arial" w:cs="Arial"/>
          <w:color w:val="000000"/>
          <w:sz w:val="22"/>
          <w:szCs w:val="22"/>
        </w:rPr>
        <w:t>at</w:t>
      </w:r>
      <w:proofErr w:type="gramEnd"/>
      <w:r w:rsidRPr="00603747">
        <w:rPr>
          <w:rFonts w:ascii="Arial" w:hAnsi="Arial" w:cs="Arial"/>
          <w:color w:val="000000"/>
          <w:sz w:val="22"/>
          <w:szCs w:val="22"/>
        </w:rPr>
        <w:t xml:space="preserve"> 31 March </w:t>
      </w:r>
      <w:r w:rsidR="00453250" w:rsidRPr="00603747">
        <w:rPr>
          <w:rFonts w:ascii="Arial" w:hAnsi="Arial" w:cs="Arial"/>
          <w:color w:val="000000"/>
          <w:sz w:val="22"/>
          <w:szCs w:val="22"/>
        </w:rPr>
        <w:t>202</w:t>
      </w:r>
      <w:r w:rsidR="000F2F3A" w:rsidRPr="00603747">
        <w:rPr>
          <w:rFonts w:ascii="Arial" w:hAnsi="Arial" w:cs="Arial"/>
          <w:color w:val="000000"/>
          <w:sz w:val="22"/>
          <w:szCs w:val="22"/>
        </w:rPr>
        <w:t>2</w:t>
      </w:r>
      <w:r w:rsidRPr="00603747">
        <w:rPr>
          <w:rFonts w:ascii="Arial" w:hAnsi="Arial" w:cs="Arial"/>
          <w:color w:val="000000"/>
          <w:sz w:val="22"/>
          <w:szCs w:val="22"/>
        </w:rPr>
        <w:t xml:space="preserve"> the Fund held a </w:t>
      </w:r>
      <w:r w:rsidR="000F2F3A" w:rsidRPr="00603747">
        <w:rPr>
          <w:rFonts w:ascii="Arial" w:hAnsi="Arial" w:cs="Arial"/>
          <w:color w:val="000000"/>
          <w:sz w:val="22"/>
          <w:szCs w:val="22"/>
        </w:rPr>
        <w:t>1.2</w:t>
      </w:r>
      <w:r w:rsidRPr="00603747">
        <w:rPr>
          <w:rFonts w:ascii="Arial" w:hAnsi="Arial" w:cs="Arial"/>
          <w:color w:val="000000"/>
          <w:sz w:val="22"/>
          <w:szCs w:val="22"/>
        </w:rPr>
        <w:t>% allocation in renewable energy, including wind farms and solar through its infrastructure investments.</w:t>
      </w:r>
      <w:r w:rsidRPr="00601B12">
        <w:rPr>
          <w:rFonts w:ascii="Arial" w:hAnsi="Arial" w:cs="Arial"/>
          <w:color w:val="000000"/>
          <w:sz w:val="22"/>
          <w:szCs w:val="22"/>
        </w:rPr>
        <w:t xml:space="preserve"> </w:t>
      </w:r>
    </w:p>
    <w:p w14:paraId="6D1621BF" w14:textId="77777777" w:rsidR="00AB7C2B" w:rsidRPr="00601B12" w:rsidRDefault="00AB7C2B" w:rsidP="00AB7C2B">
      <w:pPr>
        <w:ind w:left="426"/>
        <w:jc w:val="both"/>
        <w:rPr>
          <w:rFonts w:ascii="Arial" w:hAnsi="Arial" w:cs="Arial"/>
          <w:color w:val="000000"/>
          <w:sz w:val="22"/>
          <w:szCs w:val="22"/>
        </w:rPr>
      </w:pPr>
    </w:p>
    <w:p w14:paraId="6D1621C0" w14:textId="77777777" w:rsidR="00AB7C2B" w:rsidRPr="00601B12" w:rsidRDefault="00AB7C2B" w:rsidP="00AB7C2B">
      <w:pPr>
        <w:ind w:left="426"/>
        <w:jc w:val="both"/>
        <w:rPr>
          <w:rFonts w:ascii="Arial" w:hAnsi="Arial" w:cs="Arial"/>
          <w:i/>
          <w:color w:val="C00000"/>
          <w:sz w:val="22"/>
          <w:szCs w:val="22"/>
        </w:rPr>
      </w:pPr>
      <w:r w:rsidRPr="00601B12">
        <w:rPr>
          <w:rFonts w:ascii="Arial" w:hAnsi="Arial" w:cs="Arial"/>
          <w:i/>
          <w:color w:val="C00000"/>
          <w:sz w:val="22"/>
          <w:szCs w:val="22"/>
        </w:rPr>
        <w:t>Current</w:t>
      </w:r>
      <w:r w:rsidR="00707B1E" w:rsidRPr="00601B12">
        <w:rPr>
          <w:rFonts w:ascii="Arial" w:hAnsi="Arial" w:cs="Arial"/>
          <w:i/>
          <w:color w:val="C00000"/>
          <w:sz w:val="22"/>
          <w:szCs w:val="22"/>
        </w:rPr>
        <w:t xml:space="preserve"> Investment</w:t>
      </w:r>
      <w:r w:rsidRPr="00601B12">
        <w:rPr>
          <w:rFonts w:ascii="Arial" w:hAnsi="Arial" w:cs="Arial"/>
          <w:i/>
          <w:color w:val="C00000"/>
          <w:sz w:val="22"/>
          <w:szCs w:val="22"/>
        </w:rPr>
        <w:t xml:space="preserve"> Restrictions:</w:t>
      </w:r>
    </w:p>
    <w:p w14:paraId="6D1621C1" w14:textId="77777777" w:rsidR="00AB7C2B" w:rsidRPr="00601B12" w:rsidRDefault="00AB7C2B" w:rsidP="00AB7C2B">
      <w:pPr>
        <w:ind w:left="426"/>
        <w:jc w:val="both"/>
        <w:rPr>
          <w:rFonts w:ascii="Arial" w:hAnsi="Arial" w:cs="Arial"/>
          <w:color w:val="000000"/>
          <w:sz w:val="22"/>
          <w:szCs w:val="22"/>
        </w:rPr>
      </w:pPr>
    </w:p>
    <w:p w14:paraId="6D1621C2" w14:textId="70773994" w:rsidR="00074084" w:rsidRPr="00601B12" w:rsidRDefault="00AB7C2B" w:rsidP="00AB7C2B">
      <w:pPr>
        <w:ind w:left="426"/>
        <w:jc w:val="both"/>
        <w:rPr>
          <w:rFonts w:ascii="Arial" w:hAnsi="Arial" w:cs="Arial"/>
          <w:color w:val="000000"/>
        </w:rPr>
      </w:pPr>
      <w:r w:rsidRPr="00601B12">
        <w:rPr>
          <w:rFonts w:ascii="Arial" w:hAnsi="Arial" w:cs="Arial"/>
          <w:color w:val="000000"/>
          <w:sz w:val="22"/>
          <w:szCs w:val="22"/>
        </w:rPr>
        <w:t xml:space="preserve">At the 12 March 2014 </w:t>
      </w:r>
      <w:r w:rsidR="00080C20">
        <w:rPr>
          <w:rFonts w:ascii="Arial" w:hAnsi="Arial" w:cs="Arial"/>
          <w:color w:val="000000"/>
          <w:sz w:val="22"/>
          <w:szCs w:val="22"/>
        </w:rPr>
        <w:t xml:space="preserve">Committee </w:t>
      </w:r>
      <w:r w:rsidRPr="00601B12">
        <w:rPr>
          <w:rFonts w:ascii="Arial" w:hAnsi="Arial" w:cs="Arial"/>
          <w:color w:val="000000"/>
          <w:sz w:val="22"/>
          <w:szCs w:val="22"/>
        </w:rPr>
        <w:t>Meeting, Members agreed a policy to restrict direct investment in tobacco but allow indirect investments in tobacco through pooled funds for both passive and active managers. This restriction will be reviewed as part of each Investment Strategy Review.</w:t>
      </w:r>
      <w:r w:rsidR="00074084" w:rsidRPr="00601B12">
        <w:rPr>
          <w:rFonts w:ascii="Arial" w:hAnsi="Arial" w:cs="Arial"/>
          <w:color w:val="000000"/>
        </w:rPr>
        <w:br w:type="page"/>
      </w:r>
    </w:p>
    <w:p w14:paraId="6D1621C3" w14:textId="77777777" w:rsidR="00C41C82" w:rsidRPr="00601B12" w:rsidRDefault="00C41C82" w:rsidP="007337FE">
      <w:pPr>
        <w:pStyle w:val="ListParagraph"/>
        <w:numPr>
          <w:ilvl w:val="0"/>
          <w:numId w:val="48"/>
        </w:numPr>
        <w:autoSpaceDE w:val="0"/>
        <w:autoSpaceDN w:val="0"/>
        <w:adjustRightInd w:val="0"/>
        <w:spacing w:after="0" w:line="240" w:lineRule="auto"/>
        <w:ind w:left="426" w:hanging="426"/>
        <w:rPr>
          <w:rFonts w:ascii="Arial" w:hAnsi="Arial" w:cs="Arial"/>
          <w:b/>
          <w:bCs/>
          <w:color w:val="C00000"/>
          <w:sz w:val="28"/>
          <w:szCs w:val="28"/>
        </w:rPr>
      </w:pPr>
      <w:r w:rsidRPr="00601B12">
        <w:rPr>
          <w:rFonts w:ascii="Arial" w:hAnsi="Arial" w:cs="Arial"/>
          <w:b/>
          <w:bCs/>
          <w:color w:val="C00000"/>
          <w:sz w:val="28"/>
          <w:szCs w:val="28"/>
        </w:rPr>
        <w:t>Fund Governance and Administration</w:t>
      </w:r>
    </w:p>
    <w:p w14:paraId="6D1621C4" w14:textId="77777777" w:rsidR="00C41C82" w:rsidRPr="00601B12" w:rsidRDefault="00C41C82" w:rsidP="00EF47C8">
      <w:pPr>
        <w:pStyle w:val="ListParagraph"/>
        <w:autoSpaceDE w:val="0"/>
        <w:autoSpaceDN w:val="0"/>
        <w:adjustRightInd w:val="0"/>
        <w:spacing w:after="0" w:line="240" w:lineRule="auto"/>
        <w:ind w:left="426" w:hanging="426"/>
        <w:rPr>
          <w:rFonts w:ascii="Arial" w:hAnsi="Arial" w:cs="Arial"/>
          <w:b/>
          <w:bCs/>
          <w:color w:val="FF0000"/>
        </w:rPr>
      </w:pPr>
    </w:p>
    <w:p w14:paraId="6D1621C5" w14:textId="77777777" w:rsidR="001E5BA5" w:rsidRPr="00601B12" w:rsidRDefault="00C41C82" w:rsidP="00EF47C8">
      <w:pPr>
        <w:autoSpaceDE w:val="0"/>
        <w:autoSpaceDN w:val="0"/>
        <w:adjustRightInd w:val="0"/>
        <w:ind w:left="426" w:hanging="426"/>
        <w:jc w:val="both"/>
        <w:rPr>
          <w:rFonts w:ascii="Arial" w:hAnsi="Arial" w:cs="Arial"/>
          <w:b/>
          <w:bCs/>
          <w:color w:val="0070C0"/>
          <w:sz w:val="22"/>
          <w:szCs w:val="22"/>
        </w:rPr>
      </w:pPr>
      <w:r w:rsidRPr="00601B12">
        <w:rPr>
          <w:rFonts w:ascii="Arial" w:hAnsi="Arial" w:cs="Arial"/>
          <w:b/>
          <w:bCs/>
          <w:color w:val="0070C0"/>
          <w:sz w:val="22"/>
          <w:szCs w:val="22"/>
        </w:rPr>
        <w:t>2.1</w:t>
      </w:r>
      <w:r w:rsidR="001E5BA5" w:rsidRPr="00601B12">
        <w:rPr>
          <w:rFonts w:ascii="Arial" w:hAnsi="Arial" w:cs="Arial"/>
          <w:b/>
          <w:bCs/>
          <w:color w:val="0070C0"/>
          <w:sz w:val="22"/>
          <w:szCs w:val="22"/>
        </w:rPr>
        <w:tab/>
        <w:t xml:space="preserve">Statutory Background and Legal Framework  </w:t>
      </w:r>
    </w:p>
    <w:p w14:paraId="6D1621C6" w14:textId="77777777" w:rsidR="001E5BA5" w:rsidRPr="00601B12" w:rsidRDefault="001E5BA5" w:rsidP="00EF47C8">
      <w:pPr>
        <w:autoSpaceDE w:val="0"/>
        <w:autoSpaceDN w:val="0"/>
        <w:adjustRightInd w:val="0"/>
        <w:ind w:left="426" w:hanging="426"/>
        <w:jc w:val="both"/>
        <w:rPr>
          <w:rFonts w:ascii="Arial" w:hAnsi="Arial" w:cs="Arial"/>
          <w:b/>
          <w:bCs/>
          <w:color w:val="000000"/>
          <w:sz w:val="22"/>
          <w:szCs w:val="22"/>
        </w:rPr>
      </w:pPr>
    </w:p>
    <w:p w14:paraId="6D1621C7" w14:textId="77777777" w:rsidR="001E5BA5" w:rsidRPr="00601B12" w:rsidRDefault="00EF47C8" w:rsidP="00EF47C8">
      <w:pPr>
        <w:autoSpaceDE w:val="0"/>
        <w:autoSpaceDN w:val="0"/>
        <w:adjustRightInd w:val="0"/>
        <w:ind w:left="426" w:hanging="426"/>
        <w:jc w:val="both"/>
        <w:rPr>
          <w:rFonts w:ascii="Arial" w:hAnsi="Arial" w:cs="Arial"/>
          <w:sz w:val="22"/>
          <w:szCs w:val="22"/>
        </w:rPr>
      </w:pPr>
      <w:r w:rsidRPr="00601B12">
        <w:rPr>
          <w:rFonts w:ascii="Arial" w:hAnsi="Arial" w:cs="Arial"/>
          <w:color w:val="000000"/>
          <w:sz w:val="22"/>
          <w:szCs w:val="22"/>
        </w:rPr>
        <w:tab/>
      </w:r>
      <w:r w:rsidR="001E5BA5" w:rsidRPr="00601B12">
        <w:rPr>
          <w:rFonts w:ascii="Arial" w:hAnsi="Arial" w:cs="Arial"/>
          <w:color w:val="000000"/>
          <w:sz w:val="22"/>
          <w:szCs w:val="22"/>
        </w:rPr>
        <w:t xml:space="preserve">The Fund is part of the Local Government Pension Scheme (LGPS). </w:t>
      </w:r>
      <w:r w:rsidR="001E5BA5" w:rsidRPr="00601B12">
        <w:rPr>
          <w:rFonts w:ascii="Arial" w:hAnsi="Arial" w:cs="Arial"/>
          <w:sz w:val="22"/>
          <w:szCs w:val="22"/>
        </w:rPr>
        <w:t xml:space="preserve">The LGPS is a statutory scheme, established by an Act of Parliament and governed by regulations made under the Superannuation Act 1972. Membership of the LGPS is open to all </w:t>
      </w:r>
      <w:r w:rsidR="00A65492" w:rsidRPr="00601B12">
        <w:rPr>
          <w:rFonts w:ascii="Arial" w:hAnsi="Arial" w:cs="Arial"/>
          <w:sz w:val="22"/>
          <w:szCs w:val="22"/>
        </w:rPr>
        <w:t xml:space="preserve">local authority </w:t>
      </w:r>
      <w:r w:rsidR="001E5BA5" w:rsidRPr="00601B12">
        <w:rPr>
          <w:rFonts w:ascii="Arial" w:hAnsi="Arial" w:cs="Arial"/>
          <w:sz w:val="22"/>
          <w:szCs w:val="22"/>
        </w:rPr>
        <w:t xml:space="preserve">employees except teachers, </w:t>
      </w:r>
      <w:proofErr w:type="gramStart"/>
      <w:r w:rsidR="001E5BA5" w:rsidRPr="00601B12">
        <w:rPr>
          <w:rFonts w:ascii="Arial" w:hAnsi="Arial" w:cs="Arial"/>
          <w:sz w:val="22"/>
          <w:szCs w:val="22"/>
        </w:rPr>
        <w:t>fire-fighters</w:t>
      </w:r>
      <w:proofErr w:type="gramEnd"/>
      <w:r w:rsidR="001E5BA5" w:rsidRPr="00601B12">
        <w:rPr>
          <w:rFonts w:ascii="Arial" w:hAnsi="Arial" w:cs="Arial"/>
          <w:sz w:val="22"/>
          <w:szCs w:val="22"/>
        </w:rPr>
        <w:t xml:space="preserve"> and police, who have their own separate schemes. </w:t>
      </w:r>
    </w:p>
    <w:p w14:paraId="6D1621C8" w14:textId="77777777" w:rsidR="001E5BA5" w:rsidRPr="00601B12" w:rsidRDefault="001E5BA5" w:rsidP="00EF47C8">
      <w:pPr>
        <w:autoSpaceDE w:val="0"/>
        <w:autoSpaceDN w:val="0"/>
        <w:adjustRightInd w:val="0"/>
        <w:ind w:left="426" w:hanging="426"/>
        <w:jc w:val="both"/>
        <w:rPr>
          <w:rFonts w:ascii="Arial" w:hAnsi="Arial" w:cs="Arial"/>
          <w:sz w:val="22"/>
          <w:szCs w:val="22"/>
        </w:rPr>
      </w:pPr>
    </w:p>
    <w:p w14:paraId="6D1621C9" w14:textId="77777777" w:rsidR="009122EA" w:rsidRPr="00601B12" w:rsidRDefault="00EF47C8" w:rsidP="00EF47C8">
      <w:pPr>
        <w:autoSpaceDE w:val="0"/>
        <w:autoSpaceDN w:val="0"/>
        <w:adjustRightInd w:val="0"/>
        <w:ind w:left="426" w:hanging="426"/>
        <w:jc w:val="both"/>
        <w:rPr>
          <w:rFonts w:ascii="Arial" w:hAnsi="Arial" w:cs="Arial"/>
          <w:sz w:val="22"/>
          <w:szCs w:val="22"/>
        </w:rPr>
      </w:pPr>
      <w:r w:rsidRPr="00601B12">
        <w:rPr>
          <w:rFonts w:ascii="Arial" w:hAnsi="Arial" w:cs="Arial"/>
          <w:sz w:val="22"/>
          <w:szCs w:val="22"/>
        </w:rPr>
        <w:tab/>
      </w:r>
      <w:r w:rsidR="001E5BA5" w:rsidRPr="00601B12">
        <w:rPr>
          <w:rFonts w:ascii="Arial" w:hAnsi="Arial" w:cs="Arial"/>
          <w:sz w:val="22"/>
          <w:szCs w:val="22"/>
        </w:rPr>
        <w:t xml:space="preserve">The Scheme is open to all employees aged 16 or over, whether they work full-time or part-time. The Council automatically enrols all employees into the Fund, </w:t>
      </w:r>
      <w:proofErr w:type="gramStart"/>
      <w:r w:rsidR="001E5BA5" w:rsidRPr="00601B12">
        <w:rPr>
          <w:rFonts w:ascii="Arial" w:hAnsi="Arial" w:cs="Arial"/>
          <w:sz w:val="22"/>
          <w:szCs w:val="22"/>
        </w:rPr>
        <w:t>as long as</w:t>
      </w:r>
      <w:proofErr w:type="gramEnd"/>
      <w:r w:rsidR="001E5BA5" w:rsidRPr="00601B12">
        <w:rPr>
          <w:rFonts w:ascii="Arial" w:hAnsi="Arial" w:cs="Arial"/>
          <w:sz w:val="22"/>
          <w:szCs w:val="22"/>
        </w:rPr>
        <w:t xml:space="preserve"> they have a contract of employment of more than three months duration. </w:t>
      </w:r>
    </w:p>
    <w:p w14:paraId="6D1621CA" w14:textId="77777777" w:rsidR="009122EA" w:rsidRPr="00601B12" w:rsidRDefault="009122EA" w:rsidP="00EF47C8">
      <w:pPr>
        <w:autoSpaceDE w:val="0"/>
        <w:autoSpaceDN w:val="0"/>
        <w:adjustRightInd w:val="0"/>
        <w:ind w:left="426" w:hanging="426"/>
        <w:jc w:val="both"/>
        <w:rPr>
          <w:rFonts w:ascii="Arial" w:hAnsi="Arial" w:cs="Arial"/>
          <w:sz w:val="22"/>
          <w:szCs w:val="22"/>
        </w:rPr>
      </w:pPr>
    </w:p>
    <w:p w14:paraId="6D1621CB" w14:textId="122AD054" w:rsidR="001E5BA5" w:rsidRPr="00601B12" w:rsidRDefault="00EF47C8" w:rsidP="00EF47C8">
      <w:pPr>
        <w:autoSpaceDE w:val="0"/>
        <w:autoSpaceDN w:val="0"/>
        <w:adjustRightInd w:val="0"/>
        <w:ind w:left="426" w:hanging="426"/>
        <w:jc w:val="both"/>
        <w:rPr>
          <w:rFonts w:ascii="Arial" w:hAnsi="Arial" w:cs="Arial"/>
          <w:sz w:val="22"/>
          <w:szCs w:val="22"/>
        </w:rPr>
      </w:pPr>
      <w:r w:rsidRPr="00601B12">
        <w:rPr>
          <w:rFonts w:ascii="Arial" w:hAnsi="Arial" w:cs="Arial"/>
          <w:sz w:val="22"/>
          <w:szCs w:val="22"/>
        </w:rPr>
        <w:tab/>
      </w:r>
      <w:r w:rsidR="001E5BA5" w:rsidRPr="00601B12">
        <w:rPr>
          <w:rFonts w:ascii="Arial" w:hAnsi="Arial" w:cs="Arial"/>
          <w:sz w:val="22"/>
          <w:szCs w:val="22"/>
        </w:rPr>
        <w:t xml:space="preserve">All members of the scheme can choose to leave at any time. </w:t>
      </w:r>
      <w:r w:rsidR="000939A5" w:rsidRPr="00601B12">
        <w:rPr>
          <w:rFonts w:ascii="Arial" w:hAnsi="Arial" w:cs="Arial"/>
          <w:sz w:val="22"/>
          <w:szCs w:val="22"/>
        </w:rPr>
        <w:t xml:space="preserve">During </w:t>
      </w:r>
      <w:r w:rsidR="00F22964">
        <w:rPr>
          <w:rFonts w:ascii="Arial" w:hAnsi="Arial" w:cs="Arial"/>
          <w:sz w:val="22"/>
          <w:szCs w:val="22"/>
        </w:rPr>
        <w:t>2020/21</w:t>
      </w:r>
      <w:r w:rsidR="000939A5" w:rsidRPr="00601B12">
        <w:rPr>
          <w:rFonts w:ascii="Arial" w:hAnsi="Arial" w:cs="Arial"/>
          <w:sz w:val="22"/>
          <w:szCs w:val="22"/>
        </w:rPr>
        <w:t xml:space="preserve"> e</w:t>
      </w:r>
      <w:r w:rsidR="001E5BA5" w:rsidRPr="00601B12">
        <w:rPr>
          <w:rFonts w:ascii="Arial" w:hAnsi="Arial" w:cs="Arial"/>
          <w:sz w:val="22"/>
          <w:szCs w:val="22"/>
        </w:rPr>
        <w:t>mployees contribute</w:t>
      </w:r>
      <w:r w:rsidR="000939A5" w:rsidRPr="00601B12">
        <w:rPr>
          <w:rFonts w:ascii="Arial" w:hAnsi="Arial" w:cs="Arial"/>
          <w:sz w:val="22"/>
          <w:szCs w:val="22"/>
        </w:rPr>
        <w:t>d</w:t>
      </w:r>
      <w:r w:rsidR="001E5BA5" w:rsidRPr="00601B12">
        <w:rPr>
          <w:rFonts w:ascii="Arial" w:hAnsi="Arial" w:cs="Arial"/>
          <w:sz w:val="22"/>
          <w:szCs w:val="22"/>
        </w:rPr>
        <w:t xml:space="preserve"> </w:t>
      </w:r>
      <w:r w:rsidR="00C91DB6" w:rsidRPr="00601B12">
        <w:rPr>
          <w:rFonts w:ascii="Arial" w:hAnsi="Arial" w:cs="Arial"/>
          <w:sz w:val="22"/>
          <w:szCs w:val="22"/>
        </w:rPr>
        <w:t>per</w:t>
      </w:r>
      <w:r w:rsidR="001E5BA5" w:rsidRPr="00601B12">
        <w:rPr>
          <w:rFonts w:ascii="Arial" w:hAnsi="Arial" w:cs="Arial"/>
          <w:sz w:val="22"/>
          <w:szCs w:val="22"/>
        </w:rPr>
        <w:t xml:space="preserve"> a scale ranging from 5.5% to </w:t>
      </w:r>
      <w:r w:rsidR="00957660" w:rsidRPr="00601B12">
        <w:rPr>
          <w:rFonts w:ascii="Arial" w:hAnsi="Arial" w:cs="Arial"/>
          <w:sz w:val="22"/>
          <w:szCs w:val="22"/>
        </w:rPr>
        <w:t>12.5</w:t>
      </w:r>
      <w:r w:rsidR="001E5BA5" w:rsidRPr="00601B12">
        <w:rPr>
          <w:rFonts w:ascii="Arial" w:hAnsi="Arial" w:cs="Arial"/>
          <w:sz w:val="22"/>
          <w:szCs w:val="22"/>
        </w:rPr>
        <w:t xml:space="preserve">% based on their </w:t>
      </w:r>
      <w:proofErr w:type="gramStart"/>
      <w:r w:rsidR="001E5BA5" w:rsidRPr="00601B12">
        <w:rPr>
          <w:rFonts w:ascii="Arial" w:hAnsi="Arial" w:cs="Arial"/>
          <w:sz w:val="22"/>
          <w:szCs w:val="22"/>
        </w:rPr>
        <w:t>full time</w:t>
      </w:r>
      <w:proofErr w:type="gramEnd"/>
      <w:r w:rsidR="001E5BA5" w:rsidRPr="00601B12">
        <w:rPr>
          <w:rFonts w:ascii="Arial" w:hAnsi="Arial" w:cs="Arial"/>
          <w:sz w:val="22"/>
          <w:szCs w:val="22"/>
        </w:rPr>
        <w:t xml:space="preserve"> equivalent rate of pensionable pay</w:t>
      </w:r>
      <w:r w:rsidR="000939A5" w:rsidRPr="00601B12">
        <w:rPr>
          <w:rFonts w:ascii="Arial" w:hAnsi="Arial" w:cs="Arial"/>
          <w:sz w:val="22"/>
          <w:szCs w:val="22"/>
        </w:rPr>
        <w:t xml:space="preserve">, which included basic pay, </w:t>
      </w:r>
      <w:r w:rsidR="001E5BA5" w:rsidRPr="00601B12">
        <w:rPr>
          <w:rFonts w:ascii="Arial" w:hAnsi="Arial" w:cs="Arial"/>
          <w:sz w:val="22"/>
          <w:szCs w:val="22"/>
        </w:rPr>
        <w:t xml:space="preserve">contractual overtime and regular bonuses. Employers contribute at a rate set by the actuary. Employees in the Scheme are entitled to a pension of one sixtieth of their final pensionable pay for each year of service. Further information regarding the various benefits offered can be found on the Fund’s website address: </w:t>
      </w:r>
      <w:hyperlink r:id="rId19" w:history="1">
        <w:r w:rsidR="001E5BA5" w:rsidRPr="00601B12">
          <w:rPr>
            <w:rStyle w:val="Hyperlink"/>
            <w:rFonts w:ascii="Arial" w:hAnsi="Arial" w:cs="Arial"/>
            <w:sz w:val="22"/>
            <w:szCs w:val="22"/>
          </w:rPr>
          <w:t>www.lbbdpensionfund.org</w:t>
        </w:r>
      </w:hyperlink>
    </w:p>
    <w:p w14:paraId="6D1621CC" w14:textId="77777777" w:rsidR="001E5BA5" w:rsidRPr="00601B12" w:rsidRDefault="001E5BA5" w:rsidP="00EF47C8">
      <w:pPr>
        <w:pStyle w:val="ListParagraph"/>
        <w:autoSpaceDE w:val="0"/>
        <w:autoSpaceDN w:val="0"/>
        <w:adjustRightInd w:val="0"/>
        <w:spacing w:after="0" w:line="240" w:lineRule="auto"/>
        <w:ind w:left="426" w:hanging="426"/>
        <w:rPr>
          <w:rFonts w:ascii="Arial" w:hAnsi="Arial" w:cs="Arial"/>
          <w:b/>
          <w:bCs/>
          <w:color w:val="000000" w:themeColor="text1"/>
        </w:rPr>
      </w:pPr>
    </w:p>
    <w:p w14:paraId="6D1621CD" w14:textId="77777777" w:rsidR="00C41C82" w:rsidRPr="00601B12" w:rsidRDefault="001E5BA5" w:rsidP="00EF47C8">
      <w:pPr>
        <w:pStyle w:val="ListParagraph"/>
        <w:autoSpaceDE w:val="0"/>
        <w:autoSpaceDN w:val="0"/>
        <w:adjustRightInd w:val="0"/>
        <w:spacing w:after="0" w:line="240" w:lineRule="auto"/>
        <w:ind w:left="426" w:hanging="426"/>
        <w:rPr>
          <w:rFonts w:ascii="Arial" w:hAnsi="Arial" w:cs="Arial"/>
          <w:b/>
          <w:bCs/>
          <w:color w:val="0070C0"/>
        </w:rPr>
      </w:pPr>
      <w:r w:rsidRPr="00601B12">
        <w:rPr>
          <w:rFonts w:ascii="Arial" w:hAnsi="Arial" w:cs="Arial"/>
          <w:b/>
          <w:bCs/>
          <w:color w:val="0070C0"/>
        </w:rPr>
        <w:t>2.2</w:t>
      </w:r>
      <w:r w:rsidRPr="00601B12">
        <w:rPr>
          <w:rFonts w:ascii="Arial" w:hAnsi="Arial" w:cs="Arial"/>
          <w:b/>
          <w:bCs/>
          <w:color w:val="0070C0"/>
        </w:rPr>
        <w:tab/>
      </w:r>
      <w:r w:rsidR="00C41C82" w:rsidRPr="00601B12">
        <w:rPr>
          <w:rFonts w:ascii="Arial" w:hAnsi="Arial" w:cs="Arial"/>
          <w:b/>
          <w:bCs/>
          <w:color w:val="0070C0"/>
        </w:rPr>
        <w:t xml:space="preserve">Scheme Funding and Administration </w:t>
      </w:r>
    </w:p>
    <w:p w14:paraId="6D1621CE" w14:textId="77777777" w:rsidR="00C41C82" w:rsidRPr="00601B12" w:rsidRDefault="00C41C82" w:rsidP="00EF47C8">
      <w:pPr>
        <w:autoSpaceDE w:val="0"/>
        <w:autoSpaceDN w:val="0"/>
        <w:adjustRightInd w:val="0"/>
        <w:ind w:left="426" w:hanging="426"/>
        <w:rPr>
          <w:rFonts w:ascii="Arial" w:hAnsi="Arial" w:cs="Arial"/>
          <w:b/>
          <w:bCs/>
          <w:color w:val="000000"/>
          <w:sz w:val="22"/>
          <w:szCs w:val="22"/>
        </w:rPr>
      </w:pPr>
    </w:p>
    <w:p w14:paraId="6D1621CF" w14:textId="59A33135" w:rsidR="00C41C82" w:rsidRPr="00601B12" w:rsidRDefault="00EF47C8" w:rsidP="00EF47C8">
      <w:pPr>
        <w:autoSpaceDE w:val="0"/>
        <w:autoSpaceDN w:val="0"/>
        <w:adjustRightInd w:val="0"/>
        <w:ind w:left="426" w:hanging="426"/>
        <w:rPr>
          <w:rFonts w:ascii="Arial" w:hAnsi="Arial" w:cs="Arial"/>
          <w:bCs/>
          <w:color w:val="000000"/>
          <w:sz w:val="22"/>
          <w:szCs w:val="22"/>
        </w:rPr>
      </w:pPr>
      <w:r w:rsidRPr="00601B12">
        <w:rPr>
          <w:rFonts w:ascii="Arial" w:hAnsi="Arial" w:cs="Arial"/>
          <w:bCs/>
          <w:color w:val="000000"/>
          <w:sz w:val="22"/>
          <w:szCs w:val="22"/>
        </w:rPr>
        <w:tab/>
      </w:r>
      <w:proofErr w:type="gramStart"/>
      <w:r w:rsidR="00C41C82" w:rsidRPr="00601B12">
        <w:rPr>
          <w:rFonts w:ascii="Arial" w:hAnsi="Arial" w:cs="Arial"/>
          <w:bCs/>
          <w:color w:val="000000"/>
          <w:sz w:val="22"/>
          <w:szCs w:val="22"/>
        </w:rPr>
        <w:t>At</w:t>
      </w:r>
      <w:proofErr w:type="gramEnd"/>
      <w:r w:rsidR="00C41C82" w:rsidRPr="00601B12">
        <w:rPr>
          <w:rFonts w:ascii="Arial" w:hAnsi="Arial" w:cs="Arial"/>
          <w:bCs/>
          <w:color w:val="000000"/>
          <w:sz w:val="22"/>
          <w:szCs w:val="22"/>
        </w:rPr>
        <w:t xml:space="preserve"> </w:t>
      </w:r>
      <w:r w:rsidR="00453250">
        <w:rPr>
          <w:rFonts w:ascii="Arial" w:hAnsi="Arial" w:cs="Arial"/>
          <w:bCs/>
          <w:color w:val="000000"/>
          <w:sz w:val="22"/>
          <w:szCs w:val="22"/>
        </w:rPr>
        <w:t>31 March 202</w:t>
      </w:r>
      <w:r w:rsidR="006925F4">
        <w:rPr>
          <w:rFonts w:ascii="Arial" w:hAnsi="Arial" w:cs="Arial"/>
          <w:bCs/>
          <w:color w:val="000000"/>
          <w:sz w:val="22"/>
          <w:szCs w:val="22"/>
        </w:rPr>
        <w:t>2</w:t>
      </w:r>
      <w:r w:rsidR="00C91DB6" w:rsidRPr="00601B12">
        <w:rPr>
          <w:rFonts w:ascii="Arial" w:hAnsi="Arial" w:cs="Arial"/>
          <w:bCs/>
          <w:color w:val="000000"/>
          <w:sz w:val="22"/>
          <w:szCs w:val="22"/>
        </w:rPr>
        <w:t>,</w:t>
      </w:r>
      <w:r w:rsidR="00892476" w:rsidRPr="00601B12">
        <w:rPr>
          <w:rFonts w:ascii="Arial" w:hAnsi="Arial" w:cs="Arial"/>
          <w:bCs/>
          <w:color w:val="000000"/>
          <w:sz w:val="22"/>
          <w:szCs w:val="22"/>
        </w:rPr>
        <w:t xml:space="preserve"> </w:t>
      </w:r>
      <w:r w:rsidR="00C41C82" w:rsidRPr="00601B12">
        <w:rPr>
          <w:rFonts w:ascii="Arial" w:hAnsi="Arial" w:cs="Arial"/>
          <w:bCs/>
          <w:color w:val="000000"/>
          <w:sz w:val="22"/>
          <w:szCs w:val="22"/>
        </w:rPr>
        <w:t>the Fund was funded and administered as set out below:</w:t>
      </w:r>
    </w:p>
    <w:p w14:paraId="6D1621D0" w14:textId="77777777" w:rsidR="00C41C82" w:rsidRPr="00601B12" w:rsidRDefault="00C41C82" w:rsidP="00EF47C8">
      <w:pPr>
        <w:autoSpaceDE w:val="0"/>
        <w:autoSpaceDN w:val="0"/>
        <w:adjustRightInd w:val="0"/>
        <w:ind w:left="426" w:hanging="426"/>
        <w:rPr>
          <w:rFonts w:ascii="Arial" w:hAnsi="Arial" w:cs="Arial"/>
          <w:b/>
          <w:bCs/>
          <w:color w:val="000000"/>
          <w:sz w:val="22"/>
          <w:szCs w:val="22"/>
        </w:rPr>
      </w:pPr>
    </w:p>
    <w:p w14:paraId="6D1621D1" w14:textId="77777777" w:rsidR="00C41C82" w:rsidRPr="00601B12" w:rsidRDefault="00C41C82" w:rsidP="007337FE">
      <w:pPr>
        <w:pStyle w:val="ListParagraph"/>
        <w:numPr>
          <w:ilvl w:val="0"/>
          <w:numId w:val="49"/>
        </w:numPr>
        <w:autoSpaceDE w:val="0"/>
        <w:autoSpaceDN w:val="0"/>
        <w:adjustRightInd w:val="0"/>
        <w:spacing w:after="0" w:line="240" w:lineRule="auto"/>
        <w:ind w:left="709" w:hanging="142"/>
        <w:rPr>
          <w:rFonts w:ascii="Arial" w:hAnsi="Arial" w:cs="Arial"/>
          <w:b/>
          <w:bCs/>
          <w:color w:val="000000" w:themeColor="text1"/>
        </w:rPr>
      </w:pPr>
      <w:r w:rsidRPr="00601B12">
        <w:rPr>
          <w:rFonts w:ascii="Arial" w:hAnsi="Arial" w:cs="Arial"/>
          <w:b/>
          <w:bCs/>
          <w:color w:val="000000" w:themeColor="text1"/>
        </w:rPr>
        <w:t>Funding</w:t>
      </w:r>
    </w:p>
    <w:p w14:paraId="6D1621D2" w14:textId="77777777" w:rsidR="000939A5" w:rsidRPr="00601B12" w:rsidRDefault="000939A5" w:rsidP="00EF47C8">
      <w:pPr>
        <w:pStyle w:val="ListParagraph"/>
        <w:autoSpaceDE w:val="0"/>
        <w:autoSpaceDN w:val="0"/>
        <w:adjustRightInd w:val="0"/>
        <w:spacing w:after="0" w:line="240" w:lineRule="auto"/>
        <w:ind w:left="426" w:hanging="426"/>
        <w:rPr>
          <w:rFonts w:ascii="Arial" w:hAnsi="Arial" w:cs="Arial"/>
          <w:b/>
          <w:bCs/>
          <w:color w:val="000000"/>
          <w:sz w:val="16"/>
          <w:szCs w:val="16"/>
        </w:rPr>
      </w:pPr>
    </w:p>
    <w:p w14:paraId="6D1621D3" w14:textId="77777777" w:rsidR="00C41C82" w:rsidRPr="00601B12" w:rsidRDefault="00EF47C8"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Scheme is a funded scheme, financed by contributions from the </w:t>
      </w:r>
      <w:r w:rsidR="00C9117A" w:rsidRPr="00601B12">
        <w:rPr>
          <w:rFonts w:ascii="Arial" w:hAnsi="Arial" w:cs="Arial"/>
          <w:sz w:val="22"/>
          <w:szCs w:val="22"/>
        </w:rPr>
        <w:t>Council</w:t>
      </w:r>
      <w:r w:rsidR="00947D07" w:rsidRPr="00601B12">
        <w:rPr>
          <w:rFonts w:ascii="Arial" w:hAnsi="Arial" w:cs="Arial"/>
          <w:color w:val="000000"/>
          <w:sz w:val="22"/>
          <w:szCs w:val="22"/>
        </w:rPr>
        <w:t>, other employers, employees,</w:t>
      </w:r>
      <w:r w:rsidR="00C41C82" w:rsidRPr="00601B12">
        <w:rPr>
          <w:rFonts w:ascii="Arial" w:hAnsi="Arial" w:cs="Arial"/>
          <w:color w:val="000000"/>
          <w:sz w:val="22"/>
          <w:szCs w:val="22"/>
        </w:rPr>
        <w:t xml:space="preserve"> investment income and capital growth</w:t>
      </w:r>
      <w:r w:rsidR="00947D07" w:rsidRPr="00601B12">
        <w:rPr>
          <w:rFonts w:ascii="Arial" w:hAnsi="Arial" w:cs="Arial"/>
          <w:color w:val="000000"/>
          <w:sz w:val="22"/>
          <w:szCs w:val="22"/>
        </w:rPr>
        <w:t xml:space="preserve">. </w:t>
      </w:r>
    </w:p>
    <w:p w14:paraId="6D1621D4" w14:textId="77777777" w:rsidR="00C41C82" w:rsidRPr="00601B12" w:rsidRDefault="00C41C82" w:rsidP="00EF47C8">
      <w:pPr>
        <w:autoSpaceDE w:val="0"/>
        <w:autoSpaceDN w:val="0"/>
        <w:adjustRightInd w:val="0"/>
        <w:ind w:left="426" w:hanging="426"/>
        <w:jc w:val="both"/>
        <w:rPr>
          <w:rFonts w:ascii="Arial" w:hAnsi="Arial" w:cs="Arial"/>
          <w:color w:val="000000" w:themeColor="text1"/>
          <w:sz w:val="22"/>
          <w:szCs w:val="22"/>
        </w:rPr>
      </w:pPr>
    </w:p>
    <w:p w14:paraId="6D1621D5" w14:textId="77777777" w:rsidR="00C41C82" w:rsidRPr="00601B12" w:rsidRDefault="00C41C82" w:rsidP="007337FE">
      <w:pPr>
        <w:pStyle w:val="ListParagraph"/>
        <w:numPr>
          <w:ilvl w:val="0"/>
          <w:numId w:val="49"/>
        </w:numPr>
        <w:autoSpaceDE w:val="0"/>
        <w:autoSpaceDN w:val="0"/>
        <w:adjustRightInd w:val="0"/>
        <w:spacing w:after="0" w:line="240" w:lineRule="auto"/>
        <w:ind w:left="709" w:hanging="142"/>
        <w:rPr>
          <w:rFonts w:ascii="Arial" w:hAnsi="Arial" w:cs="Arial"/>
          <w:b/>
          <w:bCs/>
          <w:color w:val="000000" w:themeColor="text1"/>
        </w:rPr>
      </w:pPr>
      <w:r w:rsidRPr="00601B12">
        <w:rPr>
          <w:rFonts w:ascii="Arial" w:hAnsi="Arial" w:cs="Arial"/>
          <w:b/>
          <w:bCs/>
          <w:color w:val="000000" w:themeColor="text1"/>
        </w:rPr>
        <w:t>Administering Authority</w:t>
      </w:r>
    </w:p>
    <w:p w14:paraId="6D1621D6" w14:textId="77777777" w:rsidR="000939A5" w:rsidRPr="00601B12" w:rsidRDefault="000939A5" w:rsidP="00EF47C8">
      <w:pPr>
        <w:pStyle w:val="ListParagraph"/>
        <w:autoSpaceDE w:val="0"/>
        <w:autoSpaceDN w:val="0"/>
        <w:adjustRightInd w:val="0"/>
        <w:spacing w:after="0" w:line="240" w:lineRule="auto"/>
        <w:ind w:left="426" w:hanging="426"/>
        <w:rPr>
          <w:rFonts w:ascii="Arial" w:hAnsi="Arial" w:cs="Arial"/>
          <w:b/>
          <w:bCs/>
          <w:sz w:val="16"/>
          <w:szCs w:val="16"/>
        </w:rPr>
      </w:pPr>
    </w:p>
    <w:p w14:paraId="6D1621D7" w14:textId="77777777" w:rsidR="00C41C82" w:rsidRPr="00601B12" w:rsidRDefault="00EF47C8" w:rsidP="00EF47C8">
      <w:pPr>
        <w:autoSpaceDE w:val="0"/>
        <w:autoSpaceDN w:val="0"/>
        <w:adjustRightInd w:val="0"/>
        <w:ind w:left="426" w:hanging="426"/>
        <w:jc w:val="both"/>
        <w:rPr>
          <w:rFonts w:ascii="Arial" w:hAnsi="Arial" w:cs="Arial"/>
          <w:sz w:val="22"/>
          <w:szCs w:val="22"/>
        </w:rPr>
      </w:pPr>
      <w:r w:rsidRPr="00601B12">
        <w:rPr>
          <w:rFonts w:ascii="Arial" w:hAnsi="Arial" w:cs="Arial"/>
          <w:sz w:val="22"/>
          <w:szCs w:val="22"/>
        </w:rPr>
        <w:tab/>
      </w:r>
      <w:r w:rsidR="00C41C82" w:rsidRPr="00601B12">
        <w:rPr>
          <w:rFonts w:ascii="Arial" w:hAnsi="Arial" w:cs="Arial"/>
          <w:sz w:val="22"/>
          <w:szCs w:val="22"/>
        </w:rPr>
        <w:t xml:space="preserve">The </w:t>
      </w:r>
      <w:r w:rsidR="00C41C82" w:rsidRPr="00601B12">
        <w:rPr>
          <w:rFonts w:ascii="Arial" w:hAnsi="Arial" w:cs="Arial"/>
          <w:color w:val="000000"/>
          <w:sz w:val="22"/>
          <w:szCs w:val="22"/>
        </w:rPr>
        <w:t>Council</w:t>
      </w:r>
      <w:r w:rsidR="004C0070" w:rsidRPr="00601B12">
        <w:rPr>
          <w:rFonts w:ascii="Arial" w:hAnsi="Arial" w:cs="Arial"/>
          <w:color w:val="000000"/>
          <w:sz w:val="22"/>
          <w:szCs w:val="22"/>
        </w:rPr>
        <w:t>,</w:t>
      </w:r>
      <w:r w:rsidR="00C41C82" w:rsidRPr="00601B12">
        <w:rPr>
          <w:rFonts w:ascii="Arial" w:hAnsi="Arial" w:cs="Arial"/>
          <w:sz w:val="22"/>
          <w:szCs w:val="22"/>
        </w:rPr>
        <w:t xml:space="preserve"> as Administering Authority, has legal responsibility for the Fund as set out in the LGPS Regulations. The Council delegates its responsibility for administering the Fund to the Pensions </w:t>
      </w:r>
      <w:r w:rsidR="00D576F8" w:rsidRPr="00601B12">
        <w:rPr>
          <w:rFonts w:ascii="Arial" w:hAnsi="Arial" w:cs="Arial"/>
          <w:sz w:val="22"/>
          <w:szCs w:val="22"/>
        </w:rPr>
        <w:t>Committee</w:t>
      </w:r>
      <w:r w:rsidR="00C41C82" w:rsidRPr="00601B12">
        <w:rPr>
          <w:rFonts w:ascii="Arial" w:hAnsi="Arial" w:cs="Arial"/>
          <w:sz w:val="22"/>
          <w:szCs w:val="22"/>
        </w:rPr>
        <w:t xml:space="preserve">, which is the formal </w:t>
      </w:r>
      <w:r w:rsidR="00A65492" w:rsidRPr="00601B12">
        <w:rPr>
          <w:rFonts w:ascii="Arial" w:hAnsi="Arial" w:cs="Arial"/>
          <w:sz w:val="22"/>
          <w:szCs w:val="22"/>
        </w:rPr>
        <w:t>decision-making</w:t>
      </w:r>
      <w:r w:rsidR="00C41C82" w:rsidRPr="00601B12">
        <w:rPr>
          <w:rFonts w:ascii="Arial" w:hAnsi="Arial" w:cs="Arial"/>
          <w:sz w:val="22"/>
          <w:szCs w:val="22"/>
        </w:rPr>
        <w:t xml:space="preserve"> body for the Fund.</w:t>
      </w:r>
    </w:p>
    <w:p w14:paraId="6D1621D8" w14:textId="77777777" w:rsidR="009122EA" w:rsidRPr="00601B12" w:rsidRDefault="009122EA" w:rsidP="00EF47C8">
      <w:pPr>
        <w:autoSpaceDE w:val="0"/>
        <w:autoSpaceDN w:val="0"/>
        <w:adjustRightInd w:val="0"/>
        <w:ind w:left="426" w:hanging="426"/>
        <w:jc w:val="both"/>
        <w:rPr>
          <w:rFonts w:ascii="Arial" w:hAnsi="Arial" w:cs="Arial"/>
          <w:sz w:val="22"/>
          <w:szCs w:val="22"/>
        </w:rPr>
      </w:pPr>
    </w:p>
    <w:p w14:paraId="6D1621D9" w14:textId="77777777" w:rsidR="00C41C82" w:rsidRPr="00601B12" w:rsidRDefault="00C41C82" w:rsidP="007337FE">
      <w:pPr>
        <w:pStyle w:val="ListParagraph"/>
        <w:numPr>
          <w:ilvl w:val="0"/>
          <w:numId w:val="49"/>
        </w:numPr>
        <w:autoSpaceDE w:val="0"/>
        <w:autoSpaceDN w:val="0"/>
        <w:adjustRightInd w:val="0"/>
        <w:spacing w:after="0" w:line="240" w:lineRule="auto"/>
        <w:ind w:left="709" w:hanging="142"/>
        <w:rPr>
          <w:rFonts w:ascii="Arial" w:hAnsi="Arial" w:cs="Arial"/>
          <w:b/>
          <w:color w:val="000000" w:themeColor="text1"/>
        </w:rPr>
      </w:pPr>
      <w:proofErr w:type="spellStart"/>
      <w:r w:rsidRPr="00601B12">
        <w:rPr>
          <w:rFonts w:ascii="Arial" w:hAnsi="Arial" w:cs="Arial"/>
          <w:b/>
          <w:color w:val="000000" w:themeColor="text1"/>
        </w:rPr>
        <w:t>Myners</w:t>
      </w:r>
      <w:proofErr w:type="spellEnd"/>
      <w:r w:rsidRPr="00601B12">
        <w:rPr>
          <w:rFonts w:ascii="Arial" w:hAnsi="Arial" w:cs="Arial"/>
          <w:b/>
          <w:color w:val="000000" w:themeColor="text1"/>
        </w:rPr>
        <w:t xml:space="preserve"> principles</w:t>
      </w:r>
    </w:p>
    <w:p w14:paraId="6D1621DA" w14:textId="77777777" w:rsidR="000939A5" w:rsidRPr="00601B12" w:rsidRDefault="000939A5" w:rsidP="00EF47C8">
      <w:pPr>
        <w:pStyle w:val="ListParagraph"/>
        <w:autoSpaceDE w:val="0"/>
        <w:autoSpaceDN w:val="0"/>
        <w:adjustRightInd w:val="0"/>
        <w:spacing w:after="0" w:line="240" w:lineRule="auto"/>
        <w:ind w:left="426" w:hanging="426"/>
        <w:rPr>
          <w:rFonts w:ascii="Arial" w:hAnsi="Arial" w:cs="Arial"/>
          <w:b/>
          <w:color w:val="000000"/>
          <w:sz w:val="16"/>
          <w:szCs w:val="16"/>
        </w:rPr>
      </w:pPr>
    </w:p>
    <w:p w14:paraId="6D1621DB" w14:textId="77777777" w:rsidR="00C41C82" w:rsidRPr="00601B12" w:rsidRDefault="00EF47C8" w:rsidP="00EF47C8">
      <w:pPr>
        <w:autoSpaceDE w:val="0"/>
        <w:autoSpaceDN w:val="0"/>
        <w:adjustRightInd w:val="0"/>
        <w:ind w:left="426" w:hanging="426"/>
        <w:jc w:val="both"/>
        <w:rPr>
          <w:rFonts w:ascii="Arial" w:hAnsi="Arial" w:cs="Arial"/>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In 2000, the UK Government commissioned Lord </w:t>
      </w:r>
      <w:proofErr w:type="spellStart"/>
      <w:r w:rsidR="00C41C82" w:rsidRPr="00601B12">
        <w:rPr>
          <w:rFonts w:ascii="Arial" w:hAnsi="Arial" w:cs="Arial"/>
          <w:color w:val="000000"/>
          <w:sz w:val="22"/>
          <w:szCs w:val="22"/>
        </w:rPr>
        <w:t>Myners</w:t>
      </w:r>
      <w:proofErr w:type="spellEnd"/>
      <w:r w:rsidR="00C41C82" w:rsidRPr="00601B12">
        <w:rPr>
          <w:rFonts w:ascii="Arial" w:hAnsi="Arial" w:cs="Arial"/>
          <w:color w:val="000000"/>
          <w:sz w:val="22"/>
          <w:szCs w:val="22"/>
        </w:rPr>
        <w:t xml:space="preserve"> to review institutional investment in the UK as there were concerns that the behaviour of institutional investors, including pension funds, was distorting the economic decision making to the detriment of small and medium sized companies. Ten principles were outlined representing a model of best practice, which were incorporated into regulations applicable to the LGPS</w:t>
      </w:r>
      <w:r w:rsidR="00947D07" w:rsidRPr="00601B12">
        <w:rPr>
          <w:rFonts w:ascii="Arial" w:hAnsi="Arial" w:cs="Arial"/>
          <w:color w:val="000000"/>
          <w:sz w:val="22"/>
          <w:szCs w:val="22"/>
        </w:rPr>
        <w:t xml:space="preserve">. </w:t>
      </w:r>
      <w:r w:rsidR="00C41C82" w:rsidRPr="00601B12">
        <w:rPr>
          <w:rFonts w:ascii="Arial" w:hAnsi="Arial" w:cs="Arial"/>
          <w:color w:val="000000"/>
          <w:sz w:val="22"/>
          <w:szCs w:val="22"/>
        </w:rPr>
        <w:t xml:space="preserve">In 2008 Treasury revised the </w:t>
      </w:r>
      <w:r w:rsidR="00947D07" w:rsidRPr="00601B12">
        <w:rPr>
          <w:rFonts w:ascii="Arial" w:hAnsi="Arial" w:cs="Arial"/>
          <w:color w:val="000000"/>
          <w:sz w:val="22"/>
          <w:szCs w:val="22"/>
        </w:rPr>
        <w:t>t</w:t>
      </w:r>
      <w:r w:rsidR="00C41C82" w:rsidRPr="00601B12">
        <w:rPr>
          <w:rFonts w:ascii="Arial" w:hAnsi="Arial" w:cs="Arial"/>
          <w:color w:val="000000"/>
          <w:sz w:val="22"/>
          <w:szCs w:val="22"/>
        </w:rPr>
        <w:t>en</w:t>
      </w:r>
      <w:r w:rsidR="00A65492" w:rsidRPr="00601B12">
        <w:rPr>
          <w:rFonts w:ascii="Arial" w:hAnsi="Arial" w:cs="Arial"/>
          <w:color w:val="000000"/>
          <w:sz w:val="22"/>
          <w:szCs w:val="22"/>
        </w:rPr>
        <w:t xml:space="preserve"> principles</w:t>
      </w:r>
      <w:r w:rsidR="00C41C82" w:rsidRPr="00601B12">
        <w:rPr>
          <w:rFonts w:ascii="Arial" w:hAnsi="Arial" w:cs="Arial"/>
          <w:color w:val="000000"/>
          <w:sz w:val="22"/>
          <w:szCs w:val="22"/>
        </w:rPr>
        <w:t xml:space="preserve"> down to six higher level principles which have now been </w:t>
      </w:r>
      <w:r w:rsidR="00C41C82" w:rsidRPr="00601B12">
        <w:rPr>
          <w:rFonts w:ascii="Arial" w:hAnsi="Arial" w:cs="Arial"/>
          <w:sz w:val="22"/>
          <w:szCs w:val="22"/>
        </w:rPr>
        <w:t xml:space="preserve">adopted by </w:t>
      </w:r>
      <w:r w:rsidR="00A65492" w:rsidRPr="00601B12">
        <w:rPr>
          <w:rFonts w:ascii="Arial" w:hAnsi="Arial" w:cs="Arial"/>
          <w:sz w:val="22"/>
          <w:szCs w:val="22"/>
        </w:rPr>
        <w:t>DCLG</w:t>
      </w:r>
      <w:r w:rsidR="00C41C82" w:rsidRPr="00601B12">
        <w:rPr>
          <w:rFonts w:ascii="Arial" w:hAnsi="Arial" w:cs="Arial"/>
          <w:sz w:val="22"/>
          <w:szCs w:val="22"/>
        </w:rPr>
        <w:t xml:space="preserve">. In response, CIPFA published a guide to assist authorities in the production of their compliance statements. </w:t>
      </w:r>
    </w:p>
    <w:p w14:paraId="6D1621DC" w14:textId="77777777" w:rsidR="00C41C82" w:rsidRPr="00601B12" w:rsidRDefault="00C41C82" w:rsidP="00EF47C8">
      <w:pPr>
        <w:autoSpaceDE w:val="0"/>
        <w:autoSpaceDN w:val="0"/>
        <w:adjustRightInd w:val="0"/>
        <w:ind w:left="426" w:hanging="426"/>
        <w:jc w:val="both"/>
        <w:rPr>
          <w:rFonts w:ascii="Arial" w:hAnsi="Arial" w:cs="Arial"/>
          <w:sz w:val="22"/>
          <w:szCs w:val="22"/>
        </w:rPr>
      </w:pPr>
    </w:p>
    <w:p w14:paraId="6D1621DD" w14:textId="77777777" w:rsidR="009122EA" w:rsidRPr="00601B12" w:rsidRDefault="00EF47C8" w:rsidP="00EF47C8">
      <w:pPr>
        <w:autoSpaceDE w:val="0"/>
        <w:autoSpaceDN w:val="0"/>
        <w:adjustRightInd w:val="0"/>
        <w:ind w:left="426" w:hanging="426"/>
        <w:jc w:val="both"/>
        <w:rPr>
          <w:rFonts w:ascii="Arial" w:hAnsi="Arial" w:cs="Arial"/>
          <w:sz w:val="22"/>
          <w:szCs w:val="22"/>
        </w:rPr>
      </w:pPr>
      <w:r w:rsidRPr="00601B12">
        <w:rPr>
          <w:rFonts w:ascii="Arial" w:hAnsi="Arial" w:cs="Arial"/>
          <w:sz w:val="22"/>
          <w:szCs w:val="22"/>
        </w:rPr>
        <w:tab/>
      </w:r>
      <w:r w:rsidR="00C41C82" w:rsidRPr="00601B12">
        <w:rPr>
          <w:rFonts w:ascii="Arial" w:hAnsi="Arial" w:cs="Arial"/>
          <w:sz w:val="22"/>
          <w:szCs w:val="22"/>
        </w:rPr>
        <w:t>In July 2010, the Financial Reporting Council published the UK Stewardship Code which is designed to lay out the responsibilities of institutional investors as shareholders and provide guidance as to how those responsibilities may be met. The Code encourages better communication between shareholders and companies</w:t>
      </w:r>
      <w:r w:rsidR="00947D07" w:rsidRPr="00601B12">
        <w:rPr>
          <w:rFonts w:ascii="Arial" w:hAnsi="Arial" w:cs="Arial"/>
          <w:sz w:val="22"/>
          <w:szCs w:val="22"/>
        </w:rPr>
        <w:t>.</w:t>
      </w:r>
      <w:r w:rsidR="00C41C82" w:rsidRPr="00601B12">
        <w:rPr>
          <w:rFonts w:ascii="Arial" w:hAnsi="Arial" w:cs="Arial"/>
          <w:sz w:val="22"/>
          <w:szCs w:val="22"/>
        </w:rPr>
        <w:t xml:space="preserve"> </w:t>
      </w:r>
    </w:p>
    <w:p w14:paraId="34577393" w14:textId="77777777" w:rsidR="00453250" w:rsidRPr="00453250" w:rsidRDefault="00453250" w:rsidP="00453250">
      <w:pPr>
        <w:pStyle w:val="ListParagraph"/>
        <w:autoSpaceDE w:val="0"/>
        <w:autoSpaceDN w:val="0"/>
        <w:adjustRightInd w:val="0"/>
        <w:spacing w:after="0" w:line="240" w:lineRule="auto"/>
        <w:ind w:left="851"/>
        <w:jc w:val="both"/>
        <w:rPr>
          <w:rFonts w:ascii="Arial" w:hAnsi="Arial" w:cs="Arial"/>
          <w:color w:val="000000" w:themeColor="text1"/>
        </w:rPr>
      </w:pPr>
    </w:p>
    <w:p w14:paraId="6D1621DE" w14:textId="5EB3D74C" w:rsidR="00C41C82" w:rsidRPr="00601B12" w:rsidRDefault="00C41C82" w:rsidP="007337FE">
      <w:pPr>
        <w:pStyle w:val="ListParagraph"/>
        <w:numPr>
          <w:ilvl w:val="0"/>
          <w:numId w:val="49"/>
        </w:numPr>
        <w:autoSpaceDE w:val="0"/>
        <w:autoSpaceDN w:val="0"/>
        <w:adjustRightInd w:val="0"/>
        <w:spacing w:after="0" w:line="240" w:lineRule="auto"/>
        <w:ind w:left="851" w:hanging="142"/>
        <w:jc w:val="both"/>
        <w:rPr>
          <w:rFonts w:ascii="Arial" w:hAnsi="Arial" w:cs="Arial"/>
          <w:color w:val="000000" w:themeColor="text1"/>
        </w:rPr>
      </w:pPr>
      <w:r w:rsidRPr="00601B12">
        <w:rPr>
          <w:rFonts w:ascii="Arial" w:hAnsi="Arial" w:cs="Arial"/>
          <w:b/>
          <w:bCs/>
          <w:color w:val="000000" w:themeColor="text1"/>
        </w:rPr>
        <w:t xml:space="preserve">The Pensions </w:t>
      </w:r>
      <w:r w:rsidR="00D576F8" w:rsidRPr="00601B12">
        <w:rPr>
          <w:rFonts w:ascii="Arial" w:hAnsi="Arial" w:cs="Arial"/>
          <w:b/>
          <w:bCs/>
          <w:color w:val="000000" w:themeColor="text1"/>
        </w:rPr>
        <w:t>Committee</w:t>
      </w:r>
    </w:p>
    <w:p w14:paraId="6D1621DF" w14:textId="77777777" w:rsidR="000939A5" w:rsidRPr="00601B12" w:rsidRDefault="000939A5" w:rsidP="00EF47C8">
      <w:pPr>
        <w:pStyle w:val="ListParagraph"/>
        <w:autoSpaceDE w:val="0"/>
        <w:autoSpaceDN w:val="0"/>
        <w:adjustRightInd w:val="0"/>
        <w:spacing w:after="0" w:line="240" w:lineRule="auto"/>
        <w:ind w:left="426" w:hanging="426"/>
        <w:jc w:val="both"/>
        <w:rPr>
          <w:rFonts w:ascii="Arial" w:hAnsi="Arial" w:cs="Arial"/>
          <w:color w:val="000000"/>
        </w:rPr>
      </w:pPr>
    </w:p>
    <w:p w14:paraId="6D1621E0" w14:textId="77777777" w:rsidR="00C41C82" w:rsidRPr="00601B12" w:rsidRDefault="00EF47C8" w:rsidP="00EF47C8">
      <w:pPr>
        <w:autoSpaceDE w:val="0"/>
        <w:autoSpaceDN w:val="0"/>
        <w:adjustRightInd w:val="0"/>
        <w:ind w:left="426" w:hanging="426"/>
        <w:jc w:val="both"/>
        <w:rPr>
          <w:rFonts w:ascii="Arial" w:hAnsi="Arial" w:cs="Arial"/>
          <w:sz w:val="22"/>
          <w:szCs w:val="22"/>
        </w:rPr>
      </w:pPr>
      <w:r w:rsidRPr="00601B12">
        <w:rPr>
          <w:rFonts w:ascii="Arial" w:hAnsi="Arial" w:cs="Arial"/>
          <w:sz w:val="22"/>
          <w:szCs w:val="22"/>
        </w:rPr>
        <w:tab/>
      </w:r>
      <w:r w:rsidR="00C41C82" w:rsidRPr="00601B12">
        <w:rPr>
          <w:rFonts w:ascii="Arial" w:hAnsi="Arial" w:cs="Arial"/>
          <w:sz w:val="22"/>
          <w:szCs w:val="22"/>
        </w:rPr>
        <w:t xml:space="preserve">The Pensions </w:t>
      </w:r>
      <w:r w:rsidR="00D576F8" w:rsidRPr="00601B12">
        <w:rPr>
          <w:rFonts w:ascii="Arial" w:hAnsi="Arial" w:cs="Arial"/>
          <w:sz w:val="22"/>
          <w:szCs w:val="22"/>
        </w:rPr>
        <w:t>Committee</w:t>
      </w:r>
      <w:r w:rsidR="00C41C82" w:rsidRPr="00601B12">
        <w:rPr>
          <w:rFonts w:ascii="Arial" w:hAnsi="Arial" w:cs="Arial"/>
          <w:sz w:val="22"/>
          <w:szCs w:val="22"/>
        </w:rPr>
        <w:t xml:space="preserve"> meets quarterly to discuss investment strategy and objectives, to examine legislation and other developments that may affect the Fund, and to review the performance of the fund managers. At all times, the </w:t>
      </w:r>
      <w:r w:rsidR="00D576F8" w:rsidRPr="00601B12">
        <w:rPr>
          <w:rFonts w:ascii="Arial" w:hAnsi="Arial" w:cs="Arial"/>
          <w:sz w:val="22"/>
          <w:szCs w:val="22"/>
        </w:rPr>
        <w:t>Committee</w:t>
      </w:r>
      <w:r w:rsidR="00C41C82" w:rsidRPr="00601B12">
        <w:rPr>
          <w:rFonts w:ascii="Arial" w:hAnsi="Arial" w:cs="Arial"/>
          <w:sz w:val="22"/>
          <w:szCs w:val="22"/>
        </w:rPr>
        <w:t xml:space="preserve"> must discharge its responsibility in the best interests of the Fund. </w:t>
      </w:r>
      <w:r w:rsidRPr="00601B12">
        <w:rPr>
          <w:rFonts w:ascii="Arial" w:hAnsi="Arial" w:cs="Arial"/>
          <w:sz w:val="22"/>
          <w:szCs w:val="22"/>
        </w:rPr>
        <w:tab/>
      </w:r>
      <w:r w:rsidR="00C41C82" w:rsidRPr="00601B12">
        <w:rPr>
          <w:rFonts w:ascii="Arial" w:hAnsi="Arial" w:cs="Arial"/>
          <w:sz w:val="22"/>
          <w:szCs w:val="22"/>
        </w:rPr>
        <w:t xml:space="preserve">All </w:t>
      </w:r>
      <w:r w:rsidR="00D576F8" w:rsidRPr="00601B12">
        <w:rPr>
          <w:rFonts w:ascii="Arial" w:hAnsi="Arial" w:cs="Arial"/>
          <w:sz w:val="22"/>
          <w:szCs w:val="22"/>
        </w:rPr>
        <w:t>Committee</w:t>
      </w:r>
      <w:r w:rsidR="00C41C82" w:rsidRPr="00601B12">
        <w:rPr>
          <w:rFonts w:ascii="Arial" w:hAnsi="Arial" w:cs="Arial"/>
          <w:sz w:val="22"/>
          <w:szCs w:val="22"/>
        </w:rPr>
        <w:t xml:space="preserve"> Members have voting rights. Co-opted members do not have voting rights. The </w:t>
      </w:r>
      <w:r w:rsidR="00D576F8" w:rsidRPr="00601B12">
        <w:rPr>
          <w:rFonts w:ascii="Arial" w:hAnsi="Arial" w:cs="Arial"/>
          <w:sz w:val="22"/>
          <w:szCs w:val="22"/>
        </w:rPr>
        <w:t>Committee</w:t>
      </w:r>
      <w:r w:rsidR="00C41C82" w:rsidRPr="00601B12">
        <w:rPr>
          <w:rFonts w:ascii="Arial" w:hAnsi="Arial" w:cs="Arial"/>
          <w:sz w:val="22"/>
          <w:szCs w:val="22"/>
        </w:rPr>
        <w:t xml:space="preserve"> is responsible for:</w:t>
      </w:r>
    </w:p>
    <w:p w14:paraId="6D1621E1" w14:textId="77777777" w:rsidR="000939A5" w:rsidRPr="00601B12" w:rsidRDefault="000939A5" w:rsidP="00EF47C8">
      <w:pPr>
        <w:autoSpaceDE w:val="0"/>
        <w:autoSpaceDN w:val="0"/>
        <w:adjustRightInd w:val="0"/>
        <w:ind w:left="426" w:hanging="426"/>
        <w:jc w:val="both"/>
        <w:rPr>
          <w:rFonts w:ascii="Arial" w:hAnsi="Arial" w:cs="Arial"/>
          <w:sz w:val="22"/>
          <w:szCs w:val="22"/>
        </w:rPr>
      </w:pPr>
    </w:p>
    <w:p w14:paraId="6D1621E2" w14:textId="77777777" w:rsidR="009018BB" w:rsidRPr="00601B12" w:rsidRDefault="00C41C82" w:rsidP="007337FE">
      <w:pPr>
        <w:pStyle w:val="ListParagraph"/>
        <w:numPr>
          <w:ilvl w:val="0"/>
          <w:numId w:val="56"/>
        </w:numPr>
        <w:autoSpaceDE w:val="0"/>
        <w:autoSpaceDN w:val="0"/>
        <w:adjustRightInd w:val="0"/>
        <w:spacing w:afterLines="60" w:after="144" w:line="240" w:lineRule="auto"/>
        <w:ind w:left="993" w:hanging="426"/>
        <w:jc w:val="both"/>
        <w:rPr>
          <w:rFonts w:ascii="Arial" w:hAnsi="Arial" w:cs="Arial"/>
          <w:color w:val="000000"/>
        </w:rPr>
      </w:pPr>
      <w:r w:rsidRPr="00601B12">
        <w:rPr>
          <w:rFonts w:ascii="Arial" w:hAnsi="Arial" w:cs="Arial"/>
        </w:rPr>
        <w:t xml:space="preserve">determining the investment policy </w:t>
      </w:r>
      <w:proofErr w:type="gramStart"/>
      <w:r w:rsidRPr="00601B12">
        <w:rPr>
          <w:rFonts w:ascii="Arial" w:hAnsi="Arial" w:cs="Arial"/>
        </w:rPr>
        <w:t>objectives</w:t>
      </w:r>
      <w:r w:rsidR="009122EA" w:rsidRPr="00601B12">
        <w:rPr>
          <w:rFonts w:ascii="Arial" w:hAnsi="Arial" w:cs="Arial"/>
        </w:rPr>
        <w:t>;</w:t>
      </w:r>
      <w:proofErr w:type="gramEnd"/>
    </w:p>
    <w:p w14:paraId="6D1621E3" w14:textId="77777777" w:rsidR="009018BB" w:rsidRPr="00601B12" w:rsidRDefault="00C41C82" w:rsidP="007337FE">
      <w:pPr>
        <w:pStyle w:val="ListParagraph"/>
        <w:numPr>
          <w:ilvl w:val="0"/>
          <w:numId w:val="56"/>
        </w:numPr>
        <w:autoSpaceDE w:val="0"/>
        <w:autoSpaceDN w:val="0"/>
        <w:adjustRightInd w:val="0"/>
        <w:spacing w:afterLines="60" w:after="144" w:line="240" w:lineRule="auto"/>
        <w:ind w:left="993" w:hanging="426"/>
        <w:jc w:val="both"/>
        <w:rPr>
          <w:rFonts w:ascii="Arial" w:hAnsi="Arial" w:cs="Arial"/>
          <w:color w:val="000000"/>
        </w:rPr>
      </w:pPr>
      <w:r w:rsidRPr="00601B12">
        <w:rPr>
          <w:rFonts w:ascii="Arial" w:hAnsi="Arial" w:cs="Arial"/>
        </w:rPr>
        <w:t xml:space="preserve">ensuring appropriate investment management arrangements are in </w:t>
      </w:r>
      <w:proofErr w:type="gramStart"/>
      <w:r w:rsidRPr="00601B12">
        <w:rPr>
          <w:rFonts w:ascii="Arial" w:hAnsi="Arial" w:cs="Arial"/>
        </w:rPr>
        <w:t>place;</w:t>
      </w:r>
      <w:proofErr w:type="gramEnd"/>
    </w:p>
    <w:p w14:paraId="6D1621E4" w14:textId="77777777" w:rsidR="009018BB" w:rsidRPr="00601B12" w:rsidRDefault="00C41C82" w:rsidP="007337FE">
      <w:pPr>
        <w:pStyle w:val="ListParagraph"/>
        <w:numPr>
          <w:ilvl w:val="0"/>
          <w:numId w:val="56"/>
        </w:numPr>
        <w:autoSpaceDE w:val="0"/>
        <w:autoSpaceDN w:val="0"/>
        <w:adjustRightInd w:val="0"/>
        <w:spacing w:afterLines="60" w:after="144" w:line="240" w:lineRule="auto"/>
        <w:ind w:left="993" w:hanging="426"/>
        <w:jc w:val="both"/>
        <w:rPr>
          <w:rFonts w:ascii="Arial" w:hAnsi="Arial" w:cs="Arial"/>
          <w:color w:val="000000"/>
        </w:rPr>
      </w:pPr>
      <w:r w:rsidRPr="00601B12">
        <w:rPr>
          <w:rFonts w:ascii="Arial" w:hAnsi="Arial" w:cs="Arial"/>
        </w:rPr>
        <w:t xml:space="preserve">appointment of investment managers, advisers </w:t>
      </w:r>
      <w:r w:rsidRPr="00601B12">
        <w:rPr>
          <w:rFonts w:ascii="Arial" w:hAnsi="Arial" w:cs="Arial"/>
          <w:color w:val="000000"/>
        </w:rPr>
        <w:t>a</w:t>
      </w:r>
      <w:r w:rsidRPr="00601B12">
        <w:rPr>
          <w:rFonts w:ascii="Arial" w:hAnsi="Arial" w:cs="Arial"/>
        </w:rPr>
        <w:t xml:space="preserve">nd </w:t>
      </w:r>
      <w:proofErr w:type="gramStart"/>
      <w:r w:rsidRPr="00601B12">
        <w:rPr>
          <w:rFonts w:ascii="Arial" w:hAnsi="Arial" w:cs="Arial"/>
        </w:rPr>
        <w:t>custodians;</w:t>
      </w:r>
      <w:proofErr w:type="gramEnd"/>
    </w:p>
    <w:p w14:paraId="6D1621E5" w14:textId="77777777" w:rsidR="009018BB" w:rsidRPr="00601B12" w:rsidRDefault="00C41C82" w:rsidP="007337FE">
      <w:pPr>
        <w:pStyle w:val="ListParagraph"/>
        <w:numPr>
          <w:ilvl w:val="0"/>
          <w:numId w:val="56"/>
        </w:numPr>
        <w:autoSpaceDE w:val="0"/>
        <w:autoSpaceDN w:val="0"/>
        <w:adjustRightInd w:val="0"/>
        <w:spacing w:afterLines="60" w:after="144" w:line="240" w:lineRule="auto"/>
        <w:ind w:left="993" w:hanging="426"/>
        <w:jc w:val="both"/>
        <w:rPr>
          <w:rFonts w:ascii="Arial" w:hAnsi="Arial" w:cs="Arial"/>
          <w:color w:val="000000"/>
        </w:rPr>
      </w:pPr>
      <w:r w:rsidRPr="00601B12">
        <w:rPr>
          <w:rFonts w:ascii="Arial" w:hAnsi="Arial" w:cs="Arial"/>
        </w:rPr>
        <w:t>reviewing investment managers’ performance</w:t>
      </w:r>
      <w:r w:rsidR="009F6163" w:rsidRPr="00601B12">
        <w:rPr>
          <w:rFonts w:ascii="Arial" w:hAnsi="Arial" w:cs="Arial"/>
        </w:rPr>
        <w:t xml:space="preserve"> and approving statutory </w:t>
      </w:r>
      <w:proofErr w:type="gramStart"/>
      <w:r w:rsidR="009F6163" w:rsidRPr="00601B12">
        <w:rPr>
          <w:rFonts w:ascii="Arial" w:hAnsi="Arial" w:cs="Arial"/>
        </w:rPr>
        <w:t>reports</w:t>
      </w:r>
      <w:r w:rsidRPr="00601B12">
        <w:rPr>
          <w:rFonts w:ascii="Arial" w:hAnsi="Arial" w:cs="Arial"/>
        </w:rPr>
        <w:t>;</w:t>
      </w:r>
      <w:proofErr w:type="gramEnd"/>
      <w:r w:rsidRPr="00601B12">
        <w:rPr>
          <w:rFonts w:ascii="Arial" w:hAnsi="Arial" w:cs="Arial"/>
        </w:rPr>
        <w:t xml:space="preserve"> </w:t>
      </w:r>
    </w:p>
    <w:p w14:paraId="6D1621E6" w14:textId="77777777" w:rsidR="009018BB" w:rsidRPr="00601B12" w:rsidRDefault="000939A5" w:rsidP="007337FE">
      <w:pPr>
        <w:pStyle w:val="ListParagraph"/>
        <w:numPr>
          <w:ilvl w:val="0"/>
          <w:numId w:val="56"/>
        </w:numPr>
        <w:autoSpaceDE w:val="0"/>
        <w:autoSpaceDN w:val="0"/>
        <w:adjustRightInd w:val="0"/>
        <w:spacing w:afterLines="60" w:after="144" w:line="240" w:lineRule="auto"/>
        <w:ind w:left="993" w:hanging="426"/>
        <w:jc w:val="both"/>
        <w:rPr>
          <w:rFonts w:ascii="Arial" w:hAnsi="Arial" w:cs="Arial"/>
          <w:color w:val="000000"/>
        </w:rPr>
      </w:pPr>
      <w:r w:rsidRPr="00601B12">
        <w:rPr>
          <w:rFonts w:ascii="Arial" w:hAnsi="Arial" w:cs="Arial"/>
        </w:rPr>
        <w:t xml:space="preserve">considering requests from organisations wishing to join the Fund as admitted </w:t>
      </w:r>
      <w:proofErr w:type="gramStart"/>
      <w:r w:rsidRPr="00601B12">
        <w:rPr>
          <w:rFonts w:ascii="Arial" w:hAnsi="Arial" w:cs="Arial"/>
        </w:rPr>
        <w:t>bodies;</w:t>
      </w:r>
      <w:proofErr w:type="gramEnd"/>
    </w:p>
    <w:p w14:paraId="6D1621E7" w14:textId="77777777" w:rsidR="009018BB" w:rsidRPr="00601B12" w:rsidRDefault="00C41C82" w:rsidP="007337FE">
      <w:pPr>
        <w:pStyle w:val="ListParagraph"/>
        <w:numPr>
          <w:ilvl w:val="0"/>
          <w:numId w:val="56"/>
        </w:numPr>
        <w:autoSpaceDE w:val="0"/>
        <w:autoSpaceDN w:val="0"/>
        <w:adjustRightInd w:val="0"/>
        <w:spacing w:afterLines="60" w:after="144" w:line="240" w:lineRule="auto"/>
        <w:ind w:left="993" w:hanging="426"/>
        <w:jc w:val="both"/>
        <w:rPr>
          <w:rFonts w:ascii="Arial" w:hAnsi="Arial" w:cs="Arial"/>
          <w:color w:val="000000"/>
        </w:rPr>
      </w:pPr>
      <w:r w:rsidRPr="00601B12">
        <w:rPr>
          <w:rFonts w:ascii="Arial" w:hAnsi="Arial" w:cs="Arial"/>
        </w:rPr>
        <w:t xml:space="preserve">commissioning the actuarial valuations in accordance with LGPS Regulations; </w:t>
      </w:r>
      <w:r w:rsidR="000939A5" w:rsidRPr="00601B12">
        <w:rPr>
          <w:rFonts w:ascii="Arial" w:hAnsi="Arial" w:cs="Arial"/>
        </w:rPr>
        <w:t>and</w:t>
      </w:r>
    </w:p>
    <w:p w14:paraId="6D1621E8" w14:textId="3F1227B2" w:rsidR="00C41C82" w:rsidRPr="00242067" w:rsidRDefault="00C41C82" w:rsidP="00B120EF">
      <w:pPr>
        <w:autoSpaceDE w:val="0"/>
        <w:autoSpaceDN w:val="0"/>
        <w:adjustRightInd w:val="0"/>
        <w:ind w:left="426"/>
        <w:jc w:val="both"/>
        <w:rPr>
          <w:rFonts w:ascii="Arial" w:hAnsi="Arial" w:cs="Arial"/>
          <w:color w:val="000000"/>
          <w:sz w:val="22"/>
          <w:szCs w:val="22"/>
        </w:rPr>
      </w:pPr>
      <w:r w:rsidRPr="00601B12">
        <w:rPr>
          <w:rFonts w:ascii="Arial" w:hAnsi="Arial" w:cs="Arial"/>
          <w:color w:val="000000"/>
          <w:sz w:val="22"/>
          <w:szCs w:val="22"/>
        </w:rPr>
        <w:t xml:space="preserve">In addition, as recommended by the </w:t>
      </w:r>
      <w:proofErr w:type="spellStart"/>
      <w:r w:rsidRPr="00601B12">
        <w:rPr>
          <w:rFonts w:ascii="Arial" w:hAnsi="Arial" w:cs="Arial"/>
          <w:color w:val="000000"/>
          <w:sz w:val="22"/>
          <w:szCs w:val="22"/>
        </w:rPr>
        <w:t>Myners</w:t>
      </w:r>
      <w:proofErr w:type="spellEnd"/>
      <w:r w:rsidRPr="00601B12">
        <w:rPr>
          <w:rFonts w:ascii="Arial" w:hAnsi="Arial" w:cs="Arial"/>
          <w:color w:val="000000"/>
          <w:sz w:val="22"/>
          <w:szCs w:val="22"/>
        </w:rPr>
        <w:t xml:space="preserve">’ Principles 2008, the Council has adopted the recommendations of the Knowledge and Skills Framework. The Pension </w:t>
      </w:r>
      <w:r w:rsidR="00D576F8" w:rsidRPr="00601B12">
        <w:rPr>
          <w:rFonts w:ascii="Arial" w:hAnsi="Arial" w:cs="Arial"/>
          <w:color w:val="000000"/>
          <w:sz w:val="22"/>
          <w:szCs w:val="22"/>
        </w:rPr>
        <w:t>Committee</w:t>
      </w:r>
      <w:r w:rsidRPr="00601B12">
        <w:rPr>
          <w:rFonts w:ascii="Arial" w:hAnsi="Arial" w:cs="Arial"/>
          <w:color w:val="000000"/>
          <w:sz w:val="22"/>
          <w:szCs w:val="22"/>
        </w:rPr>
        <w:t xml:space="preserve"> </w:t>
      </w:r>
      <w:r w:rsidRPr="00F4766D">
        <w:rPr>
          <w:rFonts w:ascii="Arial" w:hAnsi="Arial" w:cs="Arial"/>
          <w:color w:val="000000"/>
          <w:sz w:val="22"/>
          <w:szCs w:val="22"/>
        </w:rPr>
        <w:t>undertake various training throughout the year to equip them in their responsibility as</w:t>
      </w:r>
      <w:r w:rsidR="00A65492" w:rsidRPr="00F4766D">
        <w:rPr>
          <w:rFonts w:ascii="Arial" w:hAnsi="Arial" w:cs="Arial"/>
          <w:color w:val="000000"/>
          <w:sz w:val="22"/>
          <w:szCs w:val="22"/>
        </w:rPr>
        <w:t xml:space="preserve"> Fund</w:t>
      </w:r>
      <w:r w:rsidRPr="00F4766D">
        <w:rPr>
          <w:rFonts w:ascii="Arial" w:hAnsi="Arial" w:cs="Arial"/>
          <w:color w:val="000000"/>
          <w:sz w:val="22"/>
          <w:szCs w:val="22"/>
        </w:rPr>
        <w:t xml:space="preserve"> Trustees. </w:t>
      </w:r>
      <w:r w:rsidR="00B120EF" w:rsidRPr="00F4766D">
        <w:rPr>
          <w:rFonts w:ascii="Arial" w:hAnsi="Arial" w:cs="Arial"/>
          <w:bCs/>
          <w:color w:val="000000" w:themeColor="text1"/>
          <w:sz w:val="22"/>
          <w:szCs w:val="22"/>
        </w:rPr>
        <w:t>Following local elections in May 2018, the Pension Panel became a Pension Committee, with</w:t>
      </w:r>
      <w:r w:rsidR="00B120EF" w:rsidRPr="00F4766D">
        <w:rPr>
          <w:rFonts w:ascii="Arial" w:hAnsi="Arial" w:cs="Arial"/>
          <w:color w:val="000000" w:themeColor="text1"/>
          <w:sz w:val="22"/>
          <w:szCs w:val="22"/>
        </w:rPr>
        <w:t xml:space="preserve"> new </w:t>
      </w:r>
      <w:r w:rsidR="00B120EF" w:rsidRPr="00FA4098">
        <w:rPr>
          <w:rFonts w:ascii="Arial" w:hAnsi="Arial" w:cs="Arial"/>
          <w:color w:val="000000" w:themeColor="text1"/>
          <w:sz w:val="22"/>
          <w:szCs w:val="22"/>
        </w:rPr>
        <w:t xml:space="preserve">Members appointed, including a new chair and deputy chair. </w:t>
      </w:r>
      <w:r w:rsidR="00AB6D8F" w:rsidRPr="00FA4098">
        <w:rPr>
          <w:rFonts w:ascii="Arial" w:hAnsi="Arial" w:cs="Arial"/>
          <w:color w:val="000000" w:themeColor="text1"/>
          <w:sz w:val="22"/>
          <w:szCs w:val="22"/>
        </w:rPr>
        <w:t xml:space="preserve">In May 2019, two </w:t>
      </w:r>
      <w:r w:rsidR="00337FB9" w:rsidRPr="00FA4098">
        <w:rPr>
          <w:rFonts w:ascii="Arial" w:hAnsi="Arial" w:cs="Arial"/>
          <w:color w:val="000000" w:themeColor="text1"/>
          <w:sz w:val="22"/>
          <w:szCs w:val="22"/>
        </w:rPr>
        <w:t xml:space="preserve">additional </w:t>
      </w:r>
      <w:r w:rsidR="00242067" w:rsidRPr="00FA4098">
        <w:rPr>
          <w:rFonts w:ascii="Arial" w:hAnsi="Arial" w:cs="Arial"/>
          <w:color w:val="000000" w:themeColor="text1"/>
          <w:sz w:val="22"/>
          <w:szCs w:val="22"/>
        </w:rPr>
        <w:t>Members were appointed</w:t>
      </w:r>
      <w:r w:rsidR="000A4D4C" w:rsidRPr="00FA4098">
        <w:rPr>
          <w:rFonts w:ascii="Arial" w:hAnsi="Arial" w:cs="Arial"/>
          <w:bCs/>
          <w:color w:val="000000" w:themeColor="text1"/>
          <w:sz w:val="22"/>
          <w:szCs w:val="22"/>
        </w:rPr>
        <w:t xml:space="preserve"> to the C</w:t>
      </w:r>
      <w:r w:rsidR="00D06824" w:rsidRPr="00FA4098">
        <w:rPr>
          <w:rFonts w:ascii="Arial" w:hAnsi="Arial" w:cs="Arial"/>
          <w:bCs/>
          <w:color w:val="000000" w:themeColor="text1"/>
          <w:sz w:val="22"/>
          <w:szCs w:val="22"/>
        </w:rPr>
        <w:t>ommittee</w:t>
      </w:r>
      <w:r w:rsidR="00242067" w:rsidRPr="00FA4098">
        <w:rPr>
          <w:rFonts w:ascii="Arial" w:hAnsi="Arial" w:cs="Arial"/>
          <w:bCs/>
          <w:color w:val="000000" w:themeColor="text1"/>
          <w:sz w:val="22"/>
          <w:szCs w:val="22"/>
        </w:rPr>
        <w:t>.</w:t>
      </w:r>
      <w:r w:rsidR="00A264A7">
        <w:rPr>
          <w:rFonts w:ascii="Arial" w:hAnsi="Arial" w:cs="Arial"/>
          <w:bCs/>
          <w:color w:val="000000" w:themeColor="text1"/>
          <w:sz w:val="22"/>
          <w:szCs w:val="22"/>
        </w:rPr>
        <w:t xml:space="preserve"> </w:t>
      </w:r>
      <w:r w:rsidR="00B120EF" w:rsidRPr="00FA4098">
        <w:rPr>
          <w:rFonts w:ascii="Arial" w:hAnsi="Arial" w:cs="Arial"/>
          <w:bCs/>
          <w:color w:val="000000"/>
          <w:sz w:val="22"/>
          <w:szCs w:val="22"/>
        </w:rPr>
        <w:t>The current Pensions Committee i</w:t>
      </w:r>
      <w:r w:rsidR="0027358B" w:rsidRPr="00FA4098">
        <w:rPr>
          <w:rFonts w:ascii="Arial" w:hAnsi="Arial" w:cs="Arial"/>
          <w:bCs/>
          <w:color w:val="000000"/>
          <w:sz w:val="22"/>
          <w:szCs w:val="22"/>
        </w:rPr>
        <w:t>s</w:t>
      </w:r>
      <w:r w:rsidR="00B120EF" w:rsidRPr="00FA4098">
        <w:rPr>
          <w:rFonts w:ascii="Arial" w:hAnsi="Arial" w:cs="Arial"/>
          <w:color w:val="000000"/>
          <w:sz w:val="22"/>
          <w:szCs w:val="22"/>
        </w:rPr>
        <w:t xml:space="preserve"> provided below:</w:t>
      </w:r>
      <w:r w:rsidR="00FF259D">
        <w:rPr>
          <w:rFonts w:ascii="Arial" w:hAnsi="Arial" w:cs="Arial"/>
          <w:color w:val="000000"/>
          <w:sz w:val="22"/>
          <w:szCs w:val="22"/>
        </w:rPr>
        <w:t xml:space="preserve"> </w:t>
      </w:r>
    </w:p>
    <w:tbl>
      <w:tblPr>
        <w:tblpPr w:leftFromText="180" w:rightFromText="180" w:vertAnchor="text" w:horzAnchor="page" w:tblpX="1981" w:tblpY="143"/>
        <w:tblW w:w="6237" w:type="dxa"/>
        <w:tblLook w:val="04A0" w:firstRow="1" w:lastRow="0" w:firstColumn="1" w:lastColumn="0" w:noHBand="0" w:noVBand="1"/>
      </w:tblPr>
      <w:tblGrid>
        <w:gridCol w:w="1712"/>
        <w:gridCol w:w="3384"/>
        <w:gridCol w:w="1170"/>
      </w:tblGrid>
      <w:tr w:rsidR="001F6CE5" w:rsidRPr="001F6CE5" w14:paraId="7F579958" w14:textId="77777777" w:rsidTr="001F6CE5">
        <w:trPr>
          <w:trHeight w:val="306"/>
        </w:trPr>
        <w:tc>
          <w:tcPr>
            <w:tcW w:w="5096" w:type="dxa"/>
            <w:gridSpan w:val="2"/>
            <w:tcBorders>
              <w:top w:val="nil"/>
              <w:left w:val="nil"/>
              <w:bottom w:val="nil"/>
              <w:right w:val="nil"/>
            </w:tcBorders>
            <w:shd w:val="clear" w:color="auto" w:fill="auto"/>
            <w:noWrap/>
            <w:vAlign w:val="bottom"/>
            <w:hideMark/>
          </w:tcPr>
          <w:p w14:paraId="663A7808" w14:textId="77777777" w:rsidR="001F6CE5" w:rsidRPr="00357783" w:rsidRDefault="001F6CE5" w:rsidP="001F6CE5">
            <w:pPr>
              <w:rPr>
                <w:rFonts w:ascii="Arial" w:hAnsi="Arial" w:cs="Arial"/>
                <w:b/>
                <w:color w:val="000000"/>
                <w:sz w:val="22"/>
                <w:szCs w:val="22"/>
              </w:rPr>
            </w:pPr>
            <w:r w:rsidRPr="00357783">
              <w:rPr>
                <w:rFonts w:ascii="Arial" w:hAnsi="Arial" w:cs="Arial"/>
                <w:b/>
                <w:color w:val="000000"/>
                <w:sz w:val="22"/>
                <w:szCs w:val="22"/>
              </w:rPr>
              <w:t xml:space="preserve">Pension Committee </w:t>
            </w:r>
          </w:p>
        </w:tc>
        <w:tc>
          <w:tcPr>
            <w:tcW w:w="1141" w:type="dxa"/>
            <w:tcBorders>
              <w:top w:val="nil"/>
              <w:left w:val="nil"/>
              <w:bottom w:val="nil"/>
              <w:right w:val="nil"/>
            </w:tcBorders>
            <w:shd w:val="clear" w:color="auto" w:fill="auto"/>
            <w:noWrap/>
            <w:vAlign w:val="bottom"/>
            <w:hideMark/>
          </w:tcPr>
          <w:p w14:paraId="6C1BBE12" w14:textId="77777777" w:rsidR="001F6CE5" w:rsidRPr="00357783" w:rsidRDefault="001F6CE5" w:rsidP="001F6CE5">
            <w:pPr>
              <w:rPr>
                <w:rFonts w:ascii="Arial" w:hAnsi="Arial" w:cs="Arial"/>
                <w:b/>
                <w:color w:val="000000"/>
                <w:sz w:val="22"/>
                <w:szCs w:val="22"/>
              </w:rPr>
            </w:pPr>
            <w:r w:rsidRPr="00357783">
              <w:rPr>
                <w:rFonts w:ascii="Arial" w:hAnsi="Arial" w:cs="Arial"/>
                <w:b/>
                <w:color w:val="000000"/>
                <w:sz w:val="22"/>
                <w:szCs w:val="22"/>
              </w:rPr>
              <w:t xml:space="preserve">Meetings Attended </w:t>
            </w:r>
          </w:p>
        </w:tc>
      </w:tr>
      <w:tr w:rsidR="001F6CE5" w:rsidRPr="001F6CE5" w14:paraId="3E0C7E19" w14:textId="77777777" w:rsidTr="001F6CE5">
        <w:trPr>
          <w:trHeight w:val="306"/>
        </w:trPr>
        <w:tc>
          <w:tcPr>
            <w:tcW w:w="1712" w:type="dxa"/>
            <w:tcBorders>
              <w:top w:val="nil"/>
              <w:left w:val="nil"/>
              <w:bottom w:val="nil"/>
              <w:right w:val="nil"/>
            </w:tcBorders>
            <w:shd w:val="clear" w:color="auto" w:fill="auto"/>
            <w:noWrap/>
            <w:vAlign w:val="center"/>
            <w:hideMark/>
          </w:tcPr>
          <w:p w14:paraId="5EA2B8E2" w14:textId="77777777" w:rsidR="001F6CE5" w:rsidRPr="00357783" w:rsidRDefault="001F6CE5" w:rsidP="001F6CE5">
            <w:pPr>
              <w:rPr>
                <w:rFonts w:ascii="Arial" w:hAnsi="Arial" w:cs="Arial"/>
                <w:b/>
                <w:color w:val="000000"/>
                <w:sz w:val="22"/>
                <w:szCs w:val="22"/>
              </w:rPr>
            </w:pPr>
            <w:r w:rsidRPr="00357783">
              <w:rPr>
                <w:rFonts w:ascii="Arial" w:hAnsi="Arial" w:cs="Arial"/>
                <w:b/>
                <w:color w:val="000000"/>
                <w:sz w:val="22"/>
                <w:szCs w:val="22"/>
              </w:rPr>
              <w:t>Chair:</w:t>
            </w:r>
          </w:p>
        </w:tc>
        <w:tc>
          <w:tcPr>
            <w:tcW w:w="3384" w:type="dxa"/>
            <w:tcBorders>
              <w:top w:val="nil"/>
              <w:left w:val="nil"/>
              <w:bottom w:val="nil"/>
              <w:right w:val="nil"/>
            </w:tcBorders>
            <w:shd w:val="clear" w:color="auto" w:fill="auto"/>
            <w:noWrap/>
          </w:tcPr>
          <w:p w14:paraId="239B8FF1" w14:textId="77777777" w:rsidR="001F6CE5" w:rsidRPr="00357783" w:rsidRDefault="001F6CE5" w:rsidP="001F6CE5">
            <w:pPr>
              <w:rPr>
                <w:rFonts w:ascii="Arial" w:hAnsi="Arial" w:cs="Arial"/>
                <w:color w:val="000000"/>
                <w:sz w:val="22"/>
                <w:szCs w:val="22"/>
              </w:rPr>
            </w:pPr>
            <w:r w:rsidRPr="00357783">
              <w:rPr>
                <w:rFonts w:ascii="Arial" w:hAnsi="Arial" w:cs="Arial"/>
                <w:sz w:val="22"/>
                <w:szCs w:val="22"/>
              </w:rPr>
              <w:t>Cllr Kashif Haroon</w:t>
            </w:r>
          </w:p>
        </w:tc>
        <w:tc>
          <w:tcPr>
            <w:tcW w:w="1141" w:type="dxa"/>
            <w:tcBorders>
              <w:top w:val="nil"/>
              <w:left w:val="nil"/>
              <w:bottom w:val="nil"/>
              <w:right w:val="nil"/>
            </w:tcBorders>
            <w:shd w:val="clear" w:color="auto" w:fill="auto"/>
            <w:noWrap/>
          </w:tcPr>
          <w:p w14:paraId="21EDE23A" w14:textId="77777777" w:rsidR="001F6CE5" w:rsidRPr="00357783" w:rsidRDefault="001F6CE5" w:rsidP="001F6CE5">
            <w:pPr>
              <w:jc w:val="center"/>
              <w:rPr>
                <w:rFonts w:ascii="Arial" w:hAnsi="Arial" w:cs="Arial"/>
                <w:color w:val="000000"/>
                <w:sz w:val="22"/>
                <w:szCs w:val="22"/>
              </w:rPr>
            </w:pPr>
            <w:r w:rsidRPr="00357783">
              <w:rPr>
                <w:rFonts w:ascii="Arial" w:hAnsi="Arial" w:cs="Arial"/>
                <w:color w:val="000000"/>
                <w:sz w:val="22"/>
                <w:szCs w:val="22"/>
              </w:rPr>
              <w:t>4</w:t>
            </w:r>
          </w:p>
        </w:tc>
      </w:tr>
      <w:tr w:rsidR="001F6CE5" w:rsidRPr="001F6CE5" w14:paraId="5F2CF52A" w14:textId="77777777" w:rsidTr="001F6CE5">
        <w:trPr>
          <w:trHeight w:val="306"/>
        </w:trPr>
        <w:tc>
          <w:tcPr>
            <w:tcW w:w="1712" w:type="dxa"/>
            <w:tcBorders>
              <w:top w:val="nil"/>
              <w:left w:val="nil"/>
              <w:bottom w:val="nil"/>
              <w:right w:val="nil"/>
            </w:tcBorders>
            <w:shd w:val="clear" w:color="auto" w:fill="auto"/>
            <w:noWrap/>
            <w:vAlign w:val="center"/>
            <w:hideMark/>
          </w:tcPr>
          <w:p w14:paraId="004E5350" w14:textId="77777777" w:rsidR="001F6CE5" w:rsidRPr="00357783" w:rsidRDefault="001F6CE5" w:rsidP="001F6CE5">
            <w:pPr>
              <w:rPr>
                <w:rFonts w:ascii="Arial" w:hAnsi="Arial" w:cs="Arial"/>
                <w:b/>
                <w:color w:val="000000"/>
                <w:sz w:val="22"/>
                <w:szCs w:val="22"/>
              </w:rPr>
            </w:pPr>
            <w:r w:rsidRPr="00357783">
              <w:rPr>
                <w:rFonts w:ascii="Arial" w:hAnsi="Arial" w:cs="Arial"/>
                <w:b/>
                <w:color w:val="000000"/>
                <w:sz w:val="22"/>
                <w:szCs w:val="22"/>
              </w:rPr>
              <w:t>Deputy:</w:t>
            </w:r>
          </w:p>
        </w:tc>
        <w:tc>
          <w:tcPr>
            <w:tcW w:w="3384" w:type="dxa"/>
            <w:tcBorders>
              <w:top w:val="nil"/>
              <w:left w:val="nil"/>
              <w:bottom w:val="nil"/>
              <w:right w:val="nil"/>
            </w:tcBorders>
            <w:shd w:val="clear" w:color="auto" w:fill="auto"/>
            <w:noWrap/>
          </w:tcPr>
          <w:p w14:paraId="57DEC973" w14:textId="77777777" w:rsidR="001F6CE5" w:rsidRPr="00357783" w:rsidRDefault="001F6CE5" w:rsidP="001F6CE5">
            <w:pPr>
              <w:rPr>
                <w:rFonts w:ascii="Arial" w:hAnsi="Arial" w:cs="Arial"/>
                <w:color w:val="000000"/>
                <w:sz w:val="22"/>
                <w:szCs w:val="22"/>
              </w:rPr>
            </w:pPr>
            <w:r w:rsidRPr="00357783">
              <w:rPr>
                <w:rFonts w:ascii="Arial" w:hAnsi="Arial" w:cs="Arial"/>
                <w:sz w:val="22"/>
                <w:szCs w:val="22"/>
              </w:rPr>
              <w:t xml:space="preserve">Cllr </w:t>
            </w:r>
            <w:proofErr w:type="spellStart"/>
            <w:r w:rsidRPr="00357783">
              <w:rPr>
                <w:rFonts w:ascii="Arial" w:hAnsi="Arial" w:cs="Arial"/>
                <w:sz w:val="22"/>
                <w:szCs w:val="22"/>
              </w:rPr>
              <w:t>Foyzur</w:t>
            </w:r>
            <w:proofErr w:type="spellEnd"/>
            <w:r w:rsidRPr="00357783">
              <w:rPr>
                <w:rFonts w:ascii="Arial" w:hAnsi="Arial" w:cs="Arial"/>
                <w:sz w:val="22"/>
                <w:szCs w:val="22"/>
              </w:rPr>
              <w:t xml:space="preserve"> Rahman</w:t>
            </w:r>
          </w:p>
        </w:tc>
        <w:tc>
          <w:tcPr>
            <w:tcW w:w="1141" w:type="dxa"/>
            <w:tcBorders>
              <w:top w:val="nil"/>
              <w:left w:val="nil"/>
              <w:bottom w:val="nil"/>
              <w:right w:val="nil"/>
            </w:tcBorders>
            <w:shd w:val="clear" w:color="auto" w:fill="auto"/>
            <w:noWrap/>
          </w:tcPr>
          <w:p w14:paraId="18E3331F" w14:textId="77777777" w:rsidR="001F6CE5" w:rsidRPr="00357783" w:rsidRDefault="001F6CE5" w:rsidP="001F6CE5">
            <w:pPr>
              <w:jc w:val="center"/>
              <w:rPr>
                <w:rFonts w:ascii="Arial" w:hAnsi="Arial" w:cs="Arial"/>
                <w:color w:val="000000"/>
                <w:sz w:val="22"/>
                <w:szCs w:val="22"/>
              </w:rPr>
            </w:pPr>
            <w:r w:rsidRPr="00357783">
              <w:rPr>
                <w:rFonts w:ascii="Arial" w:hAnsi="Arial" w:cs="Arial"/>
                <w:color w:val="000000"/>
                <w:sz w:val="22"/>
                <w:szCs w:val="22"/>
              </w:rPr>
              <w:t>4</w:t>
            </w:r>
          </w:p>
        </w:tc>
      </w:tr>
      <w:tr w:rsidR="001F6CE5" w:rsidRPr="001F6CE5" w14:paraId="57CC9E88" w14:textId="77777777" w:rsidTr="001F6CE5">
        <w:trPr>
          <w:trHeight w:val="306"/>
        </w:trPr>
        <w:tc>
          <w:tcPr>
            <w:tcW w:w="1712" w:type="dxa"/>
            <w:tcBorders>
              <w:top w:val="nil"/>
              <w:left w:val="nil"/>
              <w:bottom w:val="nil"/>
              <w:right w:val="nil"/>
            </w:tcBorders>
            <w:shd w:val="clear" w:color="auto" w:fill="auto"/>
            <w:noWrap/>
            <w:vAlign w:val="bottom"/>
            <w:hideMark/>
          </w:tcPr>
          <w:p w14:paraId="5AC64258" w14:textId="77777777" w:rsidR="001F6CE5" w:rsidRPr="006925F4" w:rsidRDefault="001F6CE5" w:rsidP="001F6CE5">
            <w:pPr>
              <w:rPr>
                <w:rFonts w:ascii="Arial" w:hAnsi="Arial" w:cs="Arial"/>
                <w:color w:val="000000"/>
                <w:sz w:val="22"/>
                <w:szCs w:val="22"/>
                <w:highlight w:val="yellow"/>
              </w:rPr>
            </w:pPr>
          </w:p>
        </w:tc>
        <w:tc>
          <w:tcPr>
            <w:tcW w:w="3384" w:type="dxa"/>
            <w:tcBorders>
              <w:top w:val="nil"/>
              <w:left w:val="nil"/>
              <w:bottom w:val="nil"/>
              <w:right w:val="nil"/>
            </w:tcBorders>
            <w:shd w:val="clear" w:color="auto" w:fill="auto"/>
            <w:noWrap/>
          </w:tcPr>
          <w:p w14:paraId="02EC0E01" w14:textId="77777777" w:rsidR="001F6CE5" w:rsidRPr="00357783" w:rsidRDefault="001F6CE5" w:rsidP="001F6CE5">
            <w:pPr>
              <w:rPr>
                <w:rFonts w:ascii="Arial" w:hAnsi="Arial" w:cs="Arial"/>
                <w:color w:val="000000"/>
                <w:sz w:val="22"/>
                <w:szCs w:val="22"/>
              </w:rPr>
            </w:pPr>
            <w:r w:rsidRPr="00357783">
              <w:rPr>
                <w:rFonts w:ascii="Arial" w:hAnsi="Arial" w:cs="Arial"/>
                <w:sz w:val="22"/>
                <w:szCs w:val="22"/>
              </w:rPr>
              <w:t>Cllr Dave Miles</w:t>
            </w:r>
          </w:p>
        </w:tc>
        <w:tc>
          <w:tcPr>
            <w:tcW w:w="1141" w:type="dxa"/>
            <w:tcBorders>
              <w:top w:val="nil"/>
              <w:left w:val="nil"/>
              <w:bottom w:val="nil"/>
              <w:right w:val="nil"/>
            </w:tcBorders>
            <w:shd w:val="clear" w:color="auto" w:fill="auto"/>
            <w:noWrap/>
          </w:tcPr>
          <w:p w14:paraId="34E1DC49" w14:textId="22A8F290" w:rsidR="001F6CE5" w:rsidRPr="00357783" w:rsidRDefault="00357783" w:rsidP="001F6CE5">
            <w:pPr>
              <w:jc w:val="center"/>
              <w:rPr>
                <w:rFonts w:ascii="Arial" w:hAnsi="Arial" w:cs="Arial"/>
                <w:color w:val="000000"/>
                <w:sz w:val="22"/>
                <w:szCs w:val="22"/>
              </w:rPr>
            </w:pPr>
            <w:r w:rsidRPr="00357783">
              <w:rPr>
                <w:rFonts w:ascii="Arial" w:hAnsi="Arial" w:cs="Arial"/>
                <w:color w:val="000000"/>
                <w:sz w:val="22"/>
                <w:szCs w:val="22"/>
              </w:rPr>
              <w:t>1</w:t>
            </w:r>
          </w:p>
        </w:tc>
      </w:tr>
      <w:tr w:rsidR="001F6CE5" w:rsidRPr="001F6CE5" w14:paraId="7E0CDAB6" w14:textId="77777777" w:rsidTr="001F6CE5">
        <w:trPr>
          <w:trHeight w:val="306"/>
        </w:trPr>
        <w:tc>
          <w:tcPr>
            <w:tcW w:w="1712" w:type="dxa"/>
            <w:tcBorders>
              <w:top w:val="nil"/>
              <w:left w:val="nil"/>
              <w:bottom w:val="nil"/>
              <w:right w:val="nil"/>
            </w:tcBorders>
            <w:shd w:val="clear" w:color="auto" w:fill="auto"/>
            <w:noWrap/>
            <w:vAlign w:val="bottom"/>
            <w:hideMark/>
          </w:tcPr>
          <w:p w14:paraId="5FEAB938" w14:textId="77777777" w:rsidR="001F6CE5" w:rsidRPr="006925F4" w:rsidRDefault="001F6CE5" w:rsidP="001F6CE5">
            <w:pPr>
              <w:rPr>
                <w:rFonts w:ascii="Arial" w:hAnsi="Arial" w:cs="Arial"/>
                <w:color w:val="000000"/>
                <w:sz w:val="22"/>
                <w:szCs w:val="22"/>
                <w:highlight w:val="yellow"/>
              </w:rPr>
            </w:pPr>
          </w:p>
        </w:tc>
        <w:tc>
          <w:tcPr>
            <w:tcW w:w="3384" w:type="dxa"/>
            <w:tcBorders>
              <w:top w:val="nil"/>
              <w:left w:val="nil"/>
              <w:bottom w:val="nil"/>
              <w:right w:val="nil"/>
            </w:tcBorders>
            <w:shd w:val="clear" w:color="auto" w:fill="auto"/>
            <w:noWrap/>
          </w:tcPr>
          <w:p w14:paraId="4AD0962D" w14:textId="77777777" w:rsidR="001F6CE5" w:rsidRPr="00357783" w:rsidRDefault="001F6CE5" w:rsidP="001F6CE5">
            <w:pPr>
              <w:rPr>
                <w:rFonts w:ascii="Arial" w:hAnsi="Arial" w:cs="Arial"/>
                <w:color w:val="000000"/>
                <w:sz w:val="22"/>
                <w:szCs w:val="22"/>
              </w:rPr>
            </w:pPr>
            <w:r w:rsidRPr="00357783">
              <w:rPr>
                <w:rFonts w:ascii="Arial" w:hAnsi="Arial" w:cs="Arial"/>
                <w:sz w:val="22"/>
                <w:szCs w:val="22"/>
              </w:rPr>
              <w:t>Cllr Rocky Gill</w:t>
            </w:r>
          </w:p>
        </w:tc>
        <w:tc>
          <w:tcPr>
            <w:tcW w:w="1141" w:type="dxa"/>
            <w:tcBorders>
              <w:top w:val="nil"/>
              <w:left w:val="nil"/>
              <w:bottom w:val="nil"/>
              <w:right w:val="nil"/>
            </w:tcBorders>
            <w:shd w:val="clear" w:color="auto" w:fill="auto"/>
            <w:noWrap/>
          </w:tcPr>
          <w:p w14:paraId="3F1E075A" w14:textId="77777777" w:rsidR="001F6CE5" w:rsidRPr="00357783" w:rsidRDefault="001F6CE5" w:rsidP="001F6CE5">
            <w:pPr>
              <w:jc w:val="center"/>
              <w:rPr>
                <w:rFonts w:ascii="Arial" w:hAnsi="Arial" w:cs="Arial"/>
                <w:color w:val="000000"/>
                <w:sz w:val="22"/>
                <w:szCs w:val="22"/>
              </w:rPr>
            </w:pPr>
            <w:r w:rsidRPr="00357783">
              <w:rPr>
                <w:rFonts w:ascii="Arial" w:hAnsi="Arial" w:cs="Arial"/>
                <w:color w:val="000000"/>
                <w:sz w:val="22"/>
                <w:szCs w:val="22"/>
              </w:rPr>
              <w:t>4</w:t>
            </w:r>
          </w:p>
        </w:tc>
      </w:tr>
      <w:tr w:rsidR="001F6CE5" w:rsidRPr="001F6CE5" w14:paraId="185069DC" w14:textId="77777777" w:rsidTr="001F6CE5">
        <w:trPr>
          <w:trHeight w:val="306"/>
        </w:trPr>
        <w:tc>
          <w:tcPr>
            <w:tcW w:w="1712" w:type="dxa"/>
            <w:tcBorders>
              <w:top w:val="nil"/>
              <w:left w:val="nil"/>
              <w:bottom w:val="nil"/>
              <w:right w:val="nil"/>
            </w:tcBorders>
            <w:shd w:val="clear" w:color="auto" w:fill="auto"/>
            <w:noWrap/>
            <w:vAlign w:val="bottom"/>
            <w:hideMark/>
          </w:tcPr>
          <w:p w14:paraId="4E2F8236" w14:textId="77777777" w:rsidR="001F6CE5" w:rsidRPr="006925F4" w:rsidRDefault="001F6CE5" w:rsidP="001F6CE5">
            <w:pPr>
              <w:rPr>
                <w:rFonts w:ascii="Arial" w:hAnsi="Arial" w:cs="Arial"/>
                <w:color w:val="000000"/>
                <w:sz w:val="22"/>
                <w:szCs w:val="22"/>
                <w:highlight w:val="yellow"/>
              </w:rPr>
            </w:pPr>
          </w:p>
        </w:tc>
        <w:tc>
          <w:tcPr>
            <w:tcW w:w="3384" w:type="dxa"/>
            <w:tcBorders>
              <w:top w:val="nil"/>
              <w:left w:val="nil"/>
              <w:bottom w:val="nil"/>
              <w:right w:val="nil"/>
            </w:tcBorders>
            <w:shd w:val="clear" w:color="auto" w:fill="auto"/>
            <w:noWrap/>
          </w:tcPr>
          <w:p w14:paraId="0FA32278" w14:textId="77777777" w:rsidR="001F6CE5" w:rsidRPr="00357783" w:rsidRDefault="001F6CE5" w:rsidP="001F6CE5">
            <w:pPr>
              <w:rPr>
                <w:rFonts w:ascii="Arial" w:hAnsi="Arial" w:cs="Arial"/>
                <w:color w:val="000000"/>
                <w:sz w:val="22"/>
                <w:szCs w:val="22"/>
              </w:rPr>
            </w:pPr>
            <w:r w:rsidRPr="00357783">
              <w:rPr>
                <w:rFonts w:ascii="Arial" w:hAnsi="Arial" w:cs="Arial"/>
                <w:sz w:val="22"/>
                <w:szCs w:val="22"/>
              </w:rPr>
              <w:t>Cllr Amardeep Singh Jamu</w:t>
            </w:r>
          </w:p>
        </w:tc>
        <w:tc>
          <w:tcPr>
            <w:tcW w:w="1141" w:type="dxa"/>
            <w:tcBorders>
              <w:top w:val="nil"/>
              <w:left w:val="nil"/>
              <w:bottom w:val="nil"/>
              <w:right w:val="nil"/>
            </w:tcBorders>
            <w:shd w:val="clear" w:color="auto" w:fill="auto"/>
            <w:noWrap/>
          </w:tcPr>
          <w:p w14:paraId="006E08B3" w14:textId="0C92C2E5" w:rsidR="001F6CE5" w:rsidRPr="00357783" w:rsidRDefault="00357783" w:rsidP="001F6CE5">
            <w:pPr>
              <w:jc w:val="center"/>
              <w:rPr>
                <w:rFonts w:ascii="Arial" w:hAnsi="Arial" w:cs="Arial"/>
                <w:color w:val="000000"/>
                <w:sz w:val="22"/>
                <w:szCs w:val="22"/>
              </w:rPr>
            </w:pPr>
            <w:r w:rsidRPr="00357783">
              <w:rPr>
                <w:rFonts w:ascii="Arial" w:hAnsi="Arial" w:cs="Arial"/>
                <w:color w:val="000000"/>
                <w:sz w:val="22"/>
                <w:szCs w:val="22"/>
              </w:rPr>
              <w:t>2</w:t>
            </w:r>
          </w:p>
        </w:tc>
      </w:tr>
      <w:tr w:rsidR="001F6CE5" w:rsidRPr="001F6CE5" w14:paraId="035A324B" w14:textId="77777777" w:rsidTr="001F6CE5">
        <w:trPr>
          <w:trHeight w:val="306"/>
        </w:trPr>
        <w:tc>
          <w:tcPr>
            <w:tcW w:w="1712" w:type="dxa"/>
            <w:tcBorders>
              <w:top w:val="nil"/>
              <w:left w:val="nil"/>
              <w:bottom w:val="nil"/>
              <w:right w:val="nil"/>
            </w:tcBorders>
            <w:shd w:val="clear" w:color="auto" w:fill="auto"/>
            <w:noWrap/>
            <w:vAlign w:val="bottom"/>
            <w:hideMark/>
          </w:tcPr>
          <w:p w14:paraId="5FF9E48E" w14:textId="77777777" w:rsidR="001F6CE5" w:rsidRPr="006925F4" w:rsidRDefault="001F6CE5" w:rsidP="001F6CE5">
            <w:pPr>
              <w:rPr>
                <w:rFonts w:ascii="Arial" w:hAnsi="Arial" w:cs="Arial"/>
                <w:color w:val="000000"/>
                <w:sz w:val="22"/>
                <w:szCs w:val="22"/>
                <w:highlight w:val="yellow"/>
              </w:rPr>
            </w:pPr>
          </w:p>
        </w:tc>
        <w:tc>
          <w:tcPr>
            <w:tcW w:w="3384" w:type="dxa"/>
            <w:tcBorders>
              <w:top w:val="nil"/>
              <w:left w:val="nil"/>
              <w:bottom w:val="nil"/>
              <w:right w:val="nil"/>
            </w:tcBorders>
            <w:shd w:val="clear" w:color="auto" w:fill="auto"/>
            <w:noWrap/>
          </w:tcPr>
          <w:p w14:paraId="10C1F371" w14:textId="77777777" w:rsidR="001F6CE5" w:rsidRPr="00357783" w:rsidRDefault="001F6CE5" w:rsidP="001F6CE5">
            <w:pPr>
              <w:rPr>
                <w:rFonts w:ascii="Arial" w:hAnsi="Arial" w:cs="Arial"/>
                <w:color w:val="000000"/>
                <w:sz w:val="22"/>
                <w:szCs w:val="22"/>
              </w:rPr>
            </w:pPr>
            <w:r w:rsidRPr="00357783">
              <w:rPr>
                <w:rFonts w:ascii="Arial" w:hAnsi="Arial" w:cs="Arial"/>
                <w:sz w:val="22"/>
                <w:szCs w:val="22"/>
              </w:rPr>
              <w:t>Cllr Mick McCarthy</w:t>
            </w:r>
          </w:p>
        </w:tc>
        <w:tc>
          <w:tcPr>
            <w:tcW w:w="1141" w:type="dxa"/>
            <w:tcBorders>
              <w:top w:val="nil"/>
              <w:left w:val="nil"/>
              <w:bottom w:val="nil"/>
              <w:right w:val="nil"/>
            </w:tcBorders>
            <w:shd w:val="clear" w:color="auto" w:fill="auto"/>
            <w:noWrap/>
          </w:tcPr>
          <w:p w14:paraId="7BA4FBBB" w14:textId="77777777" w:rsidR="001F6CE5" w:rsidRPr="00357783" w:rsidRDefault="001F6CE5" w:rsidP="001F6CE5">
            <w:pPr>
              <w:jc w:val="center"/>
              <w:rPr>
                <w:rFonts w:ascii="Arial" w:hAnsi="Arial" w:cs="Arial"/>
                <w:color w:val="000000"/>
                <w:sz w:val="22"/>
                <w:szCs w:val="22"/>
              </w:rPr>
            </w:pPr>
            <w:r w:rsidRPr="00357783">
              <w:rPr>
                <w:rFonts w:ascii="Arial" w:hAnsi="Arial" w:cs="Arial"/>
                <w:color w:val="000000"/>
                <w:sz w:val="22"/>
                <w:szCs w:val="22"/>
              </w:rPr>
              <w:t>4</w:t>
            </w:r>
          </w:p>
        </w:tc>
      </w:tr>
      <w:tr w:rsidR="001F6CE5" w:rsidRPr="001F6CE5" w14:paraId="2DA71D74" w14:textId="77777777" w:rsidTr="001F6CE5">
        <w:trPr>
          <w:trHeight w:val="306"/>
        </w:trPr>
        <w:tc>
          <w:tcPr>
            <w:tcW w:w="1712" w:type="dxa"/>
            <w:tcBorders>
              <w:top w:val="nil"/>
              <w:left w:val="nil"/>
              <w:bottom w:val="nil"/>
              <w:right w:val="nil"/>
            </w:tcBorders>
            <w:shd w:val="clear" w:color="auto" w:fill="auto"/>
            <w:noWrap/>
            <w:vAlign w:val="bottom"/>
            <w:hideMark/>
          </w:tcPr>
          <w:p w14:paraId="36481660" w14:textId="77777777" w:rsidR="001F6CE5" w:rsidRPr="006925F4" w:rsidRDefault="001F6CE5" w:rsidP="001F6CE5">
            <w:pPr>
              <w:rPr>
                <w:rFonts w:ascii="Arial" w:hAnsi="Arial" w:cs="Arial"/>
                <w:color w:val="000000"/>
                <w:sz w:val="22"/>
                <w:szCs w:val="22"/>
                <w:highlight w:val="yellow"/>
              </w:rPr>
            </w:pPr>
          </w:p>
        </w:tc>
        <w:tc>
          <w:tcPr>
            <w:tcW w:w="3384" w:type="dxa"/>
            <w:tcBorders>
              <w:top w:val="nil"/>
              <w:left w:val="nil"/>
              <w:bottom w:val="nil"/>
              <w:right w:val="nil"/>
            </w:tcBorders>
            <w:shd w:val="clear" w:color="auto" w:fill="auto"/>
            <w:noWrap/>
          </w:tcPr>
          <w:p w14:paraId="068F4462" w14:textId="77777777" w:rsidR="001F6CE5" w:rsidRPr="00357783" w:rsidRDefault="001F6CE5" w:rsidP="001F6CE5">
            <w:pPr>
              <w:rPr>
                <w:rFonts w:ascii="Arial" w:hAnsi="Arial" w:cs="Arial"/>
                <w:color w:val="000000"/>
                <w:sz w:val="22"/>
                <w:szCs w:val="22"/>
              </w:rPr>
            </w:pPr>
            <w:r w:rsidRPr="00357783">
              <w:rPr>
                <w:rFonts w:ascii="Arial" w:hAnsi="Arial" w:cs="Arial"/>
                <w:color w:val="000000"/>
                <w:sz w:val="22"/>
                <w:szCs w:val="22"/>
              </w:rPr>
              <w:t>Cllr Tony Ramsay</w:t>
            </w:r>
          </w:p>
        </w:tc>
        <w:tc>
          <w:tcPr>
            <w:tcW w:w="1141" w:type="dxa"/>
            <w:tcBorders>
              <w:top w:val="nil"/>
              <w:left w:val="nil"/>
              <w:bottom w:val="nil"/>
              <w:right w:val="nil"/>
            </w:tcBorders>
            <w:shd w:val="clear" w:color="auto" w:fill="auto"/>
            <w:noWrap/>
          </w:tcPr>
          <w:p w14:paraId="413F1F78" w14:textId="77777777" w:rsidR="001F6CE5" w:rsidRPr="00357783" w:rsidRDefault="001F6CE5" w:rsidP="001F6CE5">
            <w:pPr>
              <w:jc w:val="center"/>
              <w:rPr>
                <w:rFonts w:ascii="Arial" w:hAnsi="Arial" w:cs="Arial"/>
                <w:color w:val="000000"/>
                <w:sz w:val="22"/>
                <w:szCs w:val="22"/>
              </w:rPr>
            </w:pPr>
            <w:r w:rsidRPr="00357783">
              <w:rPr>
                <w:rFonts w:ascii="Arial" w:hAnsi="Arial" w:cs="Arial"/>
                <w:color w:val="000000"/>
                <w:sz w:val="22"/>
                <w:szCs w:val="22"/>
              </w:rPr>
              <w:t>4</w:t>
            </w:r>
          </w:p>
        </w:tc>
      </w:tr>
      <w:tr w:rsidR="001F6CE5" w:rsidRPr="001F6CE5" w14:paraId="4D4F65B3" w14:textId="77777777" w:rsidTr="001F6CE5">
        <w:trPr>
          <w:gridAfter w:val="1"/>
          <w:wAfter w:w="1141" w:type="dxa"/>
          <w:trHeight w:val="306"/>
        </w:trPr>
        <w:tc>
          <w:tcPr>
            <w:tcW w:w="5096" w:type="dxa"/>
            <w:gridSpan w:val="2"/>
            <w:tcBorders>
              <w:top w:val="nil"/>
              <w:left w:val="nil"/>
              <w:bottom w:val="nil"/>
              <w:right w:val="nil"/>
            </w:tcBorders>
            <w:shd w:val="clear" w:color="auto" w:fill="auto"/>
            <w:noWrap/>
            <w:vAlign w:val="bottom"/>
            <w:hideMark/>
          </w:tcPr>
          <w:p w14:paraId="7F21C354" w14:textId="77777777" w:rsidR="001F6CE5" w:rsidRPr="001F6CE5" w:rsidRDefault="001F6CE5" w:rsidP="001F6CE5">
            <w:pPr>
              <w:rPr>
                <w:rFonts w:ascii="Arial" w:hAnsi="Arial" w:cs="Arial"/>
                <w:b/>
                <w:bCs/>
                <w:color w:val="000000"/>
                <w:sz w:val="22"/>
                <w:szCs w:val="22"/>
              </w:rPr>
            </w:pPr>
            <w:r w:rsidRPr="001F6CE5">
              <w:rPr>
                <w:rFonts w:ascii="Arial" w:hAnsi="Arial" w:cs="Arial"/>
                <w:b/>
                <w:bCs/>
                <w:color w:val="000000"/>
                <w:sz w:val="22"/>
                <w:szCs w:val="22"/>
              </w:rPr>
              <w:t>Committee Observers</w:t>
            </w:r>
          </w:p>
        </w:tc>
      </w:tr>
      <w:tr w:rsidR="001F6CE5" w:rsidRPr="001F6CE5" w14:paraId="14349AA7" w14:textId="77777777" w:rsidTr="001F6CE5">
        <w:trPr>
          <w:gridAfter w:val="1"/>
          <w:wAfter w:w="1141" w:type="dxa"/>
          <w:trHeight w:val="306"/>
        </w:trPr>
        <w:tc>
          <w:tcPr>
            <w:tcW w:w="1712" w:type="dxa"/>
            <w:tcBorders>
              <w:top w:val="nil"/>
              <w:left w:val="nil"/>
              <w:bottom w:val="nil"/>
              <w:right w:val="nil"/>
            </w:tcBorders>
            <w:shd w:val="clear" w:color="auto" w:fill="auto"/>
            <w:noWrap/>
            <w:vAlign w:val="center"/>
            <w:hideMark/>
          </w:tcPr>
          <w:p w14:paraId="79FD6B5A" w14:textId="77777777" w:rsidR="001F6CE5" w:rsidRPr="001F6CE5" w:rsidRDefault="001F6CE5" w:rsidP="001F6CE5">
            <w:pPr>
              <w:rPr>
                <w:rFonts w:ascii="Arial" w:hAnsi="Arial" w:cs="Arial"/>
                <w:b/>
                <w:bCs/>
                <w:color w:val="000000"/>
                <w:sz w:val="22"/>
                <w:szCs w:val="22"/>
              </w:rPr>
            </w:pPr>
            <w:r w:rsidRPr="001F6CE5">
              <w:rPr>
                <w:rFonts w:ascii="Arial" w:hAnsi="Arial" w:cs="Arial"/>
                <w:b/>
                <w:bCs/>
                <w:color w:val="000000"/>
                <w:sz w:val="22"/>
                <w:szCs w:val="22"/>
              </w:rPr>
              <w:t xml:space="preserve">Union: </w:t>
            </w:r>
          </w:p>
        </w:tc>
        <w:tc>
          <w:tcPr>
            <w:tcW w:w="3384" w:type="dxa"/>
            <w:tcBorders>
              <w:top w:val="nil"/>
              <w:left w:val="nil"/>
              <w:bottom w:val="nil"/>
              <w:right w:val="nil"/>
            </w:tcBorders>
            <w:shd w:val="clear" w:color="auto" w:fill="auto"/>
            <w:noWrap/>
            <w:vAlign w:val="center"/>
            <w:hideMark/>
          </w:tcPr>
          <w:p w14:paraId="0A0C480C" w14:textId="77777777" w:rsidR="001F6CE5" w:rsidRPr="001F6CE5" w:rsidRDefault="001F6CE5" w:rsidP="001F6CE5">
            <w:pPr>
              <w:rPr>
                <w:rFonts w:ascii="Arial" w:hAnsi="Arial" w:cs="Arial"/>
                <w:color w:val="000000"/>
                <w:sz w:val="22"/>
                <w:szCs w:val="22"/>
              </w:rPr>
            </w:pPr>
            <w:r w:rsidRPr="001F6CE5">
              <w:rPr>
                <w:rFonts w:ascii="Arial" w:hAnsi="Arial" w:cs="Arial"/>
                <w:color w:val="000000"/>
                <w:sz w:val="22"/>
                <w:szCs w:val="22"/>
              </w:rPr>
              <w:t>GMB – Steve Davies</w:t>
            </w:r>
          </w:p>
        </w:tc>
      </w:tr>
      <w:tr w:rsidR="001F6CE5" w:rsidRPr="001F6CE5" w14:paraId="773E8F17" w14:textId="77777777" w:rsidTr="001F6CE5">
        <w:trPr>
          <w:gridAfter w:val="1"/>
          <w:wAfter w:w="1141" w:type="dxa"/>
          <w:trHeight w:val="306"/>
        </w:trPr>
        <w:tc>
          <w:tcPr>
            <w:tcW w:w="1712" w:type="dxa"/>
            <w:tcBorders>
              <w:top w:val="nil"/>
              <w:left w:val="nil"/>
              <w:bottom w:val="nil"/>
              <w:right w:val="nil"/>
            </w:tcBorders>
            <w:shd w:val="clear" w:color="auto" w:fill="auto"/>
            <w:noWrap/>
            <w:vAlign w:val="center"/>
            <w:hideMark/>
          </w:tcPr>
          <w:p w14:paraId="411DA52D" w14:textId="77777777" w:rsidR="001F6CE5" w:rsidRPr="001F6CE5" w:rsidRDefault="001F6CE5" w:rsidP="001F6CE5">
            <w:pPr>
              <w:rPr>
                <w:rFonts w:ascii="Arial" w:hAnsi="Arial" w:cs="Arial"/>
                <w:b/>
                <w:bCs/>
                <w:color w:val="000000"/>
                <w:sz w:val="22"/>
                <w:szCs w:val="22"/>
              </w:rPr>
            </w:pPr>
            <w:r w:rsidRPr="001F6CE5">
              <w:rPr>
                <w:rFonts w:ascii="Arial" w:hAnsi="Arial" w:cs="Arial"/>
                <w:b/>
                <w:bCs/>
                <w:color w:val="000000"/>
                <w:sz w:val="22"/>
                <w:szCs w:val="22"/>
              </w:rPr>
              <w:t xml:space="preserve">Member: </w:t>
            </w:r>
          </w:p>
        </w:tc>
        <w:tc>
          <w:tcPr>
            <w:tcW w:w="3384" w:type="dxa"/>
            <w:tcBorders>
              <w:top w:val="nil"/>
              <w:left w:val="nil"/>
              <w:bottom w:val="nil"/>
              <w:right w:val="nil"/>
            </w:tcBorders>
            <w:shd w:val="clear" w:color="auto" w:fill="auto"/>
            <w:noWrap/>
            <w:vAlign w:val="center"/>
            <w:hideMark/>
          </w:tcPr>
          <w:p w14:paraId="29568524" w14:textId="77777777" w:rsidR="001F6CE5" w:rsidRPr="001F6CE5" w:rsidRDefault="001F6CE5" w:rsidP="001F6CE5">
            <w:pPr>
              <w:rPr>
                <w:rFonts w:ascii="Arial" w:hAnsi="Arial" w:cs="Arial"/>
                <w:color w:val="000000"/>
                <w:sz w:val="22"/>
                <w:szCs w:val="22"/>
              </w:rPr>
            </w:pPr>
            <w:r w:rsidRPr="001F6CE5">
              <w:rPr>
                <w:rFonts w:ascii="Arial" w:hAnsi="Arial" w:cs="Arial"/>
                <w:color w:val="000000"/>
                <w:sz w:val="22"/>
                <w:szCs w:val="22"/>
              </w:rPr>
              <w:t>Susan Parkin</w:t>
            </w:r>
          </w:p>
        </w:tc>
      </w:tr>
      <w:tr w:rsidR="001F6CE5" w:rsidRPr="001F6CE5" w14:paraId="094210D5" w14:textId="77777777" w:rsidTr="001F6CE5">
        <w:trPr>
          <w:gridAfter w:val="1"/>
          <w:wAfter w:w="1141" w:type="dxa"/>
          <w:trHeight w:val="306"/>
        </w:trPr>
        <w:tc>
          <w:tcPr>
            <w:tcW w:w="1712" w:type="dxa"/>
            <w:tcBorders>
              <w:top w:val="nil"/>
              <w:left w:val="nil"/>
              <w:bottom w:val="nil"/>
              <w:right w:val="nil"/>
            </w:tcBorders>
            <w:shd w:val="clear" w:color="auto" w:fill="auto"/>
            <w:noWrap/>
            <w:vAlign w:val="center"/>
            <w:hideMark/>
          </w:tcPr>
          <w:p w14:paraId="36045D77" w14:textId="77777777" w:rsidR="001F6CE5" w:rsidRPr="001F6CE5" w:rsidRDefault="001F6CE5" w:rsidP="001F6CE5">
            <w:pPr>
              <w:rPr>
                <w:rFonts w:ascii="Arial" w:hAnsi="Arial" w:cs="Arial"/>
                <w:b/>
                <w:bCs/>
                <w:color w:val="000000"/>
                <w:sz w:val="22"/>
                <w:szCs w:val="22"/>
              </w:rPr>
            </w:pPr>
            <w:r w:rsidRPr="001F6CE5">
              <w:rPr>
                <w:rFonts w:ascii="Arial" w:hAnsi="Arial" w:cs="Arial"/>
                <w:b/>
                <w:bCs/>
                <w:color w:val="000000"/>
                <w:sz w:val="22"/>
                <w:szCs w:val="22"/>
              </w:rPr>
              <w:t xml:space="preserve"> Employer: </w:t>
            </w:r>
          </w:p>
        </w:tc>
        <w:tc>
          <w:tcPr>
            <w:tcW w:w="3384" w:type="dxa"/>
            <w:tcBorders>
              <w:top w:val="nil"/>
              <w:left w:val="nil"/>
              <w:bottom w:val="nil"/>
              <w:right w:val="nil"/>
            </w:tcBorders>
            <w:shd w:val="clear" w:color="auto" w:fill="auto"/>
            <w:noWrap/>
            <w:vAlign w:val="center"/>
            <w:hideMark/>
          </w:tcPr>
          <w:p w14:paraId="60827EA9" w14:textId="77777777" w:rsidR="001F6CE5" w:rsidRPr="001F6CE5" w:rsidRDefault="001F6CE5" w:rsidP="001F6CE5">
            <w:pPr>
              <w:rPr>
                <w:rFonts w:ascii="Arial" w:hAnsi="Arial" w:cs="Arial"/>
                <w:color w:val="000000"/>
                <w:sz w:val="22"/>
                <w:szCs w:val="22"/>
              </w:rPr>
            </w:pPr>
            <w:r w:rsidRPr="001F6CE5">
              <w:rPr>
                <w:rFonts w:ascii="Arial" w:hAnsi="Arial" w:cs="Arial"/>
                <w:color w:val="000000"/>
                <w:sz w:val="22"/>
                <w:szCs w:val="22"/>
              </w:rPr>
              <w:t>UEL – Dean Curtis</w:t>
            </w:r>
          </w:p>
        </w:tc>
      </w:tr>
    </w:tbl>
    <w:p w14:paraId="6D1621E9" w14:textId="77777777" w:rsidR="00A65492" w:rsidRPr="00601B12" w:rsidRDefault="00A65492" w:rsidP="00EF47C8">
      <w:pPr>
        <w:autoSpaceDE w:val="0"/>
        <w:autoSpaceDN w:val="0"/>
        <w:adjustRightInd w:val="0"/>
        <w:ind w:left="426" w:hanging="426"/>
        <w:jc w:val="both"/>
        <w:rPr>
          <w:rFonts w:ascii="Arial" w:hAnsi="Arial" w:cs="Arial"/>
          <w:color w:val="000000"/>
          <w:sz w:val="22"/>
          <w:szCs w:val="22"/>
        </w:rPr>
      </w:pPr>
    </w:p>
    <w:p w14:paraId="736B9B15" w14:textId="77777777" w:rsidR="004E000E" w:rsidRPr="00E35F96" w:rsidRDefault="004E000E">
      <w:pPr>
        <w:autoSpaceDE w:val="0"/>
        <w:autoSpaceDN w:val="0"/>
        <w:adjustRightInd w:val="0"/>
        <w:rPr>
          <w:rFonts w:ascii="Arial" w:hAnsi="Arial" w:cs="Arial"/>
          <w:b/>
          <w:bCs/>
          <w:color w:val="000000" w:themeColor="text1"/>
        </w:rPr>
      </w:pPr>
    </w:p>
    <w:p w14:paraId="7F77EA22" w14:textId="261C542B" w:rsidR="004E000E" w:rsidRDefault="004E000E" w:rsidP="004E000E">
      <w:pPr>
        <w:tabs>
          <w:tab w:val="center" w:pos="4666"/>
        </w:tabs>
      </w:pPr>
    </w:p>
    <w:p w14:paraId="1B85B853" w14:textId="77777777" w:rsidR="004E000E" w:rsidRDefault="004E000E" w:rsidP="004E000E">
      <w:pPr>
        <w:tabs>
          <w:tab w:val="center" w:pos="4666"/>
        </w:tabs>
      </w:pPr>
    </w:p>
    <w:p w14:paraId="505EEBAA" w14:textId="77777777" w:rsidR="004E000E" w:rsidRDefault="004E000E" w:rsidP="004E000E">
      <w:pPr>
        <w:tabs>
          <w:tab w:val="center" w:pos="4666"/>
        </w:tabs>
      </w:pPr>
    </w:p>
    <w:p w14:paraId="2B8CC793" w14:textId="77777777" w:rsidR="004E000E" w:rsidRDefault="004E000E" w:rsidP="004E000E">
      <w:pPr>
        <w:tabs>
          <w:tab w:val="center" w:pos="4666"/>
        </w:tabs>
      </w:pPr>
    </w:p>
    <w:p w14:paraId="6D162229" w14:textId="77777777" w:rsidR="000B63DE" w:rsidRPr="00601B12" w:rsidRDefault="000B63DE" w:rsidP="00EF47C8">
      <w:pPr>
        <w:pStyle w:val="ListParagraph"/>
        <w:autoSpaceDE w:val="0"/>
        <w:autoSpaceDN w:val="0"/>
        <w:adjustRightInd w:val="0"/>
        <w:spacing w:after="0" w:line="240" w:lineRule="auto"/>
        <w:ind w:left="426" w:hanging="426"/>
        <w:rPr>
          <w:rFonts w:ascii="Arial" w:hAnsi="Arial" w:cs="Arial"/>
          <w:b/>
          <w:bCs/>
        </w:rPr>
      </w:pPr>
    </w:p>
    <w:p w14:paraId="20D9F0BC" w14:textId="77777777" w:rsidR="004E000E" w:rsidRDefault="00EF47C8" w:rsidP="00EF47C8">
      <w:pPr>
        <w:autoSpaceDE w:val="0"/>
        <w:autoSpaceDN w:val="0"/>
        <w:adjustRightInd w:val="0"/>
        <w:ind w:left="426" w:hanging="426"/>
        <w:jc w:val="both"/>
        <w:rPr>
          <w:rFonts w:ascii="Arial" w:hAnsi="Arial" w:cs="Arial"/>
          <w:sz w:val="22"/>
          <w:szCs w:val="22"/>
        </w:rPr>
      </w:pPr>
      <w:r w:rsidRPr="00601B12">
        <w:rPr>
          <w:rFonts w:ascii="Arial" w:hAnsi="Arial" w:cs="Arial"/>
          <w:sz w:val="22"/>
          <w:szCs w:val="22"/>
        </w:rPr>
        <w:tab/>
      </w:r>
    </w:p>
    <w:p w14:paraId="4C1D2895" w14:textId="77777777" w:rsidR="004E000E" w:rsidRDefault="004E000E" w:rsidP="00EF47C8">
      <w:pPr>
        <w:autoSpaceDE w:val="0"/>
        <w:autoSpaceDN w:val="0"/>
        <w:adjustRightInd w:val="0"/>
        <w:ind w:left="426" w:hanging="426"/>
        <w:jc w:val="both"/>
        <w:rPr>
          <w:rFonts w:ascii="Arial" w:hAnsi="Arial" w:cs="Arial"/>
          <w:sz w:val="22"/>
          <w:szCs w:val="22"/>
        </w:rPr>
      </w:pPr>
    </w:p>
    <w:p w14:paraId="52F6A70A" w14:textId="77777777" w:rsidR="004E000E" w:rsidRDefault="004E000E" w:rsidP="00EF47C8">
      <w:pPr>
        <w:autoSpaceDE w:val="0"/>
        <w:autoSpaceDN w:val="0"/>
        <w:adjustRightInd w:val="0"/>
        <w:ind w:left="426" w:hanging="426"/>
        <w:jc w:val="both"/>
        <w:rPr>
          <w:rFonts w:ascii="Arial" w:hAnsi="Arial" w:cs="Arial"/>
          <w:sz w:val="22"/>
          <w:szCs w:val="22"/>
        </w:rPr>
      </w:pPr>
    </w:p>
    <w:p w14:paraId="66292B82" w14:textId="77777777" w:rsidR="004E000E" w:rsidRDefault="004E000E" w:rsidP="00EF47C8">
      <w:pPr>
        <w:autoSpaceDE w:val="0"/>
        <w:autoSpaceDN w:val="0"/>
        <w:adjustRightInd w:val="0"/>
        <w:ind w:left="426" w:hanging="426"/>
        <w:jc w:val="both"/>
        <w:rPr>
          <w:rFonts w:ascii="Arial" w:hAnsi="Arial" w:cs="Arial"/>
          <w:sz w:val="22"/>
          <w:szCs w:val="22"/>
        </w:rPr>
      </w:pPr>
    </w:p>
    <w:p w14:paraId="73B473E1" w14:textId="77777777" w:rsidR="004E000E" w:rsidRDefault="004E000E" w:rsidP="00EF47C8">
      <w:pPr>
        <w:autoSpaceDE w:val="0"/>
        <w:autoSpaceDN w:val="0"/>
        <w:adjustRightInd w:val="0"/>
        <w:ind w:left="426" w:hanging="426"/>
        <w:jc w:val="both"/>
        <w:rPr>
          <w:rFonts w:ascii="Arial" w:hAnsi="Arial" w:cs="Arial"/>
          <w:sz w:val="22"/>
          <w:szCs w:val="22"/>
        </w:rPr>
      </w:pPr>
    </w:p>
    <w:p w14:paraId="45621DE8" w14:textId="77777777" w:rsidR="004E000E" w:rsidRDefault="004E000E" w:rsidP="00EF47C8">
      <w:pPr>
        <w:autoSpaceDE w:val="0"/>
        <w:autoSpaceDN w:val="0"/>
        <w:adjustRightInd w:val="0"/>
        <w:ind w:left="426" w:hanging="426"/>
        <w:jc w:val="both"/>
        <w:rPr>
          <w:rFonts w:ascii="Arial" w:hAnsi="Arial" w:cs="Arial"/>
          <w:sz w:val="22"/>
          <w:szCs w:val="22"/>
        </w:rPr>
      </w:pPr>
    </w:p>
    <w:p w14:paraId="18B3E867" w14:textId="77777777" w:rsidR="004E000E" w:rsidRDefault="004E000E" w:rsidP="00EF47C8">
      <w:pPr>
        <w:autoSpaceDE w:val="0"/>
        <w:autoSpaceDN w:val="0"/>
        <w:adjustRightInd w:val="0"/>
        <w:ind w:left="426" w:hanging="426"/>
        <w:jc w:val="both"/>
        <w:rPr>
          <w:rFonts w:ascii="Arial" w:hAnsi="Arial" w:cs="Arial"/>
          <w:sz w:val="22"/>
          <w:szCs w:val="22"/>
        </w:rPr>
      </w:pPr>
    </w:p>
    <w:p w14:paraId="128697B0" w14:textId="77777777" w:rsidR="004E000E" w:rsidRDefault="004E000E" w:rsidP="00E35F96">
      <w:pPr>
        <w:autoSpaceDE w:val="0"/>
        <w:autoSpaceDN w:val="0"/>
        <w:adjustRightInd w:val="0"/>
        <w:jc w:val="both"/>
        <w:rPr>
          <w:rFonts w:ascii="Arial" w:hAnsi="Arial" w:cs="Arial"/>
          <w:sz w:val="22"/>
          <w:szCs w:val="22"/>
        </w:rPr>
      </w:pPr>
    </w:p>
    <w:p w14:paraId="4BFD5A78" w14:textId="77777777" w:rsidR="00453EA8" w:rsidRPr="0076066D" w:rsidRDefault="00453EA8" w:rsidP="0076066D">
      <w:pPr>
        <w:pStyle w:val="ListParagraph"/>
        <w:autoSpaceDE w:val="0"/>
        <w:autoSpaceDN w:val="0"/>
        <w:adjustRightInd w:val="0"/>
        <w:spacing w:after="0" w:line="240" w:lineRule="auto"/>
        <w:ind w:left="851"/>
        <w:jc w:val="both"/>
        <w:rPr>
          <w:rFonts w:ascii="Arial" w:hAnsi="Arial" w:cs="Arial"/>
          <w:b/>
          <w:bCs/>
          <w:color w:val="000000" w:themeColor="text1"/>
        </w:rPr>
      </w:pPr>
    </w:p>
    <w:p w14:paraId="6E7FBEA6" w14:textId="1F34E9E3" w:rsidR="004E000E" w:rsidRPr="00E35F96" w:rsidRDefault="004E000E" w:rsidP="007337FE">
      <w:pPr>
        <w:pStyle w:val="ListParagraph"/>
        <w:numPr>
          <w:ilvl w:val="0"/>
          <w:numId w:val="49"/>
        </w:numPr>
        <w:autoSpaceDE w:val="0"/>
        <w:autoSpaceDN w:val="0"/>
        <w:adjustRightInd w:val="0"/>
        <w:spacing w:after="0" w:line="240" w:lineRule="auto"/>
        <w:ind w:left="851" w:hanging="142"/>
        <w:jc w:val="both"/>
        <w:rPr>
          <w:rFonts w:ascii="Arial" w:hAnsi="Arial" w:cs="Arial"/>
          <w:b/>
          <w:bCs/>
          <w:color w:val="000000" w:themeColor="text1"/>
        </w:rPr>
      </w:pPr>
      <w:r w:rsidRPr="00E35F96">
        <w:rPr>
          <w:rFonts w:ascii="Arial" w:hAnsi="Arial" w:cs="Arial"/>
          <w:b/>
          <w:bCs/>
          <w:color w:val="000000" w:themeColor="text1"/>
        </w:rPr>
        <w:t>Conflicts of Interest</w:t>
      </w:r>
    </w:p>
    <w:p w14:paraId="303C3620" w14:textId="77777777" w:rsidR="004E000E" w:rsidRDefault="004E000E" w:rsidP="00EF47C8">
      <w:pPr>
        <w:autoSpaceDE w:val="0"/>
        <w:autoSpaceDN w:val="0"/>
        <w:adjustRightInd w:val="0"/>
        <w:ind w:left="426" w:hanging="426"/>
        <w:jc w:val="both"/>
        <w:rPr>
          <w:rFonts w:ascii="Arial" w:hAnsi="Arial" w:cs="Arial"/>
          <w:sz w:val="22"/>
          <w:szCs w:val="22"/>
        </w:rPr>
      </w:pPr>
    </w:p>
    <w:p w14:paraId="6D16222A" w14:textId="10F527D2" w:rsidR="00C41C82" w:rsidRPr="00601B12" w:rsidRDefault="00C41C82" w:rsidP="00E35F96">
      <w:pPr>
        <w:autoSpaceDE w:val="0"/>
        <w:autoSpaceDN w:val="0"/>
        <w:adjustRightInd w:val="0"/>
        <w:ind w:firstLine="425"/>
        <w:jc w:val="both"/>
        <w:rPr>
          <w:rFonts w:ascii="Arial" w:hAnsi="Arial" w:cs="Arial"/>
          <w:sz w:val="22"/>
          <w:szCs w:val="22"/>
        </w:rPr>
      </w:pPr>
      <w:r w:rsidRPr="00601B12">
        <w:rPr>
          <w:rFonts w:ascii="Arial" w:hAnsi="Arial" w:cs="Arial"/>
          <w:sz w:val="22"/>
          <w:szCs w:val="22"/>
        </w:rPr>
        <w:t>Conflicts of interest are managed as follows:</w:t>
      </w:r>
    </w:p>
    <w:p w14:paraId="6D16222B" w14:textId="77777777" w:rsidR="00C41C82" w:rsidRPr="00601B12" w:rsidRDefault="00C41C82" w:rsidP="00EF47C8">
      <w:pPr>
        <w:autoSpaceDE w:val="0"/>
        <w:autoSpaceDN w:val="0"/>
        <w:adjustRightInd w:val="0"/>
        <w:ind w:left="426" w:hanging="426"/>
        <w:jc w:val="both"/>
        <w:rPr>
          <w:rFonts w:ascii="Arial" w:hAnsi="Arial" w:cs="Arial"/>
          <w:sz w:val="22"/>
          <w:szCs w:val="22"/>
        </w:rPr>
      </w:pPr>
    </w:p>
    <w:p w14:paraId="6D16222D" w14:textId="4454F3ED" w:rsidR="00947D07" w:rsidRPr="00E35F96" w:rsidRDefault="00C41C82" w:rsidP="007337FE">
      <w:pPr>
        <w:pStyle w:val="ListParagraph"/>
        <w:numPr>
          <w:ilvl w:val="0"/>
          <w:numId w:val="42"/>
        </w:numPr>
        <w:autoSpaceDE w:val="0"/>
        <w:autoSpaceDN w:val="0"/>
        <w:adjustRightInd w:val="0"/>
        <w:spacing w:after="0" w:line="240" w:lineRule="auto"/>
        <w:ind w:left="851" w:hanging="426"/>
        <w:jc w:val="both"/>
        <w:rPr>
          <w:rFonts w:ascii="Arial" w:hAnsi="Arial" w:cs="Arial"/>
          <w:sz w:val="16"/>
          <w:szCs w:val="16"/>
        </w:rPr>
      </w:pPr>
      <w:r w:rsidRPr="00601B12">
        <w:rPr>
          <w:rFonts w:ascii="Arial" w:hAnsi="Arial" w:cs="Arial"/>
        </w:rPr>
        <w:t xml:space="preserve">When new Members join the </w:t>
      </w:r>
      <w:r w:rsidR="00707B1E" w:rsidRPr="00601B12">
        <w:rPr>
          <w:rFonts w:ascii="Arial" w:hAnsi="Arial" w:cs="Arial"/>
        </w:rPr>
        <w:t>Committee,</w:t>
      </w:r>
      <w:r w:rsidRPr="00601B12">
        <w:rPr>
          <w:rFonts w:ascii="Arial" w:hAnsi="Arial" w:cs="Arial"/>
        </w:rPr>
        <w:t xml:space="preserve"> they are given training on their duties. It is emphasised that Members are required to act in the interests of the Fund members and should put aside personal interests and considerations.</w:t>
      </w:r>
    </w:p>
    <w:p w14:paraId="29C23BC6" w14:textId="0A1E9B0D" w:rsidR="00227E88" w:rsidRPr="00E35F96" w:rsidRDefault="00C41C82" w:rsidP="007337FE">
      <w:pPr>
        <w:pStyle w:val="ListParagraph"/>
        <w:numPr>
          <w:ilvl w:val="0"/>
          <w:numId w:val="42"/>
        </w:numPr>
        <w:autoSpaceDE w:val="0"/>
        <w:autoSpaceDN w:val="0"/>
        <w:adjustRightInd w:val="0"/>
        <w:spacing w:after="0" w:line="240" w:lineRule="auto"/>
        <w:ind w:left="851" w:hanging="426"/>
        <w:jc w:val="both"/>
        <w:rPr>
          <w:rFonts w:ascii="Arial" w:hAnsi="Arial" w:cs="Arial"/>
          <w:color w:val="000000"/>
        </w:rPr>
      </w:pPr>
      <w:r w:rsidRPr="00601B12">
        <w:rPr>
          <w:rFonts w:ascii="Arial" w:hAnsi="Arial" w:cs="Arial"/>
        </w:rPr>
        <w:t xml:space="preserve">An adviser is available to the </w:t>
      </w:r>
      <w:r w:rsidR="00D576F8" w:rsidRPr="00601B12">
        <w:rPr>
          <w:rFonts w:ascii="Arial" w:hAnsi="Arial" w:cs="Arial"/>
        </w:rPr>
        <w:t>Committee</w:t>
      </w:r>
      <w:r w:rsidRPr="00601B12">
        <w:rPr>
          <w:rFonts w:ascii="Arial" w:hAnsi="Arial" w:cs="Arial"/>
        </w:rPr>
        <w:t xml:space="preserve"> to provide strategy advice. The actuary advises on the Fund’s solvency and employer contribution rates, with officers available to give independent advice. Employee groups are represented on the </w:t>
      </w:r>
      <w:r w:rsidR="00D576F8" w:rsidRPr="00601B12">
        <w:rPr>
          <w:rFonts w:ascii="Arial" w:hAnsi="Arial" w:cs="Arial"/>
        </w:rPr>
        <w:t>Committee</w:t>
      </w:r>
      <w:r w:rsidRPr="00601B12">
        <w:rPr>
          <w:rFonts w:ascii="Arial" w:hAnsi="Arial" w:cs="Arial"/>
        </w:rPr>
        <w:t xml:space="preserve">, with quarterly Pensions </w:t>
      </w:r>
      <w:r w:rsidR="00D576F8" w:rsidRPr="00601B12">
        <w:rPr>
          <w:rFonts w:ascii="Arial" w:hAnsi="Arial" w:cs="Arial"/>
        </w:rPr>
        <w:t>Committee</w:t>
      </w:r>
      <w:r w:rsidRPr="00601B12">
        <w:rPr>
          <w:rFonts w:ascii="Arial" w:hAnsi="Arial" w:cs="Arial"/>
        </w:rPr>
        <w:t xml:space="preserve"> meetings open to the public and minutes and reports published.</w:t>
      </w:r>
    </w:p>
    <w:p w14:paraId="479370EF" w14:textId="2C8054D0" w:rsidR="0006229E" w:rsidRPr="0076066D" w:rsidRDefault="009F6163" w:rsidP="007337FE">
      <w:pPr>
        <w:pStyle w:val="ListParagraph"/>
        <w:numPr>
          <w:ilvl w:val="0"/>
          <w:numId w:val="42"/>
        </w:numPr>
        <w:autoSpaceDE w:val="0"/>
        <w:autoSpaceDN w:val="0"/>
        <w:adjustRightInd w:val="0"/>
        <w:spacing w:after="0" w:line="240" w:lineRule="auto"/>
        <w:ind w:left="851" w:hanging="426"/>
        <w:jc w:val="both"/>
        <w:rPr>
          <w:rFonts w:ascii="Arial" w:hAnsi="Arial" w:cs="Arial"/>
        </w:rPr>
      </w:pPr>
      <w:r w:rsidRPr="00E35F96">
        <w:rPr>
          <w:rFonts w:ascii="Arial" w:hAnsi="Arial" w:cs="Arial"/>
        </w:rPr>
        <w:t>Members’ personal or financial interest in items under discussion must be declared at the beginning of each Committee meeting.</w:t>
      </w:r>
    </w:p>
    <w:p w14:paraId="6D162231" w14:textId="77777777" w:rsidR="00C41C82" w:rsidRPr="00601B12" w:rsidRDefault="00C41C82" w:rsidP="00EF47C8">
      <w:pPr>
        <w:autoSpaceDE w:val="0"/>
        <w:autoSpaceDN w:val="0"/>
        <w:adjustRightInd w:val="0"/>
        <w:ind w:left="426" w:hanging="426"/>
        <w:jc w:val="both"/>
        <w:rPr>
          <w:rFonts w:ascii="Arial" w:hAnsi="Arial" w:cs="Arial"/>
          <w:b/>
          <w:bCs/>
          <w:color w:val="0070C0"/>
          <w:sz w:val="22"/>
          <w:szCs w:val="22"/>
        </w:rPr>
      </w:pPr>
      <w:r w:rsidRPr="00601B12">
        <w:rPr>
          <w:rFonts w:ascii="Arial" w:hAnsi="Arial" w:cs="Arial"/>
          <w:b/>
          <w:bCs/>
          <w:color w:val="0070C0"/>
          <w:sz w:val="22"/>
          <w:szCs w:val="22"/>
        </w:rPr>
        <w:t>2.</w:t>
      </w:r>
      <w:r w:rsidR="007C5427" w:rsidRPr="00601B12">
        <w:rPr>
          <w:rFonts w:ascii="Arial" w:hAnsi="Arial" w:cs="Arial"/>
          <w:b/>
          <w:bCs/>
          <w:color w:val="0070C0"/>
          <w:sz w:val="22"/>
          <w:szCs w:val="22"/>
        </w:rPr>
        <w:t>3</w:t>
      </w:r>
      <w:r w:rsidRPr="00601B12">
        <w:rPr>
          <w:rFonts w:ascii="Arial" w:hAnsi="Arial" w:cs="Arial"/>
          <w:b/>
          <w:bCs/>
          <w:color w:val="0070C0"/>
          <w:sz w:val="22"/>
          <w:szCs w:val="22"/>
        </w:rPr>
        <w:tab/>
      </w:r>
      <w:r w:rsidR="000B63DE" w:rsidRPr="00601B12">
        <w:rPr>
          <w:rFonts w:ascii="Arial" w:hAnsi="Arial" w:cs="Arial"/>
          <w:b/>
          <w:bCs/>
          <w:color w:val="0070C0"/>
          <w:sz w:val="22"/>
          <w:szCs w:val="22"/>
        </w:rPr>
        <w:t>Scheme Governance Policy Statement</w:t>
      </w:r>
    </w:p>
    <w:p w14:paraId="6D162232" w14:textId="77777777" w:rsidR="00C41C82" w:rsidRPr="00601B12" w:rsidRDefault="00C41C82" w:rsidP="00EF47C8">
      <w:pPr>
        <w:autoSpaceDE w:val="0"/>
        <w:autoSpaceDN w:val="0"/>
        <w:adjustRightInd w:val="0"/>
        <w:ind w:left="426" w:hanging="426"/>
        <w:jc w:val="both"/>
        <w:rPr>
          <w:rFonts w:ascii="Arial" w:hAnsi="Arial" w:cs="Arial"/>
          <w:b/>
          <w:bCs/>
          <w:color w:val="000000"/>
          <w:sz w:val="22"/>
          <w:szCs w:val="22"/>
        </w:rPr>
      </w:pPr>
    </w:p>
    <w:p w14:paraId="6D162233" w14:textId="532EEDEE" w:rsidR="00C41C82" w:rsidRPr="00601B12" w:rsidRDefault="00EF47C8"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It is important that appropriate governance arrangements are put in place representing the needs of all stakeholders in the Scheme.</w:t>
      </w:r>
      <w:r w:rsidR="000B63DE" w:rsidRPr="00601B12">
        <w:rPr>
          <w:rFonts w:ascii="Arial" w:hAnsi="Arial" w:cs="Arial"/>
          <w:b/>
          <w:bCs/>
          <w:color w:val="000000"/>
          <w:sz w:val="22"/>
          <w:szCs w:val="22"/>
        </w:rPr>
        <w:t xml:space="preserve"> </w:t>
      </w:r>
      <w:r w:rsidR="00C41C82" w:rsidRPr="00601B12">
        <w:rPr>
          <w:rFonts w:ascii="Arial" w:hAnsi="Arial" w:cs="Arial"/>
          <w:color w:val="000000"/>
          <w:sz w:val="22"/>
          <w:szCs w:val="22"/>
        </w:rPr>
        <w:t xml:space="preserve">In accordance with </w:t>
      </w:r>
      <w:r w:rsidR="001E6353" w:rsidRPr="00601B12">
        <w:rPr>
          <w:rFonts w:ascii="Arial" w:hAnsi="Arial" w:cs="Arial"/>
          <w:color w:val="000000"/>
          <w:sz w:val="22"/>
          <w:szCs w:val="22"/>
        </w:rPr>
        <w:t>LGPS</w:t>
      </w:r>
      <w:r w:rsidR="00C41C82" w:rsidRPr="00601B12">
        <w:rPr>
          <w:rFonts w:ascii="Arial" w:hAnsi="Arial" w:cs="Arial"/>
          <w:color w:val="000000"/>
          <w:sz w:val="22"/>
          <w:szCs w:val="22"/>
        </w:rPr>
        <w:t xml:space="preserve"> Regulations 2007, </w:t>
      </w:r>
      <w:r w:rsidR="001E6353" w:rsidRPr="00601B12">
        <w:rPr>
          <w:rFonts w:ascii="Arial" w:hAnsi="Arial" w:cs="Arial"/>
          <w:color w:val="000000"/>
          <w:sz w:val="22"/>
          <w:szCs w:val="22"/>
        </w:rPr>
        <w:t>the scheme</w:t>
      </w:r>
      <w:r w:rsidR="00C41C82" w:rsidRPr="00601B12">
        <w:rPr>
          <w:rFonts w:ascii="Arial" w:hAnsi="Arial" w:cs="Arial"/>
          <w:color w:val="000000"/>
          <w:sz w:val="22"/>
          <w:szCs w:val="22"/>
        </w:rPr>
        <w:t xml:space="preserve"> administering authorities are now required to prepare a Governance Compliance Statement. This statement should set out how administering authorities comply with the best practice guidance as issued by the Secretary of State for Communities and Local Government and </w:t>
      </w:r>
      <w:proofErr w:type="spellStart"/>
      <w:r w:rsidR="00C41C82" w:rsidRPr="00601B12">
        <w:rPr>
          <w:rFonts w:ascii="Arial" w:hAnsi="Arial" w:cs="Arial"/>
          <w:color w:val="000000"/>
          <w:sz w:val="22"/>
          <w:szCs w:val="22"/>
        </w:rPr>
        <w:t>Myners</w:t>
      </w:r>
      <w:proofErr w:type="spellEnd"/>
      <w:r w:rsidR="00C41C82" w:rsidRPr="00601B12">
        <w:rPr>
          <w:rFonts w:ascii="Arial" w:hAnsi="Arial" w:cs="Arial"/>
          <w:color w:val="000000"/>
          <w:sz w:val="22"/>
          <w:szCs w:val="22"/>
        </w:rPr>
        <w:t xml:space="preserve"> Principles 2001 as Amended 2008. </w:t>
      </w:r>
      <w:r w:rsidR="000B63DE" w:rsidRPr="00601B12">
        <w:rPr>
          <w:rFonts w:ascii="Arial" w:hAnsi="Arial" w:cs="Arial"/>
          <w:color w:val="000000"/>
          <w:sz w:val="22"/>
          <w:szCs w:val="22"/>
        </w:rPr>
        <w:t xml:space="preserve">The scheme’s governance compliance statement is included as appendix </w:t>
      </w:r>
      <w:r w:rsidR="00AA0F6B">
        <w:rPr>
          <w:rFonts w:ascii="Arial" w:hAnsi="Arial" w:cs="Arial"/>
          <w:color w:val="000000"/>
          <w:sz w:val="22"/>
          <w:szCs w:val="22"/>
        </w:rPr>
        <w:t>2</w:t>
      </w:r>
      <w:r w:rsidR="000B63DE" w:rsidRPr="00601B12">
        <w:rPr>
          <w:rFonts w:ascii="Arial" w:hAnsi="Arial" w:cs="Arial"/>
          <w:color w:val="000000"/>
          <w:sz w:val="22"/>
          <w:szCs w:val="22"/>
        </w:rPr>
        <w:t xml:space="preserve"> of this report.</w:t>
      </w:r>
    </w:p>
    <w:p w14:paraId="6D162234" w14:textId="77777777" w:rsidR="00C41C82" w:rsidRPr="00601B12" w:rsidRDefault="00C41C82" w:rsidP="00EF47C8">
      <w:pPr>
        <w:autoSpaceDE w:val="0"/>
        <w:autoSpaceDN w:val="0"/>
        <w:adjustRightInd w:val="0"/>
        <w:ind w:left="426" w:hanging="426"/>
        <w:jc w:val="both"/>
        <w:rPr>
          <w:rFonts w:ascii="Arial" w:hAnsi="Arial" w:cs="Arial"/>
          <w:color w:val="000000"/>
          <w:sz w:val="22"/>
          <w:szCs w:val="22"/>
        </w:rPr>
      </w:pPr>
    </w:p>
    <w:p w14:paraId="6D162235" w14:textId="77777777" w:rsidR="00C41C82" w:rsidRPr="00601B12" w:rsidRDefault="00C41C82" w:rsidP="00EF47C8">
      <w:pPr>
        <w:autoSpaceDE w:val="0"/>
        <w:autoSpaceDN w:val="0"/>
        <w:adjustRightInd w:val="0"/>
        <w:ind w:left="426" w:hanging="426"/>
        <w:rPr>
          <w:rFonts w:ascii="Arial" w:hAnsi="Arial" w:cs="Arial"/>
          <w:b/>
          <w:bCs/>
          <w:color w:val="0070C0"/>
          <w:sz w:val="22"/>
          <w:szCs w:val="22"/>
        </w:rPr>
      </w:pPr>
      <w:r w:rsidRPr="00601B12">
        <w:rPr>
          <w:rFonts w:ascii="Arial" w:hAnsi="Arial" w:cs="Arial"/>
          <w:b/>
          <w:bCs/>
          <w:color w:val="0070C0"/>
          <w:sz w:val="22"/>
          <w:szCs w:val="22"/>
        </w:rPr>
        <w:t>2.</w:t>
      </w:r>
      <w:r w:rsidR="007C5427" w:rsidRPr="00601B12">
        <w:rPr>
          <w:rFonts w:ascii="Arial" w:hAnsi="Arial" w:cs="Arial"/>
          <w:b/>
          <w:bCs/>
          <w:color w:val="0070C0"/>
          <w:sz w:val="22"/>
          <w:szCs w:val="22"/>
        </w:rPr>
        <w:t>4</w:t>
      </w:r>
      <w:r w:rsidRPr="00601B12">
        <w:rPr>
          <w:rFonts w:ascii="Arial" w:hAnsi="Arial" w:cs="Arial"/>
          <w:b/>
          <w:bCs/>
          <w:color w:val="0070C0"/>
          <w:sz w:val="22"/>
          <w:szCs w:val="22"/>
        </w:rPr>
        <w:tab/>
        <w:t>Fund Fraud / National Fraud Initiative</w:t>
      </w:r>
    </w:p>
    <w:p w14:paraId="6D162236" w14:textId="77777777" w:rsidR="00C41C82" w:rsidRPr="00601B12" w:rsidRDefault="00C41C82" w:rsidP="00EF47C8">
      <w:pPr>
        <w:autoSpaceDE w:val="0"/>
        <w:autoSpaceDN w:val="0"/>
        <w:adjustRightInd w:val="0"/>
        <w:ind w:left="426" w:hanging="426"/>
        <w:jc w:val="both"/>
        <w:rPr>
          <w:rFonts w:ascii="Arial" w:hAnsi="Arial" w:cs="Arial"/>
          <w:color w:val="000000"/>
          <w:sz w:val="22"/>
          <w:szCs w:val="22"/>
        </w:rPr>
      </w:pPr>
    </w:p>
    <w:p w14:paraId="6D162237" w14:textId="77777777" w:rsidR="00C41C82" w:rsidRPr="00601B12" w:rsidRDefault="00EF47C8"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Since 1996 the Audit Commission has run the National Fraud Initiative (NFI), an exercise that matches electronic data within </w:t>
      </w:r>
      <w:r w:rsidR="00A65492" w:rsidRPr="00601B12">
        <w:rPr>
          <w:rFonts w:ascii="Arial" w:hAnsi="Arial" w:cs="Arial"/>
          <w:color w:val="000000"/>
          <w:sz w:val="22"/>
          <w:szCs w:val="22"/>
        </w:rPr>
        <w:t>/</w:t>
      </w:r>
      <w:r w:rsidR="00C41C82" w:rsidRPr="00601B12">
        <w:rPr>
          <w:rFonts w:ascii="Arial" w:hAnsi="Arial" w:cs="Arial"/>
          <w:color w:val="000000"/>
          <w:sz w:val="22"/>
          <w:szCs w:val="22"/>
        </w:rPr>
        <w:t xml:space="preserve"> between audited bodies to prevent and detect fraud.</w:t>
      </w:r>
    </w:p>
    <w:p w14:paraId="6D162238" w14:textId="77777777" w:rsidR="00C41C82" w:rsidRPr="00601B12" w:rsidRDefault="00C41C82" w:rsidP="00EF47C8">
      <w:pPr>
        <w:autoSpaceDE w:val="0"/>
        <w:autoSpaceDN w:val="0"/>
        <w:adjustRightInd w:val="0"/>
        <w:ind w:left="426" w:hanging="426"/>
        <w:jc w:val="both"/>
        <w:rPr>
          <w:rFonts w:ascii="Arial" w:hAnsi="Arial" w:cs="Arial"/>
          <w:color w:val="000000"/>
          <w:sz w:val="22"/>
          <w:szCs w:val="22"/>
        </w:rPr>
      </w:pPr>
    </w:p>
    <w:p w14:paraId="6D162239" w14:textId="77777777" w:rsidR="00C41C82" w:rsidRPr="00601B12" w:rsidRDefault="00EF47C8"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Audit Commission is an independent body responsible for ensuring that public money is spent economically, </w:t>
      </w:r>
      <w:proofErr w:type="gramStart"/>
      <w:r w:rsidR="00C41C82" w:rsidRPr="00601B12">
        <w:rPr>
          <w:rFonts w:ascii="Arial" w:hAnsi="Arial" w:cs="Arial"/>
          <w:color w:val="000000"/>
          <w:sz w:val="22"/>
          <w:szCs w:val="22"/>
        </w:rPr>
        <w:t>efficiently</w:t>
      </w:r>
      <w:proofErr w:type="gramEnd"/>
      <w:r w:rsidR="00C41C82" w:rsidRPr="00601B12">
        <w:rPr>
          <w:rFonts w:ascii="Arial" w:hAnsi="Arial" w:cs="Arial"/>
          <w:color w:val="000000"/>
          <w:sz w:val="22"/>
          <w:szCs w:val="22"/>
        </w:rPr>
        <w:t xml:space="preserve"> and effectively. The use of data for NFI purposes is controlled to ensure compliance with data protection and human rights legislation. In 2006 the Audit Commission published a Code of Data Matching Practise, which, for the 2008/09 NFI exercise, has been updated to take account of new legislation </w:t>
      </w:r>
      <w:proofErr w:type="gramStart"/>
      <w:r w:rsidR="00C41C82" w:rsidRPr="00601B12">
        <w:rPr>
          <w:rFonts w:ascii="Arial" w:hAnsi="Arial" w:cs="Arial"/>
          <w:color w:val="000000"/>
          <w:sz w:val="22"/>
          <w:szCs w:val="22"/>
        </w:rPr>
        <w:t>as a result of</w:t>
      </w:r>
      <w:proofErr w:type="gramEnd"/>
      <w:r w:rsidR="00C41C82" w:rsidRPr="00601B12">
        <w:rPr>
          <w:rFonts w:ascii="Arial" w:hAnsi="Arial" w:cs="Arial"/>
          <w:color w:val="000000"/>
          <w:sz w:val="22"/>
          <w:szCs w:val="22"/>
        </w:rPr>
        <w:t xml:space="preserve"> the Serious Crime Act 2007.</w:t>
      </w:r>
      <w:r w:rsidR="00A65492" w:rsidRPr="00601B12">
        <w:rPr>
          <w:rFonts w:ascii="Arial" w:hAnsi="Arial" w:cs="Arial"/>
          <w:color w:val="000000"/>
          <w:sz w:val="22"/>
          <w:szCs w:val="22"/>
        </w:rPr>
        <w:t xml:space="preserve"> </w:t>
      </w:r>
    </w:p>
    <w:p w14:paraId="6D16223A" w14:textId="77777777" w:rsidR="00A65492" w:rsidRPr="00601B12" w:rsidRDefault="00A65492" w:rsidP="00EF47C8">
      <w:pPr>
        <w:autoSpaceDE w:val="0"/>
        <w:autoSpaceDN w:val="0"/>
        <w:adjustRightInd w:val="0"/>
        <w:ind w:left="426" w:hanging="426"/>
        <w:jc w:val="both"/>
        <w:rPr>
          <w:rFonts w:ascii="Arial" w:hAnsi="Arial" w:cs="Arial"/>
          <w:color w:val="000000"/>
          <w:sz w:val="22"/>
          <w:szCs w:val="22"/>
        </w:rPr>
      </w:pPr>
    </w:p>
    <w:p w14:paraId="6D16223B" w14:textId="77777777" w:rsidR="00C41C82" w:rsidRPr="00601B12" w:rsidRDefault="00EF47C8"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The NFI currently matches all public sector pension scheme data to the Department for Work and Pensions (DWP) database of deceased persons. This acts as an automated life certification process for the Fund.</w:t>
      </w:r>
    </w:p>
    <w:p w14:paraId="6D16223C" w14:textId="77777777" w:rsidR="00C41C82" w:rsidRPr="00601B12" w:rsidRDefault="00C41C82" w:rsidP="00EF47C8">
      <w:pPr>
        <w:autoSpaceDE w:val="0"/>
        <w:autoSpaceDN w:val="0"/>
        <w:adjustRightInd w:val="0"/>
        <w:ind w:left="426" w:hanging="426"/>
        <w:jc w:val="both"/>
        <w:rPr>
          <w:rFonts w:ascii="Arial" w:hAnsi="Arial" w:cs="Arial"/>
          <w:color w:val="000000"/>
          <w:sz w:val="22"/>
          <w:szCs w:val="22"/>
        </w:rPr>
      </w:pPr>
    </w:p>
    <w:p w14:paraId="6D16223D" w14:textId="77777777" w:rsidR="001E6353" w:rsidRPr="00601B12" w:rsidRDefault="00EF47C8"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Council is committed to the NFI process and undertook the data matching exercise in </w:t>
      </w:r>
      <w:r w:rsidR="007C5427" w:rsidRPr="00601B12">
        <w:rPr>
          <w:rFonts w:ascii="Arial" w:hAnsi="Arial" w:cs="Arial"/>
          <w:color w:val="000000"/>
          <w:sz w:val="22"/>
          <w:szCs w:val="22"/>
        </w:rPr>
        <w:t xml:space="preserve">early </w:t>
      </w:r>
      <w:r w:rsidR="00C41C82" w:rsidRPr="00601B12">
        <w:rPr>
          <w:rFonts w:ascii="Arial" w:hAnsi="Arial" w:cs="Arial"/>
          <w:color w:val="000000"/>
          <w:sz w:val="22"/>
          <w:szCs w:val="22"/>
        </w:rPr>
        <w:t>201</w:t>
      </w:r>
      <w:r w:rsidR="007C5427" w:rsidRPr="00601B12">
        <w:rPr>
          <w:rFonts w:ascii="Arial" w:hAnsi="Arial" w:cs="Arial"/>
          <w:color w:val="000000"/>
          <w:sz w:val="22"/>
          <w:szCs w:val="22"/>
        </w:rPr>
        <w:t xml:space="preserve">3. </w:t>
      </w:r>
      <w:r w:rsidR="00C41C82" w:rsidRPr="00601B12">
        <w:rPr>
          <w:rFonts w:ascii="Arial" w:hAnsi="Arial" w:cs="Arial"/>
          <w:color w:val="000000"/>
          <w:sz w:val="22"/>
          <w:szCs w:val="22"/>
        </w:rPr>
        <w:t>Any cases where fraud is suspected will be pursued and where necessary, legal action taken.</w:t>
      </w:r>
      <w:r w:rsidR="001E6353" w:rsidRPr="00601B12">
        <w:rPr>
          <w:rFonts w:ascii="Arial" w:hAnsi="Arial" w:cs="Arial"/>
          <w:color w:val="000000"/>
          <w:sz w:val="22"/>
          <w:szCs w:val="22"/>
        </w:rPr>
        <w:t xml:space="preserve"> In </w:t>
      </w:r>
      <w:r w:rsidR="002E5194" w:rsidRPr="00601B12">
        <w:rPr>
          <w:rFonts w:ascii="Arial" w:hAnsi="Arial" w:cs="Arial"/>
          <w:color w:val="000000"/>
          <w:sz w:val="22"/>
          <w:szCs w:val="22"/>
        </w:rPr>
        <w:t>addition,</w:t>
      </w:r>
      <w:r w:rsidR="001E6353" w:rsidRPr="00601B12">
        <w:rPr>
          <w:rFonts w:ascii="Arial" w:hAnsi="Arial" w:cs="Arial"/>
          <w:color w:val="000000"/>
          <w:sz w:val="22"/>
          <w:szCs w:val="22"/>
        </w:rPr>
        <w:t xml:space="preserve"> the Fund </w:t>
      </w:r>
      <w:r w:rsidR="00647294" w:rsidRPr="00601B12">
        <w:rPr>
          <w:rFonts w:ascii="Arial" w:hAnsi="Arial" w:cs="Arial"/>
          <w:color w:val="000000"/>
          <w:sz w:val="22"/>
          <w:szCs w:val="22"/>
        </w:rPr>
        <w:t xml:space="preserve">has employed </w:t>
      </w:r>
      <w:r w:rsidR="000B63DE" w:rsidRPr="00601B12">
        <w:rPr>
          <w:rFonts w:ascii="Arial" w:hAnsi="Arial" w:cs="Arial"/>
          <w:color w:val="000000"/>
          <w:sz w:val="22"/>
          <w:szCs w:val="22"/>
        </w:rPr>
        <w:t>a tracing agency, who provides</w:t>
      </w:r>
      <w:r w:rsidR="00647294" w:rsidRPr="00601B12">
        <w:rPr>
          <w:rFonts w:ascii="Arial" w:hAnsi="Arial" w:cs="Arial"/>
          <w:color w:val="000000"/>
          <w:sz w:val="22"/>
          <w:szCs w:val="22"/>
        </w:rPr>
        <w:t xml:space="preserve"> quarterly reports on scheme membership to prevent overpayment of pensions.</w:t>
      </w:r>
    </w:p>
    <w:p w14:paraId="6D16223E" w14:textId="77777777" w:rsidR="00892476" w:rsidRPr="00601B12" w:rsidRDefault="00892476" w:rsidP="00EF47C8">
      <w:pPr>
        <w:autoSpaceDE w:val="0"/>
        <w:autoSpaceDN w:val="0"/>
        <w:adjustRightInd w:val="0"/>
        <w:ind w:left="426" w:hanging="426"/>
        <w:jc w:val="both"/>
        <w:rPr>
          <w:rFonts w:ascii="Arial" w:hAnsi="Arial" w:cs="Arial"/>
          <w:color w:val="000000"/>
          <w:sz w:val="22"/>
          <w:szCs w:val="22"/>
        </w:rPr>
      </w:pPr>
    </w:p>
    <w:p w14:paraId="6D16223F" w14:textId="77777777" w:rsidR="00892476" w:rsidRPr="00601B12" w:rsidRDefault="00892476"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t xml:space="preserve">The Fund also </w:t>
      </w:r>
      <w:r w:rsidR="00957C34" w:rsidRPr="00601B12">
        <w:rPr>
          <w:rFonts w:ascii="Arial" w:hAnsi="Arial" w:cs="Arial"/>
          <w:color w:val="000000"/>
          <w:sz w:val="22"/>
          <w:szCs w:val="22"/>
        </w:rPr>
        <w:t xml:space="preserve">uses </w:t>
      </w:r>
      <w:r w:rsidRPr="00601B12">
        <w:rPr>
          <w:rFonts w:ascii="Arial" w:hAnsi="Arial" w:cs="Arial"/>
          <w:color w:val="000000"/>
          <w:sz w:val="22"/>
          <w:szCs w:val="22"/>
        </w:rPr>
        <w:t>the Government’s Tell Us Once service, which is a service that informs the Fund when a death has been registered.</w:t>
      </w:r>
    </w:p>
    <w:p w14:paraId="6D162240" w14:textId="77777777" w:rsidR="001E6353" w:rsidRPr="00601B12" w:rsidRDefault="001E6353" w:rsidP="00EF47C8">
      <w:pPr>
        <w:autoSpaceDE w:val="0"/>
        <w:autoSpaceDN w:val="0"/>
        <w:adjustRightInd w:val="0"/>
        <w:ind w:left="426" w:hanging="426"/>
        <w:jc w:val="both"/>
        <w:rPr>
          <w:rFonts w:ascii="Arial" w:hAnsi="Arial" w:cs="Arial"/>
          <w:color w:val="000000"/>
          <w:sz w:val="22"/>
          <w:szCs w:val="22"/>
        </w:rPr>
      </w:pPr>
    </w:p>
    <w:p w14:paraId="6D162241" w14:textId="77777777" w:rsidR="001D6311" w:rsidRPr="00601B12" w:rsidRDefault="001D6311" w:rsidP="00EF47C8">
      <w:pPr>
        <w:autoSpaceDE w:val="0"/>
        <w:autoSpaceDN w:val="0"/>
        <w:adjustRightInd w:val="0"/>
        <w:ind w:left="426" w:hanging="426"/>
        <w:rPr>
          <w:rFonts w:ascii="Arial" w:hAnsi="Arial" w:cs="Arial"/>
          <w:b/>
          <w:bCs/>
          <w:color w:val="0070C0"/>
          <w:sz w:val="22"/>
          <w:szCs w:val="22"/>
        </w:rPr>
      </w:pPr>
      <w:r w:rsidRPr="00601B12">
        <w:rPr>
          <w:rFonts w:ascii="Arial" w:hAnsi="Arial" w:cs="Arial"/>
          <w:b/>
          <w:bCs/>
          <w:color w:val="0070C0"/>
          <w:sz w:val="22"/>
          <w:szCs w:val="22"/>
        </w:rPr>
        <w:t>2.</w:t>
      </w:r>
      <w:r w:rsidR="00FB34A6" w:rsidRPr="00601B12">
        <w:rPr>
          <w:rFonts w:ascii="Arial" w:hAnsi="Arial" w:cs="Arial"/>
          <w:b/>
          <w:bCs/>
          <w:color w:val="0070C0"/>
          <w:sz w:val="22"/>
          <w:szCs w:val="22"/>
        </w:rPr>
        <w:t>5</w:t>
      </w:r>
      <w:r w:rsidRPr="00601B12">
        <w:rPr>
          <w:rFonts w:ascii="Arial" w:hAnsi="Arial" w:cs="Arial"/>
          <w:b/>
          <w:bCs/>
          <w:color w:val="0070C0"/>
          <w:sz w:val="22"/>
          <w:szCs w:val="22"/>
        </w:rPr>
        <w:tab/>
        <w:t>Administrative Management Performance</w:t>
      </w:r>
    </w:p>
    <w:p w14:paraId="6D162242" w14:textId="77777777" w:rsidR="001D6311" w:rsidRPr="00601B12" w:rsidRDefault="001D6311" w:rsidP="00EF47C8">
      <w:pPr>
        <w:autoSpaceDE w:val="0"/>
        <w:autoSpaceDN w:val="0"/>
        <w:adjustRightInd w:val="0"/>
        <w:ind w:left="426" w:hanging="426"/>
        <w:jc w:val="both"/>
        <w:rPr>
          <w:rFonts w:ascii="Arial" w:hAnsi="Arial" w:cs="Arial"/>
          <w:b/>
          <w:bCs/>
          <w:color w:val="000000"/>
          <w:sz w:val="22"/>
          <w:szCs w:val="22"/>
        </w:rPr>
      </w:pPr>
    </w:p>
    <w:p w14:paraId="6D162243" w14:textId="5E549166" w:rsidR="001D6311" w:rsidRPr="00601B12" w:rsidRDefault="00F31C38" w:rsidP="00EF47C8">
      <w:pPr>
        <w:autoSpaceDE w:val="0"/>
        <w:autoSpaceDN w:val="0"/>
        <w:adjustRightInd w:val="0"/>
        <w:ind w:left="426" w:hanging="426"/>
        <w:jc w:val="both"/>
        <w:rPr>
          <w:rFonts w:ascii="Arial" w:hAnsi="Arial" w:cs="Arial"/>
          <w:bCs/>
          <w:color w:val="000000"/>
          <w:sz w:val="22"/>
          <w:szCs w:val="22"/>
        </w:rPr>
      </w:pPr>
      <w:r w:rsidRPr="00601B12">
        <w:rPr>
          <w:rFonts w:ascii="Arial" w:hAnsi="Arial" w:cs="Arial"/>
          <w:bCs/>
          <w:color w:val="000000"/>
          <w:sz w:val="22"/>
          <w:szCs w:val="22"/>
        </w:rPr>
        <w:tab/>
      </w:r>
      <w:r w:rsidR="0008237B" w:rsidRPr="00601B12">
        <w:rPr>
          <w:rFonts w:ascii="Arial" w:hAnsi="Arial" w:cs="Arial"/>
          <w:bCs/>
          <w:color w:val="000000"/>
          <w:sz w:val="22"/>
          <w:szCs w:val="22"/>
        </w:rPr>
        <w:t xml:space="preserve">The main activities covered by the Pension Administration Team in </w:t>
      </w:r>
      <w:r w:rsidR="00F22964">
        <w:rPr>
          <w:rFonts w:ascii="Arial" w:hAnsi="Arial" w:cs="Arial"/>
          <w:bCs/>
          <w:color w:val="000000"/>
          <w:sz w:val="22"/>
          <w:szCs w:val="22"/>
        </w:rPr>
        <w:t>2020/21</w:t>
      </w:r>
      <w:r w:rsidR="0008237B" w:rsidRPr="00601B12">
        <w:rPr>
          <w:rFonts w:ascii="Arial" w:hAnsi="Arial" w:cs="Arial"/>
          <w:bCs/>
          <w:color w:val="000000"/>
          <w:sz w:val="22"/>
          <w:szCs w:val="22"/>
        </w:rPr>
        <w:t xml:space="preserve"> and </w:t>
      </w:r>
      <w:r w:rsidR="00F22964">
        <w:rPr>
          <w:rFonts w:ascii="Arial" w:hAnsi="Arial" w:cs="Arial"/>
          <w:bCs/>
          <w:color w:val="000000"/>
          <w:sz w:val="22"/>
          <w:szCs w:val="22"/>
        </w:rPr>
        <w:t>2020/21</w:t>
      </w:r>
      <w:r w:rsidR="0008237B" w:rsidRPr="00601B12">
        <w:rPr>
          <w:rFonts w:ascii="Arial" w:hAnsi="Arial" w:cs="Arial"/>
          <w:bCs/>
          <w:color w:val="000000"/>
          <w:sz w:val="22"/>
          <w:szCs w:val="22"/>
        </w:rPr>
        <w:t xml:space="preserve"> is summarised in</w:t>
      </w:r>
      <w:r w:rsidR="00A65492" w:rsidRPr="00601B12">
        <w:rPr>
          <w:rFonts w:ascii="Arial" w:hAnsi="Arial" w:cs="Arial"/>
          <w:bCs/>
          <w:color w:val="000000"/>
          <w:sz w:val="22"/>
          <w:szCs w:val="22"/>
        </w:rPr>
        <w:t xml:space="preserve"> table 1</w:t>
      </w:r>
      <w:r w:rsidR="0008237B" w:rsidRPr="00601B12">
        <w:rPr>
          <w:rFonts w:ascii="Arial" w:hAnsi="Arial" w:cs="Arial"/>
          <w:bCs/>
          <w:color w:val="000000"/>
          <w:sz w:val="22"/>
          <w:szCs w:val="22"/>
        </w:rPr>
        <w:t xml:space="preserve"> below</w:t>
      </w:r>
      <w:r w:rsidR="004F39ED" w:rsidRPr="00601B12">
        <w:rPr>
          <w:rFonts w:ascii="Arial" w:hAnsi="Arial" w:cs="Arial"/>
          <w:bCs/>
          <w:color w:val="000000"/>
          <w:sz w:val="22"/>
          <w:szCs w:val="22"/>
        </w:rPr>
        <w:t>:</w:t>
      </w:r>
    </w:p>
    <w:p w14:paraId="6D162244" w14:textId="77777777" w:rsidR="00A65492" w:rsidRPr="00601B12" w:rsidRDefault="00A65492" w:rsidP="00EF47C8">
      <w:pPr>
        <w:autoSpaceDE w:val="0"/>
        <w:autoSpaceDN w:val="0"/>
        <w:adjustRightInd w:val="0"/>
        <w:ind w:left="426" w:hanging="426"/>
        <w:jc w:val="both"/>
        <w:rPr>
          <w:rFonts w:ascii="Arial" w:hAnsi="Arial" w:cs="Arial"/>
          <w:bCs/>
          <w:color w:val="000000"/>
          <w:sz w:val="22"/>
          <w:szCs w:val="22"/>
        </w:rPr>
      </w:pPr>
    </w:p>
    <w:p w14:paraId="6D162245" w14:textId="09C4AD91" w:rsidR="00085278" w:rsidRPr="00601B12" w:rsidRDefault="00F31C38" w:rsidP="00EF47C8">
      <w:pPr>
        <w:autoSpaceDE w:val="0"/>
        <w:autoSpaceDN w:val="0"/>
        <w:adjustRightInd w:val="0"/>
        <w:ind w:left="426" w:hanging="426"/>
        <w:jc w:val="both"/>
        <w:rPr>
          <w:rFonts w:ascii="Arial" w:hAnsi="Arial" w:cs="Arial"/>
          <w:b/>
          <w:bCs/>
          <w:color w:val="000000"/>
          <w:sz w:val="22"/>
          <w:szCs w:val="22"/>
        </w:rPr>
      </w:pPr>
      <w:r w:rsidRPr="00601B12">
        <w:rPr>
          <w:rFonts w:ascii="Arial" w:hAnsi="Arial" w:cs="Arial"/>
          <w:b/>
          <w:bCs/>
          <w:color w:val="000000"/>
          <w:sz w:val="22"/>
          <w:szCs w:val="22"/>
        </w:rPr>
        <w:tab/>
      </w:r>
      <w:r w:rsidR="00085278" w:rsidRPr="000D6790">
        <w:rPr>
          <w:rFonts w:ascii="Arial" w:hAnsi="Arial" w:cs="Arial"/>
          <w:b/>
          <w:bCs/>
          <w:color w:val="000000"/>
          <w:sz w:val="22"/>
          <w:szCs w:val="22"/>
        </w:rPr>
        <w:t xml:space="preserve">Table </w:t>
      </w:r>
      <w:r w:rsidR="00FB34A6" w:rsidRPr="000D6790">
        <w:rPr>
          <w:rFonts w:ascii="Arial" w:hAnsi="Arial" w:cs="Arial"/>
          <w:b/>
          <w:bCs/>
          <w:color w:val="000000"/>
          <w:sz w:val="22"/>
          <w:szCs w:val="22"/>
        </w:rPr>
        <w:t>1</w:t>
      </w:r>
      <w:r w:rsidR="00085278" w:rsidRPr="000D6790">
        <w:rPr>
          <w:rFonts w:ascii="Arial" w:hAnsi="Arial" w:cs="Arial"/>
          <w:b/>
          <w:bCs/>
          <w:color w:val="000000"/>
          <w:sz w:val="22"/>
          <w:szCs w:val="22"/>
        </w:rPr>
        <w:t xml:space="preserve">: Administrative </w:t>
      </w:r>
      <w:r w:rsidR="0008237B" w:rsidRPr="000D6790">
        <w:rPr>
          <w:rFonts w:ascii="Arial" w:hAnsi="Arial" w:cs="Arial"/>
          <w:b/>
          <w:bCs/>
          <w:color w:val="000000"/>
          <w:sz w:val="22"/>
          <w:szCs w:val="22"/>
        </w:rPr>
        <w:t>Activity</w:t>
      </w:r>
    </w:p>
    <w:tbl>
      <w:tblPr>
        <w:tblW w:w="5628" w:type="dxa"/>
        <w:tblInd w:w="416" w:type="dxa"/>
        <w:tblLayout w:type="fixed"/>
        <w:tblLook w:val="04A0" w:firstRow="1" w:lastRow="0" w:firstColumn="1" w:lastColumn="0" w:noHBand="0" w:noVBand="1"/>
      </w:tblPr>
      <w:tblGrid>
        <w:gridCol w:w="3543"/>
        <w:gridCol w:w="1073"/>
        <w:gridCol w:w="1012"/>
      </w:tblGrid>
      <w:tr w:rsidR="003C1255" w:rsidRPr="002762A4" w14:paraId="451C24A5" w14:textId="77777777" w:rsidTr="0076066D">
        <w:trPr>
          <w:trHeight w:val="351"/>
        </w:trPr>
        <w:tc>
          <w:tcPr>
            <w:tcW w:w="3543" w:type="dxa"/>
            <w:tcBorders>
              <w:top w:val="single" w:sz="8" w:space="0" w:color="auto"/>
              <w:left w:val="single" w:sz="8" w:space="0" w:color="auto"/>
              <w:bottom w:val="single" w:sz="8" w:space="0" w:color="auto"/>
              <w:right w:val="single" w:sz="8" w:space="0" w:color="auto"/>
            </w:tcBorders>
            <w:shd w:val="clear" w:color="000000" w:fill="FF0000"/>
            <w:vAlign w:val="center"/>
            <w:hideMark/>
          </w:tcPr>
          <w:p w14:paraId="6E24025F" w14:textId="77777777" w:rsidR="003C1255" w:rsidRPr="00CF4501" w:rsidRDefault="003C1255" w:rsidP="003C1255">
            <w:pPr>
              <w:rPr>
                <w:rFonts w:ascii="Arial" w:hAnsi="Arial" w:cs="Arial"/>
                <w:b/>
                <w:color w:val="FFFFFF"/>
                <w:sz w:val="22"/>
                <w:szCs w:val="22"/>
              </w:rPr>
            </w:pPr>
            <w:bookmarkStart w:id="1" w:name="_Hlk94713283"/>
            <w:r w:rsidRPr="00CF4501">
              <w:rPr>
                <w:rFonts w:ascii="Arial" w:hAnsi="Arial" w:cs="Arial"/>
                <w:b/>
                <w:color w:val="FFFFFF"/>
                <w:sz w:val="22"/>
                <w:szCs w:val="22"/>
              </w:rPr>
              <w:t xml:space="preserve">Type of Activity </w:t>
            </w:r>
          </w:p>
        </w:tc>
        <w:tc>
          <w:tcPr>
            <w:tcW w:w="1073" w:type="dxa"/>
            <w:tcBorders>
              <w:top w:val="single" w:sz="8" w:space="0" w:color="auto"/>
              <w:left w:val="nil"/>
              <w:bottom w:val="single" w:sz="8" w:space="0" w:color="auto"/>
              <w:right w:val="single" w:sz="8" w:space="0" w:color="auto"/>
            </w:tcBorders>
            <w:shd w:val="clear" w:color="000000" w:fill="FF0000"/>
            <w:vAlign w:val="center"/>
            <w:hideMark/>
          </w:tcPr>
          <w:p w14:paraId="767BEDCB" w14:textId="4C75E9F1" w:rsidR="003C1255" w:rsidRPr="00CF4501" w:rsidRDefault="00F22964" w:rsidP="003C1255">
            <w:pPr>
              <w:rPr>
                <w:rFonts w:ascii="Arial" w:hAnsi="Arial" w:cs="Arial"/>
                <w:b/>
                <w:color w:val="FFFFFF"/>
                <w:sz w:val="22"/>
                <w:szCs w:val="22"/>
              </w:rPr>
            </w:pPr>
            <w:r w:rsidRPr="00CF4501">
              <w:rPr>
                <w:rFonts w:ascii="Arial" w:hAnsi="Arial" w:cs="Arial"/>
                <w:b/>
                <w:color w:val="FFFFFF"/>
                <w:sz w:val="22"/>
                <w:szCs w:val="22"/>
              </w:rPr>
              <w:t>20</w:t>
            </w:r>
            <w:r w:rsidR="00D04431" w:rsidRPr="00CF4501">
              <w:rPr>
                <w:rFonts w:ascii="Arial" w:hAnsi="Arial" w:cs="Arial"/>
                <w:b/>
                <w:color w:val="FFFFFF"/>
                <w:sz w:val="22"/>
                <w:szCs w:val="22"/>
              </w:rPr>
              <w:t>20/21</w:t>
            </w:r>
          </w:p>
        </w:tc>
        <w:tc>
          <w:tcPr>
            <w:tcW w:w="1012" w:type="dxa"/>
            <w:tcBorders>
              <w:top w:val="single" w:sz="8" w:space="0" w:color="auto"/>
              <w:left w:val="nil"/>
              <w:bottom w:val="single" w:sz="8" w:space="0" w:color="auto"/>
              <w:right w:val="single" w:sz="8" w:space="0" w:color="auto"/>
            </w:tcBorders>
            <w:shd w:val="clear" w:color="000000" w:fill="FF0000"/>
            <w:vAlign w:val="center"/>
            <w:hideMark/>
          </w:tcPr>
          <w:p w14:paraId="0B5E8B8C" w14:textId="44556878" w:rsidR="003C1255" w:rsidRPr="00CF4501" w:rsidRDefault="00F22964" w:rsidP="003C1255">
            <w:pPr>
              <w:rPr>
                <w:rFonts w:ascii="Arial" w:hAnsi="Arial" w:cs="Arial"/>
                <w:b/>
                <w:color w:val="FFFFFF"/>
                <w:sz w:val="22"/>
                <w:szCs w:val="22"/>
              </w:rPr>
            </w:pPr>
            <w:r w:rsidRPr="00CF4501">
              <w:rPr>
                <w:rFonts w:ascii="Arial" w:hAnsi="Arial" w:cs="Arial"/>
                <w:b/>
                <w:color w:val="FFFFFF"/>
                <w:sz w:val="22"/>
                <w:szCs w:val="22"/>
              </w:rPr>
              <w:t>202</w:t>
            </w:r>
            <w:r w:rsidR="00D04431" w:rsidRPr="00CF4501">
              <w:rPr>
                <w:rFonts w:ascii="Arial" w:hAnsi="Arial" w:cs="Arial"/>
                <w:b/>
                <w:color w:val="FFFFFF"/>
                <w:sz w:val="22"/>
                <w:szCs w:val="22"/>
              </w:rPr>
              <w:t>1/22</w:t>
            </w:r>
          </w:p>
        </w:tc>
      </w:tr>
      <w:tr w:rsidR="00811868" w:rsidRPr="002762A4" w14:paraId="4771551B" w14:textId="77777777" w:rsidTr="00D5369D">
        <w:trPr>
          <w:trHeight w:val="213"/>
        </w:trPr>
        <w:tc>
          <w:tcPr>
            <w:tcW w:w="3543" w:type="dxa"/>
            <w:tcBorders>
              <w:top w:val="nil"/>
              <w:left w:val="single" w:sz="8" w:space="0" w:color="auto"/>
              <w:bottom w:val="single" w:sz="8" w:space="0" w:color="auto"/>
              <w:right w:val="single" w:sz="8" w:space="0" w:color="auto"/>
            </w:tcBorders>
            <w:shd w:val="clear" w:color="auto" w:fill="auto"/>
            <w:vAlign w:val="center"/>
            <w:hideMark/>
          </w:tcPr>
          <w:p w14:paraId="63B69CEA" w14:textId="77777777" w:rsidR="00811868" w:rsidRPr="00CF4501" w:rsidRDefault="00811868" w:rsidP="00811868">
            <w:pPr>
              <w:rPr>
                <w:rFonts w:ascii="Arial" w:hAnsi="Arial" w:cs="Arial"/>
                <w:sz w:val="22"/>
                <w:szCs w:val="22"/>
              </w:rPr>
            </w:pPr>
            <w:r w:rsidRPr="00CF4501">
              <w:rPr>
                <w:rFonts w:ascii="Arial" w:hAnsi="Arial" w:cs="Arial"/>
                <w:sz w:val="22"/>
                <w:szCs w:val="22"/>
              </w:rPr>
              <w:t xml:space="preserve">Number of Starters </w:t>
            </w:r>
          </w:p>
        </w:tc>
        <w:tc>
          <w:tcPr>
            <w:tcW w:w="1073" w:type="dxa"/>
            <w:tcBorders>
              <w:top w:val="nil"/>
              <w:left w:val="nil"/>
              <w:bottom w:val="single" w:sz="8" w:space="0" w:color="auto"/>
              <w:right w:val="single" w:sz="8" w:space="0" w:color="auto"/>
            </w:tcBorders>
            <w:hideMark/>
          </w:tcPr>
          <w:p w14:paraId="6FAEA814" w14:textId="1B4B18CA"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607</w:t>
            </w:r>
          </w:p>
        </w:tc>
        <w:tc>
          <w:tcPr>
            <w:tcW w:w="1012" w:type="dxa"/>
            <w:tcBorders>
              <w:top w:val="nil"/>
              <w:left w:val="nil"/>
              <w:bottom w:val="single" w:sz="8" w:space="0" w:color="auto"/>
              <w:right w:val="single" w:sz="8" w:space="0" w:color="auto"/>
            </w:tcBorders>
            <w:vAlign w:val="center"/>
          </w:tcPr>
          <w:p w14:paraId="1A72F6C3" w14:textId="2B02ADDD"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770</w:t>
            </w:r>
          </w:p>
        </w:tc>
      </w:tr>
      <w:tr w:rsidR="00811868" w:rsidRPr="002762A4" w14:paraId="4DD1B6F6" w14:textId="77777777" w:rsidTr="00D5369D">
        <w:trPr>
          <w:trHeight w:val="89"/>
        </w:trPr>
        <w:tc>
          <w:tcPr>
            <w:tcW w:w="3543" w:type="dxa"/>
            <w:tcBorders>
              <w:top w:val="nil"/>
              <w:left w:val="single" w:sz="8" w:space="0" w:color="auto"/>
              <w:bottom w:val="single" w:sz="8" w:space="0" w:color="auto"/>
              <w:right w:val="single" w:sz="8" w:space="0" w:color="auto"/>
            </w:tcBorders>
            <w:shd w:val="clear" w:color="auto" w:fill="auto"/>
            <w:vAlign w:val="center"/>
            <w:hideMark/>
          </w:tcPr>
          <w:p w14:paraId="61DAC479" w14:textId="77777777" w:rsidR="00811868" w:rsidRPr="00CF4501" w:rsidRDefault="00811868" w:rsidP="00811868">
            <w:pPr>
              <w:rPr>
                <w:rFonts w:ascii="Arial" w:hAnsi="Arial" w:cs="Arial"/>
                <w:sz w:val="22"/>
                <w:szCs w:val="22"/>
              </w:rPr>
            </w:pPr>
            <w:r w:rsidRPr="00CF4501">
              <w:rPr>
                <w:rFonts w:ascii="Arial" w:hAnsi="Arial" w:cs="Arial"/>
                <w:sz w:val="22"/>
                <w:szCs w:val="22"/>
              </w:rPr>
              <w:t xml:space="preserve">Number of Transfer Value Actual </w:t>
            </w:r>
          </w:p>
        </w:tc>
        <w:tc>
          <w:tcPr>
            <w:tcW w:w="1073" w:type="dxa"/>
            <w:tcBorders>
              <w:top w:val="nil"/>
              <w:left w:val="nil"/>
              <w:bottom w:val="single" w:sz="8" w:space="0" w:color="auto"/>
              <w:right w:val="single" w:sz="8" w:space="0" w:color="auto"/>
            </w:tcBorders>
            <w:hideMark/>
          </w:tcPr>
          <w:p w14:paraId="20B043BB" w14:textId="1CA749FC"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89</w:t>
            </w:r>
          </w:p>
        </w:tc>
        <w:tc>
          <w:tcPr>
            <w:tcW w:w="1012" w:type="dxa"/>
            <w:tcBorders>
              <w:top w:val="nil"/>
              <w:left w:val="nil"/>
              <w:bottom w:val="single" w:sz="8" w:space="0" w:color="auto"/>
              <w:right w:val="single" w:sz="8" w:space="0" w:color="auto"/>
            </w:tcBorders>
            <w:vAlign w:val="center"/>
          </w:tcPr>
          <w:p w14:paraId="25231462" w14:textId="58CE07C9"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93</w:t>
            </w:r>
          </w:p>
        </w:tc>
      </w:tr>
      <w:tr w:rsidR="00811868" w:rsidRPr="002762A4" w14:paraId="4C6927C1" w14:textId="77777777" w:rsidTr="00D5369D">
        <w:trPr>
          <w:trHeight w:val="151"/>
        </w:trPr>
        <w:tc>
          <w:tcPr>
            <w:tcW w:w="3543" w:type="dxa"/>
            <w:tcBorders>
              <w:top w:val="nil"/>
              <w:left w:val="single" w:sz="8" w:space="0" w:color="auto"/>
              <w:bottom w:val="single" w:sz="8" w:space="0" w:color="auto"/>
              <w:right w:val="single" w:sz="8" w:space="0" w:color="auto"/>
            </w:tcBorders>
            <w:shd w:val="clear" w:color="auto" w:fill="auto"/>
            <w:vAlign w:val="center"/>
            <w:hideMark/>
          </w:tcPr>
          <w:p w14:paraId="0164E086" w14:textId="77777777" w:rsidR="00811868" w:rsidRPr="00CF4501" w:rsidRDefault="00811868" w:rsidP="00811868">
            <w:pPr>
              <w:rPr>
                <w:rFonts w:ascii="Arial" w:hAnsi="Arial" w:cs="Arial"/>
                <w:sz w:val="22"/>
                <w:szCs w:val="22"/>
              </w:rPr>
            </w:pPr>
            <w:r w:rsidRPr="00CF4501">
              <w:rPr>
                <w:rFonts w:ascii="Arial" w:hAnsi="Arial" w:cs="Arial"/>
                <w:sz w:val="22"/>
                <w:szCs w:val="22"/>
              </w:rPr>
              <w:t>Number of Refunds</w:t>
            </w:r>
          </w:p>
        </w:tc>
        <w:tc>
          <w:tcPr>
            <w:tcW w:w="1073" w:type="dxa"/>
            <w:tcBorders>
              <w:top w:val="nil"/>
              <w:left w:val="nil"/>
              <w:bottom w:val="single" w:sz="8" w:space="0" w:color="auto"/>
              <w:right w:val="single" w:sz="8" w:space="0" w:color="auto"/>
            </w:tcBorders>
            <w:hideMark/>
          </w:tcPr>
          <w:p w14:paraId="16063067" w14:textId="6A48CC6B"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87</w:t>
            </w:r>
          </w:p>
        </w:tc>
        <w:tc>
          <w:tcPr>
            <w:tcW w:w="1012" w:type="dxa"/>
            <w:tcBorders>
              <w:top w:val="nil"/>
              <w:left w:val="nil"/>
              <w:bottom w:val="single" w:sz="8" w:space="0" w:color="auto"/>
              <w:right w:val="single" w:sz="8" w:space="0" w:color="auto"/>
            </w:tcBorders>
            <w:vAlign w:val="center"/>
          </w:tcPr>
          <w:p w14:paraId="067B89FB" w14:textId="05D707B5"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102</w:t>
            </w:r>
          </w:p>
        </w:tc>
      </w:tr>
      <w:tr w:rsidR="00811868" w:rsidRPr="002762A4" w14:paraId="3513B314" w14:textId="77777777" w:rsidTr="00D5369D">
        <w:trPr>
          <w:trHeight w:val="141"/>
        </w:trPr>
        <w:tc>
          <w:tcPr>
            <w:tcW w:w="3543" w:type="dxa"/>
            <w:tcBorders>
              <w:top w:val="nil"/>
              <w:left w:val="single" w:sz="8" w:space="0" w:color="auto"/>
              <w:bottom w:val="single" w:sz="8" w:space="0" w:color="auto"/>
              <w:right w:val="single" w:sz="8" w:space="0" w:color="auto"/>
            </w:tcBorders>
            <w:shd w:val="clear" w:color="auto" w:fill="auto"/>
            <w:vAlign w:val="center"/>
            <w:hideMark/>
          </w:tcPr>
          <w:p w14:paraId="7926F6D5" w14:textId="4D0C049D" w:rsidR="00811868" w:rsidRPr="00CF4501" w:rsidRDefault="00811868" w:rsidP="00811868">
            <w:pPr>
              <w:rPr>
                <w:rFonts w:ascii="Arial" w:hAnsi="Arial" w:cs="Arial"/>
                <w:sz w:val="22"/>
                <w:szCs w:val="22"/>
              </w:rPr>
            </w:pPr>
            <w:r w:rsidRPr="00CF4501">
              <w:rPr>
                <w:rFonts w:ascii="Arial" w:hAnsi="Arial" w:cs="Arial"/>
                <w:sz w:val="22"/>
                <w:szCs w:val="22"/>
              </w:rPr>
              <w:t xml:space="preserve">Number of Deferred Benefits </w:t>
            </w:r>
          </w:p>
        </w:tc>
        <w:tc>
          <w:tcPr>
            <w:tcW w:w="1073" w:type="dxa"/>
            <w:tcBorders>
              <w:top w:val="nil"/>
              <w:left w:val="nil"/>
              <w:bottom w:val="single" w:sz="8" w:space="0" w:color="auto"/>
              <w:right w:val="single" w:sz="8" w:space="0" w:color="auto"/>
            </w:tcBorders>
            <w:hideMark/>
          </w:tcPr>
          <w:p w14:paraId="66D8381F" w14:textId="6E7A8AA6"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257</w:t>
            </w:r>
          </w:p>
        </w:tc>
        <w:tc>
          <w:tcPr>
            <w:tcW w:w="1012" w:type="dxa"/>
            <w:tcBorders>
              <w:top w:val="nil"/>
              <w:left w:val="nil"/>
              <w:bottom w:val="single" w:sz="8" w:space="0" w:color="auto"/>
              <w:right w:val="single" w:sz="8" w:space="0" w:color="auto"/>
            </w:tcBorders>
            <w:vAlign w:val="center"/>
          </w:tcPr>
          <w:p w14:paraId="0FEDE916" w14:textId="6E25FD7C"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459</w:t>
            </w:r>
          </w:p>
        </w:tc>
      </w:tr>
      <w:tr w:rsidR="00811868" w:rsidRPr="002762A4" w14:paraId="740DE99E" w14:textId="77777777" w:rsidTr="00D5369D">
        <w:trPr>
          <w:trHeight w:val="159"/>
        </w:trPr>
        <w:tc>
          <w:tcPr>
            <w:tcW w:w="3543" w:type="dxa"/>
            <w:tcBorders>
              <w:top w:val="nil"/>
              <w:left w:val="single" w:sz="8" w:space="0" w:color="auto"/>
              <w:bottom w:val="single" w:sz="8" w:space="0" w:color="auto"/>
              <w:right w:val="single" w:sz="8" w:space="0" w:color="auto"/>
            </w:tcBorders>
            <w:shd w:val="clear" w:color="auto" w:fill="auto"/>
            <w:vAlign w:val="center"/>
            <w:hideMark/>
          </w:tcPr>
          <w:p w14:paraId="4FC9E80C" w14:textId="77777777" w:rsidR="00811868" w:rsidRPr="00CF4501" w:rsidRDefault="00811868" w:rsidP="00811868">
            <w:pPr>
              <w:rPr>
                <w:rFonts w:ascii="Arial" w:hAnsi="Arial" w:cs="Arial"/>
                <w:sz w:val="22"/>
                <w:szCs w:val="22"/>
              </w:rPr>
            </w:pPr>
            <w:r w:rsidRPr="00CF4501">
              <w:rPr>
                <w:rFonts w:ascii="Arial" w:hAnsi="Arial" w:cs="Arial"/>
                <w:sz w:val="22"/>
                <w:szCs w:val="22"/>
              </w:rPr>
              <w:t>Number of Estimates</w:t>
            </w:r>
          </w:p>
        </w:tc>
        <w:tc>
          <w:tcPr>
            <w:tcW w:w="1073" w:type="dxa"/>
            <w:tcBorders>
              <w:top w:val="nil"/>
              <w:left w:val="nil"/>
              <w:bottom w:val="single" w:sz="8" w:space="0" w:color="auto"/>
              <w:right w:val="single" w:sz="8" w:space="0" w:color="auto"/>
            </w:tcBorders>
            <w:hideMark/>
          </w:tcPr>
          <w:p w14:paraId="0FD7EFC6" w14:textId="56E866E8"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1</w:t>
            </w:r>
            <w:r>
              <w:rPr>
                <w:rFonts w:ascii="Arial" w:hAnsi="Arial" w:cs="Arial"/>
                <w:sz w:val="22"/>
                <w:szCs w:val="22"/>
                <w:lang w:val="en-US"/>
              </w:rPr>
              <w:t>,</w:t>
            </w:r>
            <w:r w:rsidRPr="00811868">
              <w:rPr>
                <w:rFonts w:ascii="Arial" w:hAnsi="Arial" w:cs="Arial"/>
                <w:sz w:val="22"/>
                <w:szCs w:val="22"/>
                <w:lang w:val="en-US"/>
              </w:rPr>
              <w:t>396</w:t>
            </w:r>
          </w:p>
        </w:tc>
        <w:tc>
          <w:tcPr>
            <w:tcW w:w="1012" w:type="dxa"/>
            <w:tcBorders>
              <w:top w:val="nil"/>
              <w:left w:val="nil"/>
              <w:bottom w:val="single" w:sz="8" w:space="0" w:color="auto"/>
              <w:right w:val="single" w:sz="8" w:space="0" w:color="auto"/>
            </w:tcBorders>
            <w:vAlign w:val="center"/>
          </w:tcPr>
          <w:p w14:paraId="6A16497B" w14:textId="2CC0AD8C"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1</w:t>
            </w:r>
            <w:r>
              <w:rPr>
                <w:rFonts w:ascii="Arial" w:hAnsi="Arial" w:cs="Arial"/>
                <w:sz w:val="22"/>
                <w:szCs w:val="22"/>
                <w:lang w:val="en-US"/>
              </w:rPr>
              <w:t>,</w:t>
            </w:r>
            <w:r w:rsidRPr="00811868">
              <w:rPr>
                <w:rFonts w:ascii="Arial" w:hAnsi="Arial" w:cs="Arial"/>
                <w:sz w:val="22"/>
                <w:szCs w:val="22"/>
                <w:lang w:val="en-US"/>
              </w:rPr>
              <w:t>457</w:t>
            </w:r>
          </w:p>
        </w:tc>
      </w:tr>
      <w:tr w:rsidR="00811868" w:rsidRPr="002762A4" w14:paraId="14EBE85D" w14:textId="77777777" w:rsidTr="00D5369D">
        <w:trPr>
          <w:trHeight w:val="163"/>
        </w:trPr>
        <w:tc>
          <w:tcPr>
            <w:tcW w:w="3543" w:type="dxa"/>
            <w:tcBorders>
              <w:top w:val="nil"/>
              <w:left w:val="single" w:sz="8" w:space="0" w:color="auto"/>
              <w:bottom w:val="single" w:sz="8" w:space="0" w:color="auto"/>
              <w:right w:val="single" w:sz="8" w:space="0" w:color="auto"/>
            </w:tcBorders>
            <w:shd w:val="clear" w:color="auto" w:fill="auto"/>
            <w:vAlign w:val="center"/>
            <w:hideMark/>
          </w:tcPr>
          <w:p w14:paraId="54C84EDA" w14:textId="77777777" w:rsidR="00811868" w:rsidRPr="00CF4501" w:rsidRDefault="00811868" w:rsidP="00811868">
            <w:pPr>
              <w:rPr>
                <w:rFonts w:ascii="Arial" w:hAnsi="Arial" w:cs="Arial"/>
                <w:sz w:val="22"/>
                <w:szCs w:val="22"/>
              </w:rPr>
            </w:pPr>
            <w:r w:rsidRPr="00CF4501">
              <w:rPr>
                <w:rFonts w:ascii="Arial" w:hAnsi="Arial" w:cs="Arial"/>
                <w:sz w:val="22"/>
                <w:szCs w:val="22"/>
              </w:rPr>
              <w:t>Number of Retirements</w:t>
            </w:r>
          </w:p>
        </w:tc>
        <w:tc>
          <w:tcPr>
            <w:tcW w:w="1073" w:type="dxa"/>
            <w:tcBorders>
              <w:top w:val="nil"/>
              <w:left w:val="nil"/>
              <w:bottom w:val="single" w:sz="8" w:space="0" w:color="auto"/>
              <w:right w:val="single" w:sz="8" w:space="0" w:color="auto"/>
            </w:tcBorders>
            <w:hideMark/>
          </w:tcPr>
          <w:p w14:paraId="2385F629" w14:textId="074E4CA6"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264</w:t>
            </w:r>
          </w:p>
        </w:tc>
        <w:tc>
          <w:tcPr>
            <w:tcW w:w="1012" w:type="dxa"/>
            <w:tcBorders>
              <w:top w:val="nil"/>
              <w:left w:val="nil"/>
              <w:bottom w:val="single" w:sz="8" w:space="0" w:color="auto"/>
              <w:right w:val="single" w:sz="8" w:space="0" w:color="auto"/>
            </w:tcBorders>
            <w:vAlign w:val="center"/>
          </w:tcPr>
          <w:p w14:paraId="65414B20" w14:textId="61DF279D"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294</w:t>
            </w:r>
          </w:p>
        </w:tc>
      </w:tr>
      <w:tr w:rsidR="00811868" w:rsidRPr="002762A4" w14:paraId="68E17409" w14:textId="77777777" w:rsidTr="00D5369D">
        <w:trPr>
          <w:trHeight w:val="54"/>
        </w:trPr>
        <w:tc>
          <w:tcPr>
            <w:tcW w:w="3543" w:type="dxa"/>
            <w:tcBorders>
              <w:top w:val="nil"/>
              <w:left w:val="single" w:sz="8" w:space="0" w:color="auto"/>
              <w:bottom w:val="single" w:sz="8" w:space="0" w:color="auto"/>
              <w:right w:val="single" w:sz="8" w:space="0" w:color="auto"/>
            </w:tcBorders>
            <w:shd w:val="clear" w:color="auto" w:fill="auto"/>
            <w:vAlign w:val="center"/>
            <w:hideMark/>
          </w:tcPr>
          <w:p w14:paraId="393DF42E" w14:textId="77777777" w:rsidR="00811868" w:rsidRPr="00CF4501" w:rsidRDefault="00811868" w:rsidP="00811868">
            <w:pPr>
              <w:rPr>
                <w:rFonts w:ascii="Arial" w:hAnsi="Arial" w:cs="Arial"/>
                <w:sz w:val="22"/>
                <w:szCs w:val="22"/>
              </w:rPr>
            </w:pPr>
            <w:r w:rsidRPr="00CF4501">
              <w:rPr>
                <w:rFonts w:ascii="Arial" w:hAnsi="Arial" w:cs="Arial"/>
                <w:sz w:val="22"/>
                <w:szCs w:val="22"/>
              </w:rPr>
              <w:t>Number of Death in Service</w:t>
            </w:r>
          </w:p>
        </w:tc>
        <w:tc>
          <w:tcPr>
            <w:tcW w:w="1073" w:type="dxa"/>
            <w:tcBorders>
              <w:top w:val="nil"/>
              <w:left w:val="nil"/>
              <w:bottom w:val="single" w:sz="8" w:space="0" w:color="auto"/>
              <w:right w:val="single" w:sz="8" w:space="0" w:color="auto"/>
            </w:tcBorders>
            <w:hideMark/>
          </w:tcPr>
          <w:p w14:paraId="18CD4BA0" w14:textId="0E94A2D3"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12</w:t>
            </w:r>
          </w:p>
        </w:tc>
        <w:tc>
          <w:tcPr>
            <w:tcW w:w="1012" w:type="dxa"/>
            <w:tcBorders>
              <w:top w:val="nil"/>
              <w:left w:val="nil"/>
              <w:bottom w:val="single" w:sz="8" w:space="0" w:color="auto"/>
              <w:right w:val="single" w:sz="8" w:space="0" w:color="auto"/>
            </w:tcBorders>
            <w:vAlign w:val="center"/>
          </w:tcPr>
          <w:p w14:paraId="16DAF479" w14:textId="77374467"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6</w:t>
            </w:r>
          </w:p>
        </w:tc>
      </w:tr>
      <w:tr w:rsidR="00811868" w:rsidRPr="00601B12" w14:paraId="686788C0" w14:textId="77777777" w:rsidTr="00D5369D">
        <w:trPr>
          <w:trHeight w:val="57"/>
        </w:trPr>
        <w:tc>
          <w:tcPr>
            <w:tcW w:w="3543" w:type="dxa"/>
            <w:tcBorders>
              <w:top w:val="nil"/>
              <w:left w:val="single" w:sz="8" w:space="0" w:color="auto"/>
              <w:bottom w:val="single" w:sz="8" w:space="0" w:color="auto"/>
              <w:right w:val="single" w:sz="8" w:space="0" w:color="auto"/>
            </w:tcBorders>
            <w:shd w:val="clear" w:color="auto" w:fill="auto"/>
            <w:vAlign w:val="center"/>
            <w:hideMark/>
          </w:tcPr>
          <w:p w14:paraId="2C2D724F" w14:textId="77777777" w:rsidR="00811868" w:rsidRPr="00CF4501" w:rsidRDefault="00811868" w:rsidP="00811868">
            <w:pPr>
              <w:rPr>
                <w:rFonts w:ascii="Arial" w:hAnsi="Arial" w:cs="Arial"/>
                <w:sz w:val="22"/>
                <w:szCs w:val="22"/>
              </w:rPr>
            </w:pPr>
            <w:r w:rsidRPr="00CF4501">
              <w:rPr>
                <w:rFonts w:ascii="Arial" w:hAnsi="Arial" w:cs="Arial"/>
                <w:sz w:val="22"/>
                <w:szCs w:val="22"/>
              </w:rPr>
              <w:t>Death in Retirement</w:t>
            </w:r>
          </w:p>
        </w:tc>
        <w:tc>
          <w:tcPr>
            <w:tcW w:w="1073" w:type="dxa"/>
            <w:tcBorders>
              <w:top w:val="nil"/>
              <w:left w:val="nil"/>
              <w:bottom w:val="single" w:sz="8" w:space="0" w:color="auto"/>
              <w:right w:val="single" w:sz="8" w:space="0" w:color="auto"/>
            </w:tcBorders>
            <w:hideMark/>
          </w:tcPr>
          <w:p w14:paraId="66870FE5" w14:textId="4E779482"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219</w:t>
            </w:r>
          </w:p>
        </w:tc>
        <w:tc>
          <w:tcPr>
            <w:tcW w:w="1012" w:type="dxa"/>
            <w:tcBorders>
              <w:top w:val="nil"/>
              <w:left w:val="nil"/>
              <w:bottom w:val="single" w:sz="8" w:space="0" w:color="auto"/>
              <w:right w:val="single" w:sz="8" w:space="0" w:color="auto"/>
            </w:tcBorders>
            <w:vAlign w:val="center"/>
          </w:tcPr>
          <w:p w14:paraId="6679C42B" w14:textId="5C8921AE" w:rsidR="00811868" w:rsidRPr="00811868" w:rsidRDefault="00811868" w:rsidP="00811868">
            <w:pPr>
              <w:jc w:val="right"/>
              <w:rPr>
                <w:rFonts w:ascii="Arial" w:hAnsi="Arial" w:cs="Arial"/>
                <w:sz w:val="22"/>
                <w:szCs w:val="22"/>
              </w:rPr>
            </w:pPr>
            <w:r w:rsidRPr="00811868">
              <w:rPr>
                <w:rFonts w:ascii="Arial" w:hAnsi="Arial" w:cs="Arial"/>
                <w:sz w:val="22"/>
                <w:szCs w:val="22"/>
                <w:lang w:val="en-US"/>
              </w:rPr>
              <w:t>191</w:t>
            </w:r>
          </w:p>
        </w:tc>
      </w:tr>
      <w:bookmarkEnd w:id="1"/>
    </w:tbl>
    <w:p w14:paraId="69F5B104" w14:textId="77777777" w:rsidR="001F6CE5" w:rsidRDefault="001F6CE5" w:rsidP="001F6CE5">
      <w:pPr>
        <w:pStyle w:val="ListParagraph"/>
        <w:autoSpaceDE w:val="0"/>
        <w:autoSpaceDN w:val="0"/>
        <w:adjustRightInd w:val="0"/>
        <w:ind w:left="360"/>
        <w:jc w:val="both"/>
        <w:rPr>
          <w:rFonts w:ascii="Arial" w:hAnsi="Arial" w:cs="Arial"/>
          <w:b/>
          <w:color w:val="C00000"/>
          <w:sz w:val="28"/>
          <w:szCs w:val="28"/>
        </w:rPr>
      </w:pPr>
    </w:p>
    <w:p w14:paraId="6D162247" w14:textId="2F4E4D3C" w:rsidR="00D40443" w:rsidRPr="00E35F96" w:rsidRDefault="003A6569" w:rsidP="007337FE">
      <w:pPr>
        <w:pStyle w:val="ListParagraph"/>
        <w:numPr>
          <w:ilvl w:val="0"/>
          <w:numId w:val="48"/>
        </w:numPr>
        <w:autoSpaceDE w:val="0"/>
        <w:autoSpaceDN w:val="0"/>
        <w:adjustRightInd w:val="0"/>
        <w:jc w:val="both"/>
        <w:rPr>
          <w:rFonts w:ascii="Arial" w:hAnsi="Arial" w:cs="Arial"/>
          <w:b/>
          <w:color w:val="C00000"/>
          <w:sz w:val="28"/>
          <w:szCs w:val="28"/>
        </w:rPr>
      </w:pPr>
      <w:r w:rsidRPr="00E35F96">
        <w:rPr>
          <w:rFonts w:ascii="Arial" w:hAnsi="Arial" w:cs="Arial"/>
          <w:b/>
          <w:color w:val="C00000"/>
          <w:sz w:val="28"/>
          <w:szCs w:val="28"/>
        </w:rPr>
        <w:t xml:space="preserve">Average Pension Scheme </w:t>
      </w:r>
    </w:p>
    <w:p w14:paraId="6D162249" w14:textId="25966109" w:rsidR="009F6163" w:rsidRPr="00601B12" w:rsidRDefault="009F6163" w:rsidP="00E35F96">
      <w:pPr>
        <w:autoSpaceDE w:val="0"/>
        <w:autoSpaceDN w:val="0"/>
        <w:adjustRightInd w:val="0"/>
        <w:jc w:val="both"/>
        <w:rPr>
          <w:rFonts w:ascii="Arial" w:hAnsi="Arial" w:cs="Arial"/>
          <w:b/>
          <w:color w:val="0070C0"/>
          <w:sz w:val="22"/>
          <w:szCs w:val="22"/>
        </w:rPr>
      </w:pPr>
      <w:r w:rsidRPr="00601B12">
        <w:rPr>
          <w:rFonts w:ascii="Arial" w:hAnsi="Arial" w:cs="Arial"/>
          <w:b/>
          <w:color w:val="0070C0"/>
          <w:sz w:val="22"/>
          <w:szCs w:val="22"/>
        </w:rPr>
        <w:t>3.1</w:t>
      </w:r>
      <w:r w:rsidR="00B15328">
        <w:rPr>
          <w:rFonts w:ascii="Arial" w:hAnsi="Arial" w:cs="Arial"/>
          <w:b/>
          <w:color w:val="0070C0"/>
          <w:sz w:val="22"/>
          <w:szCs w:val="22"/>
        </w:rPr>
        <w:t xml:space="preserve"> </w:t>
      </w:r>
      <w:r w:rsidRPr="00601B12">
        <w:rPr>
          <w:rFonts w:ascii="Arial" w:hAnsi="Arial" w:cs="Arial"/>
          <w:b/>
          <w:color w:val="0070C0"/>
          <w:sz w:val="22"/>
          <w:szCs w:val="22"/>
        </w:rPr>
        <w:t>Summary</w:t>
      </w:r>
    </w:p>
    <w:p w14:paraId="6D16224A" w14:textId="77777777" w:rsidR="009F6163" w:rsidRPr="00601B12" w:rsidRDefault="009F6163" w:rsidP="00EF47C8">
      <w:pPr>
        <w:autoSpaceDE w:val="0"/>
        <w:autoSpaceDN w:val="0"/>
        <w:adjustRightInd w:val="0"/>
        <w:ind w:left="426" w:hanging="426"/>
        <w:jc w:val="both"/>
        <w:rPr>
          <w:rFonts w:ascii="Arial" w:hAnsi="Arial" w:cs="Arial"/>
          <w:color w:val="000000"/>
          <w:sz w:val="22"/>
          <w:szCs w:val="22"/>
        </w:rPr>
      </w:pPr>
    </w:p>
    <w:p w14:paraId="6D16224B" w14:textId="77777777" w:rsidR="00647294" w:rsidRPr="00601B12" w:rsidRDefault="006D13F2" w:rsidP="009F6163">
      <w:pPr>
        <w:autoSpaceDE w:val="0"/>
        <w:autoSpaceDN w:val="0"/>
        <w:adjustRightInd w:val="0"/>
        <w:ind w:left="426"/>
        <w:jc w:val="both"/>
        <w:rPr>
          <w:rFonts w:ascii="Arial" w:hAnsi="Arial" w:cs="Arial"/>
          <w:color w:val="000000"/>
          <w:sz w:val="22"/>
          <w:szCs w:val="22"/>
        </w:rPr>
      </w:pPr>
      <w:r w:rsidRPr="00601B12">
        <w:rPr>
          <w:rFonts w:ascii="Arial" w:hAnsi="Arial" w:cs="Arial"/>
          <w:color w:val="000000"/>
          <w:sz w:val="22"/>
          <w:szCs w:val="22"/>
        </w:rPr>
        <w:t xml:space="preserve">From </w:t>
      </w:r>
      <w:r w:rsidR="005E2371" w:rsidRPr="00601B12">
        <w:rPr>
          <w:rFonts w:ascii="Arial" w:hAnsi="Arial" w:cs="Arial"/>
          <w:color w:val="000000"/>
          <w:sz w:val="22"/>
          <w:szCs w:val="22"/>
        </w:rPr>
        <w:t>1 April 2014</w:t>
      </w:r>
      <w:r w:rsidR="00AB26ED" w:rsidRPr="00601B12">
        <w:rPr>
          <w:rFonts w:ascii="Arial" w:hAnsi="Arial" w:cs="Arial"/>
          <w:color w:val="000000"/>
          <w:sz w:val="22"/>
          <w:szCs w:val="22"/>
        </w:rPr>
        <w:t xml:space="preserve"> </w:t>
      </w:r>
      <w:r w:rsidR="003A6569" w:rsidRPr="00601B12">
        <w:rPr>
          <w:rFonts w:ascii="Arial" w:hAnsi="Arial" w:cs="Arial"/>
          <w:color w:val="000000"/>
          <w:sz w:val="22"/>
          <w:szCs w:val="22"/>
        </w:rPr>
        <w:t>the final salary</w:t>
      </w:r>
      <w:r w:rsidR="00A128B2" w:rsidRPr="00601B12">
        <w:rPr>
          <w:rFonts w:ascii="Arial" w:hAnsi="Arial" w:cs="Arial"/>
          <w:color w:val="000000"/>
          <w:sz w:val="22"/>
          <w:szCs w:val="22"/>
        </w:rPr>
        <w:t xml:space="preserve"> </w:t>
      </w:r>
      <w:r w:rsidR="003A6569" w:rsidRPr="00601B12">
        <w:rPr>
          <w:rFonts w:ascii="Arial" w:hAnsi="Arial" w:cs="Arial"/>
          <w:color w:val="000000"/>
          <w:sz w:val="22"/>
          <w:szCs w:val="22"/>
        </w:rPr>
        <w:t>LGPS ended and was replaced by a Career Average Pension Scheme.</w:t>
      </w:r>
      <w:r w:rsidR="008076F3" w:rsidRPr="00601B12">
        <w:rPr>
          <w:rFonts w:ascii="Arial" w:hAnsi="Arial" w:cs="Arial"/>
          <w:color w:val="000000"/>
          <w:sz w:val="22"/>
          <w:szCs w:val="22"/>
        </w:rPr>
        <w:t xml:space="preserve"> The key elements of</w:t>
      </w:r>
      <w:r w:rsidR="00EF47C8" w:rsidRPr="00601B12">
        <w:rPr>
          <w:rFonts w:ascii="Arial" w:hAnsi="Arial" w:cs="Arial"/>
          <w:color w:val="000000"/>
          <w:sz w:val="22"/>
          <w:szCs w:val="22"/>
        </w:rPr>
        <w:t xml:space="preserve"> </w:t>
      </w:r>
      <w:r w:rsidR="008076F3" w:rsidRPr="00601B12">
        <w:rPr>
          <w:rFonts w:ascii="Arial" w:hAnsi="Arial" w:cs="Arial"/>
          <w:color w:val="000000"/>
          <w:sz w:val="22"/>
          <w:szCs w:val="22"/>
        </w:rPr>
        <w:t>are</w:t>
      </w:r>
      <w:r w:rsidR="00006D81" w:rsidRPr="00601B12">
        <w:rPr>
          <w:rFonts w:ascii="Arial" w:hAnsi="Arial" w:cs="Arial"/>
          <w:color w:val="000000"/>
          <w:sz w:val="22"/>
          <w:szCs w:val="22"/>
        </w:rPr>
        <w:t xml:space="preserve"> summarised below</w:t>
      </w:r>
      <w:r w:rsidR="008076F3" w:rsidRPr="00601B12">
        <w:rPr>
          <w:rFonts w:ascii="Arial" w:hAnsi="Arial" w:cs="Arial"/>
          <w:color w:val="000000"/>
          <w:sz w:val="22"/>
          <w:szCs w:val="22"/>
        </w:rPr>
        <w:t>:</w:t>
      </w:r>
    </w:p>
    <w:p w14:paraId="6D16224C" w14:textId="77777777" w:rsidR="008076F3" w:rsidRPr="00601B12" w:rsidRDefault="008076F3" w:rsidP="00EF47C8">
      <w:pPr>
        <w:autoSpaceDE w:val="0"/>
        <w:autoSpaceDN w:val="0"/>
        <w:adjustRightInd w:val="0"/>
        <w:ind w:left="426" w:hanging="426"/>
        <w:jc w:val="both"/>
        <w:rPr>
          <w:rFonts w:ascii="Arial" w:hAnsi="Arial" w:cs="Arial"/>
          <w:color w:val="000000"/>
          <w:sz w:val="22"/>
          <w:szCs w:val="22"/>
        </w:rPr>
      </w:pPr>
    </w:p>
    <w:p w14:paraId="6D16224D" w14:textId="77777777" w:rsidR="00D40443" w:rsidRPr="00601B12" w:rsidRDefault="00EF47C8" w:rsidP="00EF47C8">
      <w:pPr>
        <w:pStyle w:val="NormalWeb"/>
        <w:shd w:val="clear" w:color="auto" w:fill="F9F9F9"/>
        <w:spacing w:before="0" w:beforeAutospacing="0" w:after="0" w:afterAutospacing="0"/>
        <w:ind w:left="426" w:hanging="426"/>
        <w:rPr>
          <w:rFonts w:ascii="Arial" w:hAnsi="Arial" w:cs="Arial"/>
          <w:b/>
          <w:color w:val="000000"/>
          <w:sz w:val="22"/>
          <w:szCs w:val="22"/>
        </w:rPr>
      </w:pPr>
      <w:r w:rsidRPr="00601B12">
        <w:rPr>
          <w:rFonts w:ascii="Arial" w:hAnsi="Arial" w:cs="Arial"/>
          <w:b/>
          <w:color w:val="000000"/>
          <w:sz w:val="22"/>
          <w:szCs w:val="22"/>
        </w:rPr>
        <w:tab/>
      </w:r>
      <w:r w:rsidR="00085278" w:rsidRPr="00601B12">
        <w:rPr>
          <w:rFonts w:ascii="Arial" w:hAnsi="Arial" w:cs="Arial"/>
          <w:b/>
          <w:color w:val="000000"/>
          <w:sz w:val="22"/>
          <w:szCs w:val="22"/>
        </w:rPr>
        <w:t xml:space="preserve">Table </w:t>
      </w:r>
      <w:r w:rsidR="00D02C57" w:rsidRPr="00601B12">
        <w:rPr>
          <w:rFonts w:ascii="Arial" w:hAnsi="Arial" w:cs="Arial"/>
          <w:b/>
          <w:color w:val="000000"/>
          <w:sz w:val="22"/>
          <w:szCs w:val="22"/>
        </w:rPr>
        <w:t>2</w:t>
      </w:r>
      <w:r w:rsidR="00D40443" w:rsidRPr="00601B12">
        <w:rPr>
          <w:rFonts w:ascii="Arial" w:hAnsi="Arial" w:cs="Arial"/>
          <w:b/>
          <w:color w:val="000000"/>
          <w:sz w:val="22"/>
          <w:szCs w:val="22"/>
        </w:rPr>
        <w:t xml:space="preserve">: LGPS 2014 for membership from 1st April 2014 </w:t>
      </w:r>
    </w:p>
    <w:tbl>
      <w:tblPr>
        <w:tblW w:w="949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8"/>
        <w:gridCol w:w="6379"/>
      </w:tblGrid>
      <w:tr w:rsidR="00D40443" w:rsidRPr="00601B12" w14:paraId="6D162250" w14:textId="77777777" w:rsidTr="007266DE">
        <w:trPr>
          <w:trHeight w:val="77"/>
        </w:trPr>
        <w:tc>
          <w:tcPr>
            <w:tcW w:w="3118" w:type="dxa"/>
          </w:tcPr>
          <w:p w14:paraId="6D16224E" w14:textId="77777777" w:rsidR="00D40443" w:rsidRPr="00601B12" w:rsidRDefault="00D40443" w:rsidP="00EF47C8">
            <w:pPr>
              <w:pStyle w:val="NormalWeb"/>
              <w:shd w:val="clear" w:color="auto" w:fill="F9F9F9"/>
              <w:spacing w:before="0" w:beforeAutospacing="0" w:after="0" w:afterAutospacing="0"/>
              <w:ind w:left="426" w:hanging="426"/>
              <w:jc w:val="center"/>
              <w:rPr>
                <w:rFonts w:ascii="Arial" w:hAnsi="Arial" w:cs="Arial"/>
                <w:b/>
                <w:color w:val="000000"/>
              </w:rPr>
            </w:pPr>
            <w:r w:rsidRPr="00601B12">
              <w:rPr>
                <w:rFonts w:ascii="Arial" w:hAnsi="Arial" w:cs="Arial"/>
                <w:b/>
                <w:color w:val="000000"/>
                <w:sz w:val="22"/>
                <w:szCs w:val="22"/>
              </w:rPr>
              <w:t>Provision</w:t>
            </w:r>
          </w:p>
        </w:tc>
        <w:tc>
          <w:tcPr>
            <w:tcW w:w="6379" w:type="dxa"/>
          </w:tcPr>
          <w:p w14:paraId="6D16224F" w14:textId="77777777" w:rsidR="00D40443" w:rsidRPr="00601B12" w:rsidRDefault="00D40443" w:rsidP="00EF47C8">
            <w:pPr>
              <w:pStyle w:val="NormalWeb"/>
              <w:shd w:val="clear" w:color="auto" w:fill="F9F9F9"/>
              <w:spacing w:before="0" w:beforeAutospacing="0" w:after="0" w:afterAutospacing="0"/>
              <w:ind w:left="426" w:hanging="426"/>
              <w:jc w:val="center"/>
              <w:rPr>
                <w:rFonts w:ascii="Arial" w:hAnsi="Arial" w:cs="Arial"/>
                <w:b/>
                <w:color w:val="000000"/>
              </w:rPr>
            </w:pPr>
            <w:r w:rsidRPr="00601B12">
              <w:rPr>
                <w:rFonts w:ascii="Arial" w:hAnsi="Arial" w:cs="Arial"/>
                <w:b/>
                <w:color w:val="000000"/>
                <w:sz w:val="22"/>
                <w:szCs w:val="22"/>
              </w:rPr>
              <w:t>LGPS 2014</w:t>
            </w:r>
          </w:p>
        </w:tc>
      </w:tr>
      <w:tr w:rsidR="00D40443" w:rsidRPr="00601B12" w14:paraId="6D162253" w14:textId="77777777" w:rsidTr="007266DE">
        <w:trPr>
          <w:trHeight w:val="145"/>
        </w:trPr>
        <w:tc>
          <w:tcPr>
            <w:tcW w:w="3118" w:type="dxa"/>
          </w:tcPr>
          <w:p w14:paraId="6D162251" w14:textId="77777777" w:rsidR="00D40443" w:rsidRPr="00601B12" w:rsidRDefault="00D40443" w:rsidP="00EF47C8">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Basis of the Pension</w:t>
            </w:r>
          </w:p>
        </w:tc>
        <w:tc>
          <w:tcPr>
            <w:tcW w:w="6379" w:type="dxa"/>
          </w:tcPr>
          <w:p w14:paraId="6D162252" w14:textId="77777777" w:rsidR="008076F3" w:rsidRPr="00601B12" w:rsidRDefault="00D40443" w:rsidP="00FB34A6">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 xml:space="preserve">Career Average </w:t>
            </w:r>
            <w:r w:rsidR="00FB34A6" w:rsidRPr="00601B12">
              <w:rPr>
                <w:rFonts w:ascii="Arial" w:hAnsi="Arial" w:cs="Arial"/>
                <w:color w:val="000000"/>
                <w:sz w:val="22"/>
                <w:szCs w:val="22"/>
              </w:rPr>
              <w:t>Revalue</w:t>
            </w:r>
            <w:r w:rsidRPr="00601B12">
              <w:rPr>
                <w:rFonts w:ascii="Arial" w:hAnsi="Arial" w:cs="Arial"/>
                <w:color w:val="000000"/>
                <w:sz w:val="22"/>
                <w:szCs w:val="22"/>
              </w:rPr>
              <w:t xml:space="preserve"> Earnings </w:t>
            </w:r>
          </w:p>
        </w:tc>
      </w:tr>
      <w:tr w:rsidR="00D40443" w:rsidRPr="00601B12" w14:paraId="6D162256" w14:textId="77777777" w:rsidTr="007266DE">
        <w:trPr>
          <w:trHeight w:val="260"/>
        </w:trPr>
        <w:tc>
          <w:tcPr>
            <w:tcW w:w="3118" w:type="dxa"/>
          </w:tcPr>
          <w:p w14:paraId="6D162254" w14:textId="77777777" w:rsidR="00947D07" w:rsidRPr="00601B12" w:rsidRDefault="00D40443" w:rsidP="0008237B">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Accrual Rate (</w:t>
            </w:r>
            <w:r w:rsidR="007266DE" w:rsidRPr="00601B12">
              <w:rPr>
                <w:rFonts w:ascii="Arial" w:hAnsi="Arial" w:cs="Arial"/>
                <w:color w:val="000000"/>
                <w:sz w:val="22"/>
                <w:szCs w:val="22"/>
              </w:rPr>
              <w:t>%</w:t>
            </w:r>
            <w:r w:rsidRPr="00601B12">
              <w:rPr>
                <w:rFonts w:ascii="Arial" w:hAnsi="Arial" w:cs="Arial"/>
                <w:color w:val="000000"/>
                <w:sz w:val="22"/>
                <w:szCs w:val="22"/>
              </w:rPr>
              <w:t xml:space="preserve"> of salary)</w:t>
            </w:r>
          </w:p>
        </w:tc>
        <w:tc>
          <w:tcPr>
            <w:tcW w:w="6379" w:type="dxa"/>
          </w:tcPr>
          <w:p w14:paraId="6D162255" w14:textId="77777777" w:rsidR="008076F3" w:rsidRPr="00601B12" w:rsidRDefault="00D40443" w:rsidP="0008237B">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1/49</w:t>
            </w:r>
            <w:r w:rsidRPr="00601B12">
              <w:rPr>
                <w:rFonts w:ascii="Arial" w:hAnsi="Arial" w:cs="Arial"/>
                <w:color w:val="000000"/>
                <w:sz w:val="22"/>
                <w:szCs w:val="22"/>
                <w:vertAlign w:val="superscript"/>
              </w:rPr>
              <w:t xml:space="preserve">th </w:t>
            </w:r>
            <w:r w:rsidRPr="00601B12">
              <w:rPr>
                <w:rFonts w:ascii="Arial" w:hAnsi="Arial" w:cs="Arial"/>
                <w:color w:val="000000"/>
                <w:sz w:val="22"/>
                <w:szCs w:val="22"/>
              </w:rPr>
              <w:t>(previously Final Salary)</w:t>
            </w:r>
          </w:p>
        </w:tc>
      </w:tr>
      <w:tr w:rsidR="00D40443" w:rsidRPr="00601B12" w14:paraId="6D162259" w14:textId="77777777" w:rsidTr="007266DE">
        <w:trPr>
          <w:trHeight w:val="164"/>
        </w:trPr>
        <w:tc>
          <w:tcPr>
            <w:tcW w:w="3118" w:type="dxa"/>
          </w:tcPr>
          <w:p w14:paraId="6D162257" w14:textId="77777777" w:rsidR="00947D07" w:rsidRPr="00601B12" w:rsidRDefault="00D40443" w:rsidP="0008237B">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Revaluation Rate (the rate of increase)</w:t>
            </w:r>
          </w:p>
        </w:tc>
        <w:tc>
          <w:tcPr>
            <w:tcW w:w="6379" w:type="dxa"/>
          </w:tcPr>
          <w:p w14:paraId="6D162258" w14:textId="15156027" w:rsidR="00D40443" w:rsidRPr="00601B12" w:rsidRDefault="00D40443" w:rsidP="00EF47C8">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Consumer Price Index</w:t>
            </w:r>
            <w:r w:rsidR="00F15F0A" w:rsidRPr="00601B12">
              <w:rPr>
                <w:rFonts w:ascii="Arial" w:hAnsi="Arial" w:cs="Arial"/>
                <w:color w:val="000000"/>
                <w:sz w:val="22"/>
                <w:szCs w:val="22"/>
              </w:rPr>
              <w:t xml:space="preserve"> </w:t>
            </w:r>
          </w:p>
        </w:tc>
      </w:tr>
      <w:tr w:rsidR="00D40443" w:rsidRPr="00601B12" w14:paraId="6D16225C" w14:textId="77777777" w:rsidTr="007266DE">
        <w:trPr>
          <w:trHeight w:val="205"/>
        </w:trPr>
        <w:tc>
          <w:tcPr>
            <w:tcW w:w="3118" w:type="dxa"/>
          </w:tcPr>
          <w:p w14:paraId="6D16225A" w14:textId="77777777" w:rsidR="00D40443" w:rsidRPr="00601B12" w:rsidRDefault="00D40443" w:rsidP="00EF47C8">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 xml:space="preserve">Normal Pension Age </w:t>
            </w:r>
          </w:p>
        </w:tc>
        <w:tc>
          <w:tcPr>
            <w:tcW w:w="6379" w:type="dxa"/>
          </w:tcPr>
          <w:p w14:paraId="6D16225B" w14:textId="70166F63" w:rsidR="00947D07" w:rsidRPr="00601B12" w:rsidRDefault="00D40443" w:rsidP="0008237B">
            <w:pPr>
              <w:pStyle w:val="NormalWeb"/>
              <w:shd w:val="clear" w:color="auto" w:fill="F9F9F9"/>
              <w:spacing w:before="0" w:beforeAutospacing="0" w:after="0" w:afterAutospacing="0"/>
              <w:ind w:left="33" w:hanging="33"/>
              <w:rPr>
                <w:rFonts w:ascii="Arial" w:hAnsi="Arial" w:cs="Arial"/>
                <w:color w:val="000000"/>
              </w:rPr>
            </w:pPr>
            <w:r w:rsidRPr="00155A41">
              <w:rPr>
                <w:rFonts w:ascii="Arial" w:hAnsi="Arial" w:cs="Arial"/>
                <w:color w:val="000000"/>
                <w:sz w:val="22"/>
                <w:szCs w:val="22"/>
              </w:rPr>
              <w:t>Equal to the individual member’s State Pension Age - minimum 65</w:t>
            </w:r>
            <w:r w:rsidRPr="00601B12">
              <w:rPr>
                <w:rFonts w:ascii="Arial" w:hAnsi="Arial" w:cs="Arial"/>
                <w:color w:val="000000"/>
                <w:sz w:val="22"/>
                <w:szCs w:val="22"/>
              </w:rPr>
              <w:t xml:space="preserve"> </w:t>
            </w:r>
          </w:p>
        </w:tc>
      </w:tr>
      <w:tr w:rsidR="00D40443" w:rsidRPr="00601B12" w14:paraId="6D16225F" w14:textId="77777777" w:rsidTr="007266DE">
        <w:trPr>
          <w:trHeight w:val="183"/>
        </w:trPr>
        <w:tc>
          <w:tcPr>
            <w:tcW w:w="3118" w:type="dxa"/>
          </w:tcPr>
          <w:p w14:paraId="6D16225D" w14:textId="77777777" w:rsidR="00D40443" w:rsidRPr="00601B12" w:rsidRDefault="00D40443" w:rsidP="00EF47C8">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Contribution Flexibility</w:t>
            </w:r>
          </w:p>
        </w:tc>
        <w:tc>
          <w:tcPr>
            <w:tcW w:w="6379" w:type="dxa"/>
          </w:tcPr>
          <w:p w14:paraId="6D16225E" w14:textId="77777777" w:rsidR="00947D07" w:rsidRPr="00601B12" w:rsidRDefault="00D40443" w:rsidP="0008237B">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Members can opt to pay 50% contributions for 50% of the pension benefit (previously no option)</w:t>
            </w:r>
          </w:p>
        </w:tc>
      </w:tr>
      <w:tr w:rsidR="00D40443" w:rsidRPr="00601B12" w14:paraId="6D162262" w14:textId="77777777" w:rsidTr="007266DE">
        <w:trPr>
          <w:trHeight w:val="114"/>
        </w:trPr>
        <w:tc>
          <w:tcPr>
            <w:tcW w:w="3118" w:type="dxa"/>
          </w:tcPr>
          <w:p w14:paraId="6D162260" w14:textId="77777777" w:rsidR="00D40443" w:rsidRPr="00601B12" w:rsidRDefault="00D40443" w:rsidP="00EF47C8">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Death in Service Lump Sum</w:t>
            </w:r>
          </w:p>
        </w:tc>
        <w:tc>
          <w:tcPr>
            <w:tcW w:w="6379" w:type="dxa"/>
          </w:tcPr>
          <w:p w14:paraId="6D162261" w14:textId="77777777" w:rsidR="00947D07" w:rsidRPr="00601B12" w:rsidRDefault="00D40443" w:rsidP="0008237B">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3 x pensionable pay (no change)</w:t>
            </w:r>
          </w:p>
        </w:tc>
      </w:tr>
      <w:tr w:rsidR="00D40443" w:rsidRPr="00601B12" w14:paraId="6D162265" w14:textId="77777777" w:rsidTr="007266DE">
        <w:trPr>
          <w:trHeight w:val="180"/>
        </w:trPr>
        <w:tc>
          <w:tcPr>
            <w:tcW w:w="3118" w:type="dxa"/>
          </w:tcPr>
          <w:p w14:paraId="6D162263" w14:textId="77777777" w:rsidR="00D40443" w:rsidRPr="00601B12" w:rsidRDefault="00D40443" w:rsidP="00EF47C8">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Definition of Pensionable Pay</w:t>
            </w:r>
          </w:p>
        </w:tc>
        <w:tc>
          <w:tcPr>
            <w:tcW w:w="6379" w:type="dxa"/>
          </w:tcPr>
          <w:p w14:paraId="6D162264" w14:textId="77777777" w:rsidR="00947D07" w:rsidRPr="00601B12" w:rsidRDefault="00D40443" w:rsidP="0008237B">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 xml:space="preserve">Actual pensionable pay to include </w:t>
            </w:r>
            <w:r w:rsidR="005E2371" w:rsidRPr="00601B12">
              <w:rPr>
                <w:rFonts w:ascii="Arial" w:hAnsi="Arial" w:cs="Arial"/>
                <w:color w:val="000000"/>
                <w:sz w:val="22"/>
                <w:szCs w:val="22"/>
              </w:rPr>
              <w:t>non-contractual</w:t>
            </w:r>
            <w:r w:rsidRPr="00601B12">
              <w:rPr>
                <w:rFonts w:ascii="Arial" w:hAnsi="Arial" w:cs="Arial"/>
                <w:color w:val="000000"/>
                <w:sz w:val="22"/>
                <w:szCs w:val="22"/>
              </w:rPr>
              <w:t xml:space="preserve"> overtime and additional hours for part time staff</w:t>
            </w:r>
          </w:p>
        </w:tc>
      </w:tr>
      <w:tr w:rsidR="00D40443" w:rsidRPr="00601B12" w14:paraId="6D162268" w14:textId="77777777" w:rsidTr="007266DE">
        <w:trPr>
          <w:trHeight w:val="160"/>
        </w:trPr>
        <w:tc>
          <w:tcPr>
            <w:tcW w:w="3118" w:type="dxa"/>
          </w:tcPr>
          <w:p w14:paraId="6D162266" w14:textId="77777777" w:rsidR="00947D07" w:rsidRPr="00601B12" w:rsidRDefault="00D40443" w:rsidP="0008237B">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 xml:space="preserve">Vesting Period </w:t>
            </w:r>
          </w:p>
        </w:tc>
        <w:tc>
          <w:tcPr>
            <w:tcW w:w="6379" w:type="dxa"/>
          </w:tcPr>
          <w:p w14:paraId="6D162267" w14:textId="77777777" w:rsidR="00D40443" w:rsidRPr="00601B12" w:rsidRDefault="00D40443" w:rsidP="00EF47C8">
            <w:pPr>
              <w:pStyle w:val="NormalWeb"/>
              <w:shd w:val="clear" w:color="auto" w:fill="F9F9F9"/>
              <w:spacing w:before="0" w:beforeAutospacing="0" w:after="0" w:afterAutospacing="0"/>
              <w:ind w:left="33" w:hanging="33"/>
              <w:rPr>
                <w:rFonts w:ascii="Arial" w:hAnsi="Arial" w:cs="Arial"/>
                <w:color w:val="000000"/>
              </w:rPr>
            </w:pPr>
            <w:r w:rsidRPr="00601B12">
              <w:rPr>
                <w:rFonts w:ascii="Arial" w:hAnsi="Arial" w:cs="Arial"/>
                <w:color w:val="000000"/>
                <w:sz w:val="22"/>
                <w:szCs w:val="22"/>
              </w:rPr>
              <w:t>2 years (previously 3 months)</w:t>
            </w:r>
          </w:p>
        </w:tc>
      </w:tr>
    </w:tbl>
    <w:p w14:paraId="6D162269" w14:textId="77777777" w:rsidR="00362F49" w:rsidRPr="00601B12" w:rsidRDefault="00EF47C8"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p>
    <w:p w14:paraId="6D16226A" w14:textId="77777777" w:rsidR="00D40443" w:rsidRPr="00601B12" w:rsidRDefault="00D40443" w:rsidP="0053060B">
      <w:pPr>
        <w:autoSpaceDE w:val="0"/>
        <w:autoSpaceDN w:val="0"/>
        <w:adjustRightInd w:val="0"/>
        <w:ind w:left="426"/>
        <w:jc w:val="both"/>
        <w:rPr>
          <w:rFonts w:ascii="Arial" w:hAnsi="Arial" w:cs="Arial"/>
          <w:color w:val="000000"/>
          <w:sz w:val="22"/>
          <w:szCs w:val="22"/>
        </w:rPr>
      </w:pPr>
      <w:r w:rsidRPr="00601B12">
        <w:rPr>
          <w:rFonts w:ascii="Arial" w:hAnsi="Arial" w:cs="Arial"/>
          <w:color w:val="000000"/>
          <w:sz w:val="22"/>
          <w:szCs w:val="22"/>
        </w:rPr>
        <w:t xml:space="preserve">The contribution bandings </w:t>
      </w:r>
      <w:r w:rsidR="00D02C57" w:rsidRPr="00601B12">
        <w:rPr>
          <w:rFonts w:ascii="Arial" w:hAnsi="Arial" w:cs="Arial"/>
          <w:color w:val="000000"/>
          <w:sz w:val="22"/>
          <w:szCs w:val="22"/>
        </w:rPr>
        <w:t>are</w:t>
      </w:r>
      <w:r w:rsidRPr="00601B12">
        <w:rPr>
          <w:rFonts w:ascii="Arial" w:hAnsi="Arial" w:cs="Arial"/>
          <w:color w:val="000000"/>
          <w:sz w:val="22"/>
          <w:szCs w:val="22"/>
        </w:rPr>
        <w:t xml:space="preserve"> summarised in table </w:t>
      </w:r>
      <w:r w:rsidR="00D02C57" w:rsidRPr="00601B12">
        <w:rPr>
          <w:rFonts w:ascii="Arial" w:hAnsi="Arial" w:cs="Arial"/>
          <w:color w:val="000000"/>
          <w:sz w:val="22"/>
          <w:szCs w:val="22"/>
        </w:rPr>
        <w:t>3</w:t>
      </w:r>
      <w:r w:rsidRPr="00601B12">
        <w:rPr>
          <w:rFonts w:ascii="Arial" w:hAnsi="Arial" w:cs="Arial"/>
          <w:color w:val="000000"/>
          <w:sz w:val="22"/>
          <w:szCs w:val="22"/>
        </w:rPr>
        <w:t xml:space="preserve"> below:</w:t>
      </w:r>
    </w:p>
    <w:p w14:paraId="6D16226B" w14:textId="77777777" w:rsidR="00442591" w:rsidRPr="00601B12" w:rsidRDefault="00442591" w:rsidP="00EF47C8">
      <w:pPr>
        <w:autoSpaceDE w:val="0"/>
        <w:autoSpaceDN w:val="0"/>
        <w:adjustRightInd w:val="0"/>
        <w:ind w:left="426" w:hanging="426"/>
        <w:jc w:val="both"/>
        <w:rPr>
          <w:rFonts w:ascii="Arial" w:hAnsi="Arial" w:cs="Arial"/>
          <w:color w:val="000000"/>
          <w:sz w:val="22"/>
          <w:szCs w:val="22"/>
        </w:rPr>
      </w:pPr>
    </w:p>
    <w:p w14:paraId="6D16226C" w14:textId="336B0839" w:rsidR="00111983" w:rsidRPr="009F2830" w:rsidRDefault="00442591" w:rsidP="0053060B">
      <w:pPr>
        <w:autoSpaceDE w:val="0"/>
        <w:autoSpaceDN w:val="0"/>
        <w:adjustRightInd w:val="0"/>
        <w:ind w:left="426"/>
        <w:jc w:val="both"/>
        <w:rPr>
          <w:rFonts w:ascii="Arial" w:hAnsi="Arial" w:cs="Arial"/>
          <w:color w:val="000000"/>
          <w:sz w:val="22"/>
          <w:szCs w:val="22"/>
        </w:rPr>
      </w:pPr>
      <w:r w:rsidRPr="009F2830">
        <w:rPr>
          <w:rFonts w:ascii="Arial" w:hAnsi="Arial" w:cs="Arial"/>
          <w:b/>
          <w:bCs/>
          <w:color w:val="000000"/>
          <w:sz w:val="22"/>
          <w:szCs w:val="22"/>
        </w:rPr>
        <w:t xml:space="preserve">Table 3 Contribution Bands and Rates for </w:t>
      </w:r>
      <w:r w:rsidR="00F22964" w:rsidRPr="009F2830">
        <w:rPr>
          <w:rFonts w:ascii="Arial" w:hAnsi="Arial" w:cs="Arial"/>
          <w:b/>
          <w:bCs/>
          <w:color w:val="000000"/>
          <w:sz w:val="22"/>
          <w:szCs w:val="22"/>
        </w:rPr>
        <w:t>202</w:t>
      </w:r>
      <w:r w:rsidR="00B2524E">
        <w:rPr>
          <w:rFonts w:ascii="Arial" w:hAnsi="Arial" w:cs="Arial"/>
          <w:b/>
          <w:bCs/>
          <w:color w:val="000000"/>
          <w:sz w:val="22"/>
          <w:szCs w:val="22"/>
        </w:rPr>
        <w:t>1/22</w:t>
      </w:r>
    </w:p>
    <w:tbl>
      <w:tblPr>
        <w:tblW w:w="9434" w:type="dxa"/>
        <w:tblInd w:w="45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875"/>
        <w:gridCol w:w="1449"/>
        <w:gridCol w:w="1213"/>
        <w:gridCol w:w="2241"/>
        <w:gridCol w:w="1443"/>
        <w:gridCol w:w="1213"/>
      </w:tblGrid>
      <w:tr w:rsidR="001323CA" w:rsidRPr="009F2830" w14:paraId="6D162273" w14:textId="77777777" w:rsidTr="00AB26ED">
        <w:trPr>
          <w:trHeight w:val="565"/>
        </w:trPr>
        <w:tc>
          <w:tcPr>
            <w:tcW w:w="1875" w:type="dxa"/>
            <w:tcBorders>
              <w:top w:val="single" w:sz="4" w:space="0" w:color="auto"/>
              <w:left w:val="single" w:sz="4" w:space="0" w:color="auto"/>
              <w:bottom w:val="single" w:sz="4" w:space="0" w:color="auto"/>
              <w:right w:val="single" w:sz="4" w:space="0" w:color="auto"/>
            </w:tcBorders>
            <w:shd w:val="clear" w:color="auto" w:fill="FF0000"/>
          </w:tcPr>
          <w:p w14:paraId="6D16226D" w14:textId="486EA1AA" w:rsidR="001323CA" w:rsidRPr="009F2830" w:rsidRDefault="001323CA" w:rsidP="001323CA">
            <w:pPr>
              <w:autoSpaceDE w:val="0"/>
              <w:autoSpaceDN w:val="0"/>
              <w:adjustRightInd w:val="0"/>
              <w:jc w:val="center"/>
              <w:rPr>
                <w:rFonts w:ascii="Arial" w:hAnsi="Arial" w:cs="Arial"/>
                <w:b/>
                <w:bCs/>
                <w:color w:val="FFFFFF" w:themeColor="background1"/>
                <w:sz w:val="22"/>
                <w:szCs w:val="22"/>
              </w:rPr>
            </w:pPr>
            <w:bookmarkStart w:id="2" w:name="_Hlk14349864"/>
            <w:r w:rsidRPr="009F2830">
              <w:rPr>
                <w:rFonts w:ascii="Arial" w:hAnsi="Arial" w:cs="Arial"/>
                <w:b/>
                <w:bCs/>
                <w:color w:val="FFFFFF" w:themeColor="background1"/>
                <w:sz w:val="22"/>
                <w:szCs w:val="22"/>
              </w:rPr>
              <w:t>Actual Pensionable Pay</w:t>
            </w:r>
          </w:p>
        </w:tc>
        <w:tc>
          <w:tcPr>
            <w:tcW w:w="1449" w:type="dxa"/>
            <w:tcBorders>
              <w:top w:val="single" w:sz="4" w:space="0" w:color="auto"/>
              <w:left w:val="single" w:sz="4" w:space="0" w:color="auto"/>
              <w:bottom w:val="single" w:sz="4" w:space="0" w:color="auto"/>
              <w:right w:val="single" w:sz="4" w:space="0" w:color="auto"/>
            </w:tcBorders>
            <w:shd w:val="clear" w:color="auto" w:fill="FF0000"/>
          </w:tcPr>
          <w:p w14:paraId="6D16226E" w14:textId="517D61E0" w:rsidR="001323CA" w:rsidRPr="009F2830" w:rsidRDefault="001323CA" w:rsidP="001323CA">
            <w:pPr>
              <w:autoSpaceDE w:val="0"/>
              <w:autoSpaceDN w:val="0"/>
              <w:adjustRightInd w:val="0"/>
              <w:jc w:val="center"/>
              <w:rPr>
                <w:rFonts w:ascii="Arial" w:hAnsi="Arial" w:cs="Arial"/>
                <w:b/>
                <w:bCs/>
                <w:color w:val="FFFFFF" w:themeColor="background1"/>
                <w:sz w:val="22"/>
                <w:szCs w:val="22"/>
              </w:rPr>
            </w:pPr>
            <w:r w:rsidRPr="009F2830">
              <w:rPr>
                <w:rFonts w:ascii="Arial" w:hAnsi="Arial" w:cs="Arial"/>
                <w:b/>
                <w:bCs/>
                <w:color w:val="FFFFFF" w:themeColor="background1"/>
                <w:sz w:val="22"/>
                <w:szCs w:val="22"/>
              </w:rPr>
              <w:t>Main Contribution</w:t>
            </w:r>
          </w:p>
        </w:tc>
        <w:tc>
          <w:tcPr>
            <w:tcW w:w="1213" w:type="dxa"/>
            <w:tcBorders>
              <w:top w:val="single" w:sz="4" w:space="0" w:color="auto"/>
              <w:left w:val="single" w:sz="4" w:space="0" w:color="auto"/>
              <w:bottom w:val="single" w:sz="4" w:space="0" w:color="auto"/>
              <w:right w:val="single" w:sz="4" w:space="0" w:color="auto"/>
            </w:tcBorders>
            <w:shd w:val="clear" w:color="auto" w:fill="FF0000"/>
          </w:tcPr>
          <w:p w14:paraId="6D16226F" w14:textId="4C82B964" w:rsidR="001323CA" w:rsidRPr="009F2830" w:rsidRDefault="001323CA" w:rsidP="001323CA">
            <w:pPr>
              <w:autoSpaceDE w:val="0"/>
              <w:autoSpaceDN w:val="0"/>
              <w:adjustRightInd w:val="0"/>
              <w:jc w:val="center"/>
              <w:rPr>
                <w:rFonts w:ascii="Arial" w:hAnsi="Arial" w:cs="Arial"/>
                <w:b/>
                <w:bCs/>
                <w:color w:val="FFFFFF" w:themeColor="background1"/>
                <w:sz w:val="22"/>
                <w:szCs w:val="22"/>
              </w:rPr>
            </w:pPr>
            <w:r w:rsidRPr="009F2830">
              <w:rPr>
                <w:rFonts w:ascii="Arial" w:hAnsi="Arial" w:cs="Arial"/>
                <w:b/>
                <w:bCs/>
                <w:color w:val="FFFFFF" w:themeColor="background1"/>
                <w:sz w:val="22"/>
                <w:szCs w:val="22"/>
              </w:rPr>
              <w:t>50/50 Section</w:t>
            </w:r>
          </w:p>
        </w:tc>
        <w:tc>
          <w:tcPr>
            <w:tcW w:w="2241" w:type="dxa"/>
            <w:tcBorders>
              <w:top w:val="single" w:sz="4" w:space="0" w:color="auto"/>
              <w:left w:val="single" w:sz="4" w:space="0" w:color="auto"/>
              <w:bottom w:val="single" w:sz="4" w:space="0" w:color="auto"/>
              <w:right w:val="single" w:sz="4" w:space="0" w:color="auto"/>
            </w:tcBorders>
            <w:shd w:val="clear" w:color="auto" w:fill="FF0000"/>
          </w:tcPr>
          <w:p w14:paraId="6D162270" w14:textId="3151CC1F" w:rsidR="001323CA" w:rsidRPr="009F2830" w:rsidRDefault="001323CA" w:rsidP="001323CA">
            <w:pPr>
              <w:autoSpaceDE w:val="0"/>
              <w:autoSpaceDN w:val="0"/>
              <w:adjustRightInd w:val="0"/>
              <w:jc w:val="center"/>
              <w:rPr>
                <w:rFonts w:ascii="Arial" w:hAnsi="Arial" w:cs="Arial"/>
                <w:b/>
                <w:bCs/>
                <w:color w:val="FFFFFF" w:themeColor="background1"/>
                <w:sz w:val="22"/>
                <w:szCs w:val="22"/>
              </w:rPr>
            </w:pPr>
            <w:r w:rsidRPr="009F2830">
              <w:rPr>
                <w:rFonts w:ascii="Arial" w:hAnsi="Arial" w:cs="Arial"/>
                <w:b/>
                <w:bCs/>
                <w:color w:val="FFFFFF" w:themeColor="background1"/>
                <w:sz w:val="22"/>
                <w:szCs w:val="22"/>
              </w:rPr>
              <w:t>Actual Pensionable Pay</w:t>
            </w:r>
          </w:p>
        </w:tc>
        <w:tc>
          <w:tcPr>
            <w:tcW w:w="1443" w:type="dxa"/>
            <w:tcBorders>
              <w:top w:val="single" w:sz="4" w:space="0" w:color="auto"/>
              <w:left w:val="single" w:sz="4" w:space="0" w:color="auto"/>
              <w:bottom w:val="single" w:sz="4" w:space="0" w:color="auto"/>
              <w:right w:val="single" w:sz="4" w:space="0" w:color="auto"/>
            </w:tcBorders>
            <w:shd w:val="clear" w:color="auto" w:fill="FF0000"/>
          </w:tcPr>
          <w:p w14:paraId="6D162271" w14:textId="5AFB3C07" w:rsidR="001323CA" w:rsidRPr="009F2830" w:rsidRDefault="001323CA" w:rsidP="001323CA">
            <w:pPr>
              <w:autoSpaceDE w:val="0"/>
              <w:autoSpaceDN w:val="0"/>
              <w:adjustRightInd w:val="0"/>
              <w:jc w:val="center"/>
              <w:rPr>
                <w:rFonts w:ascii="Arial" w:hAnsi="Arial" w:cs="Arial"/>
                <w:b/>
                <w:bCs/>
                <w:color w:val="FFFFFF" w:themeColor="background1"/>
                <w:sz w:val="22"/>
                <w:szCs w:val="22"/>
              </w:rPr>
            </w:pPr>
            <w:r w:rsidRPr="009F2830">
              <w:rPr>
                <w:rFonts w:ascii="Arial" w:hAnsi="Arial" w:cs="Arial"/>
                <w:b/>
                <w:bCs/>
                <w:color w:val="FFFFFF" w:themeColor="background1"/>
                <w:sz w:val="22"/>
                <w:szCs w:val="22"/>
              </w:rPr>
              <w:t>Main Contribution</w:t>
            </w:r>
          </w:p>
        </w:tc>
        <w:tc>
          <w:tcPr>
            <w:tcW w:w="1213" w:type="dxa"/>
            <w:tcBorders>
              <w:top w:val="single" w:sz="4" w:space="0" w:color="auto"/>
              <w:left w:val="single" w:sz="4" w:space="0" w:color="auto"/>
              <w:bottom w:val="single" w:sz="4" w:space="0" w:color="auto"/>
              <w:right w:val="single" w:sz="4" w:space="0" w:color="auto"/>
            </w:tcBorders>
            <w:shd w:val="clear" w:color="auto" w:fill="FF0000"/>
          </w:tcPr>
          <w:p w14:paraId="6D162272" w14:textId="315B02ED" w:rsidR="001323CA" w:rsidRPr="009F2830" w:rsidRDefault="001323CA" w:rsidP="001323CA">
            <w:pPr>
              <w:autoSpaceDE w:val="0"/>
              <w:autoSpaceDN w:val="0"/>
              <w:adjustRightInd w:val="0"/>
              <w:jc w:val="center"/>
              <w:rPr>
                <w:rFonts w:ascii="Arial" w:hAnsi="Arial" w:cs="Arial"/>
                <w:b/>
                <w:bCs/>
                <w:color w:val="FFFFFF" w:themeColor="background1"/>
                <w:sz w:val="22"/>
                <w:szCs w:val="22"/>
              </w:rPr>
            </w:pPr>
            <w:r w:rsidRPr="009F2830">
              <w:rPr>
                <w:rFonts w:ascii="Arial" w:hAnsi="Arial" w:cs="Arial"/>
                <w:b/>
                <w:bCs/>
                <w:color w:val="FFFFFF" w:themeColor="background1"/>
                <w:sz w:val="22"/>
                <w:szCs w:val="22"/>
              </w:rPr>
              <w:t>50/50 Section</w:t>
            </w:r>
          </w:p>
        </w:tc>
      </w:tr>
      <w:tr w:rsidR="001323CA" w:rsidRPr="009F2830" w14:paraId="6D16227A" w14:textId="77777777" w:rsidTr="00AB26ED">
        <w:trPr>
          <w:trHeight w:val="186"/>
        </w:trPr>
        <w:tc>
          <w:tcPr>
            <w:tcW w:w="1875" w:type="dxa"/>
            <w:tcBorders>
              <w:top w:val="single" w:sz="4" w:space="0" w:color="auto"/>
              <w:left w:val="single" w:sz="4" w:space="0" w:color="auto"/>
              <w:bottom w:val="single" w:sz="4" w:space="0" w:color="auto"/>
              <w:right w:val="single" w:sz="4" w:space="0" w:color="auto"/>
            </w:tcBorders>
          </w:tcPr>
          <w:p w14:paraId="6D162274" w14:textId="157CC686" w:rsidR="001323CA" w:rsidRPr="009F2830" w:rsidRDefault="001323CA" w:rsidP="001323CA">
            <w:pPr>
              <w:autoSpaceDE w:val="0"/>
              <w:autoSpaceDN w:val="0"/>
              <w:adjustRightInd w:val="0"/>
              <w:jc w:val="center"/>
              <w:rPr>
                <w:rFonts w:ascii="Arial" w:hAnsi="Arial" w:cs="Arial"/>
                <w:sz w:val="22"/>
                <w:szCs w:val="22"/>
              </w:rPr>
            </w:pPr>
            <w:r w:rsidRPr="009F2830">
              <w:rPr>
                <w:rFonts w:ascii="Arial" w:hAnsi="Arial" w:cs="Arial"/>
                <w:sz w:val="22"/>
                <w:szCs w:val="22"/>
              </w:rPr>
              <w:t>Up to £14,600</w:t>
            </w:r>
          </w:p>
        </w:tc>
        <w:tc>
          <w:tcPr>
            <w:tcW w:w="1449" w:type="dxa"/>
            <w:tcBorders>
              <w:top w:val="single" w:sz="4" w:space="0" w:color="auto"/>
              <w:left w:val="single" w:sz="4" w:space="0" w:color="auto"/>
              <w:bottom w:val="single" w:sz="4" w:space="0" w:color="auto"/>
              <w:right w:val="single" w:sz="4" w:space="0" w:color="auto"/>
            </w:tcBorders>
          </w:tcPr>
          <w:p w14:paraId="6D162275" w14:textId="09893CF3"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5.50%</w:t>
            </w:r>
          </w:p>
        </w:tc>
        <w:tc>
          <w:tcPr>
            <w:tcW w:w="1213" w:type="dxa"/>
            <w:tcBorders>
              <w:top w:val="single" w:sz="4" w:space="0" w:color="auto"/>
              <w:left w:val="single" w:sz="4" w:space="0" w:color="auto"/>
              <w:bottom w:val="single" w:sz="4" w:space="0" w:color="auto"/>
              <w:right w:val="single" w:sz="4" w:space="0" w:color="auto"/>
            </w:tcBorders>
          </w:tcPr>
          <w:p w14:paraId="6D162276" w14:textId="59B45344"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2.75%</w:t>
            </w:r>
          </w:p>
        </w:tc>
        <w:tc>
          <w:tcPr>
            <w:tcW w:w="2241" w:type="dxa"/>
            <w:tcBorders>
              <w:top w:val="single" w:sz="4" w:space="0" w:color="auto"/>
              <w:left w:val="single" w:sz="4" w:space="0" w:color="auto"/>
              <w:bottom w:val="single" w:sz="4" w:space="0" w:color="auto"/>
              <w:right w:val="single" w:sz="4" w:space="0" w:color="auto"/>
            </w:tcBorders>
          </w:tcPr>
          <w:p w14:paraId="6D162277" w14:textId="226B6CF6" w:rsidR="001323CA" w:rsidRPr="009F2830" w:rsidRDefault="001323CA" w:rsidP="001323CA">
            <w:pPr>
              <w:autoSpaceDE w:val="0"/>
              <w:autoSpaceDN w:val="0"/>
              <w:adjustRightInd w:val="0"/>
              <w:jc w:val="center"/>
              <w:rPr>
                <w:rFonts w:ascii="Arial" w:hAnsi="Arial" w:cs="Arial"/>
                <w:sz w:val="22"/>
                <w:szCs w:val="22"/>
              </w:rPr>
            </w:pPr>
            <w:r w:rsidRPr="009F2830">
              <w:rPr>
                <w:rFonts w:ascii="Arial" w:hAnsi="Arial" w:cs="Arial"/>
                <w:sz w:val="22"/>
                <w:szCs w:val="22"/>
              </w:rPr>
              <w:t>£65,</w:t>
            </w:r>
            <w:r w:rsidR="00D26C08">
              <w:rPr>
                <w:rFonts w:ascii="Arial" w:hAnsi="Arial" w:cs="Arial"/>
                <w:sz w:val="22"/>
                <w:szCs w:val="22"/>
              </w:rPr>
              <w:t>9</w:t>
            </w:r>
            <w:r w:rsidRPr="009F2830">
              <w:rPr>
                <w:rFonts w:ascii="Arial" w:hAnsi="Arial" w:cs="Arial"/>
                <w:sz w:val="22"/>
                <w:szCs w:val="22"/>
              </w:rPr>
              <w:t>01 - £93,</w:t>
            </w:r>
            <w:r w:rsidR="002F5C1F">
              <w:rPr>
                <w:rFonts w:ascii="Arial" w:hAnsi="Arial" w:cs="Arial"/>
                <w:sz w:val="22"/>
                <w:szCs w:val="22"/>
              </w:rPr>
              <w:t>4</w:t>
            </w:r>
            <w:r w:rsidRPr="009F2830">
              <w:rPr>
                <w:rFonts w:ascii="Arial" w:hAnsi="Arial" w:cs="Arial"/>
                <w:sz w:val="22"/>
                <w:szCs w:val="22"/>
              </w:rPr>
              <w:t>00</w:t>
            </w:r>
          </w:p>
        </w:tc>
        <w:tc>
          <w:tcPr>
            <w:tcW w:w="1443" w:type="dxa"/>
            <w:tcBorders>
              <w:top w:val="single" w:sz="4" w:space="0" w:color="auto"/>
              <w:left w:val="single" w:sz="4" w:space="0" w:color="auto"/>
              <w:bottom w:val="single" w:sz="4" w:space="0" w:color="auto"/>
              <w:right w:val="single" w:sz="4" w:space="0" w:color="auto"/>
            </w:tcBorders>
          </w:tcPr>
          <w:p w14:paraId="6D162278" w14:textId="6790D599"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9.90%</w:t>
            </w:r>
          </w:p>
        </w:tc>
        <w:tc>
          <w:tcPr>
            <w:tcW w:w="1213" w:type="dxa"/>
            <w:tcBorders>
              <w:top w:val="single" w:sz="4" w:space="0" w:color="auto"/>
              <w:left w:val="single" w:sz="4" w:space="0" w:color="auto"/>
              <w:bottom w:val="single" w:sz="4" w:space="0" w:color="auto"/>
              <w:right w:val="single" w:sz="4" w:space="0" w:color="auto"/>
            </w:tcBorders>
          </w:tcPr>
          <w:p w14:paraId="6D162279" w14:textId="73531E3A"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4.95%</w:t>
            </w:r>
          </w:p>
        </w:tc>
      </w:tr>
      <w:tr w:rsidR="001323CA" w:rsidRPr="009F2830" w14:paraId="6D162281" w14:textId="77777777" w:rsidTr="00AB26ED">
        <w:trPr>
          <w:trHeight w:val="70"/>
        </w:trPr>
        <w:tc>
          <w:tcPr>
            <w:tcW w:w="1875" w:type="dxa"/>
            <w:tcBorders>
              <w:top w:val="single" w:sz="4" w:space="0" w:color="auto"/>
              <w:left w:val="single" w:sz="4" w:space="0" w:color="auto"/>
              <w:bottom w:val="single" w:sz="4" w:space="0" w:color="auto"/>
              <w:right w:val="single" w:sz="4" w:space="0" w:color="auto"/>
            </w:tcBorders>
          </w:tcPr>
          <w:p w14:paraId="6D16227B" w14:textId="1B7D8335" w:rsidR="001323CA" w:rsidRPr="009F2830" w:rsidRDefault="001323CA" w:rsidP="001323CA">
            <w:pPr>
              <w:autoSpaceDE w:val="0"/>
              <w:autoSpaceDN w:val="0"/>
              <w:adjustRightInd w:val="0"/>
              <w:jc w:val="center"/>
              <w:rPr>
                <w:rFonts w:ascii="Arial" w:hAnsi="Arial" w:cs="Arial"/>
                <w:sz w:val="22"/>
                <w:szCs w:val="22"/>
              </w:rPr>
            </w:pPr>
            <w:r w:rsidRPr="009F2830">
              <w:rPr>
                <w:rFonts w:ascii="Arial" w:hAnsi="Arial" w:cs="Arial"/>
                <w:sz w:val="22"/>
                <w:szCs w:val="22"/>
              </w:rPr>
              <w:t>£14,601 - £22,</w:t>
            </w:r>
            <w:r w:rsidR="00416C41">
              <w:rPr>
                <w:rFonts w:ascii="Arial" w:hAnsi="Arial" w:cs="Arial"/>
                <w:sz w:val="22"/>
                <w:szCs w:val="22"/>
              </w:rPr>
              <w:t>9</w:t>
            </w:r>
            <w:r w:rsidRPr="009F2830">
              <w:rPr>
                <w:rFonts w:ascii="Arial" w:hAnsi="Arial" w:cs="Arial"/>
                <w:sz w:val="22"/>
                <w:szCs w:val="22"/>
              </w:rPr>
              <w:t>00</w:t>
            </w:r>
          </w:p>
        </w:tc>
        <w:tc>
          <w:tcPr>
            <w:tcW w:w="1449" w:type="dxa"/>
            <w:tcBorders>
              <w:top w:val="single" w:sz="4" w:space="0" w:color="auto"/>
              <w:left w:val="single" w:sz="4" w:space="0" w:color="auto"/>
              <w:bottom w:val="single" w:sz="4" w:space="0" w:color="auto"/>
              <w:right w:val="single" w:sz="4" w:space="0" w:color="auto"/>
            </w:tcBorders>
          </w:tcPr>
          <w:p w14:paraId="6D16227C" w14:textId="70A45A27"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5.80%</w:t>
            </w:r>
          </w:p>
        </w:tc>
        <w:tc>
          <w:tcPr>
            <w:tcW w:w="1213" w:type="dxa"/>
            <w:tcBorders>
              <w:top w:val="single" w:sz="4" w:space="0" w:color="auto"/>
              <w:left w:val="single" w:sz="4" w:space="0" w:color="auto"/>
              <w:bottom w:val="single" w:sz="4" w:space="0" w:color="auto"/>
              <w:right w:val="single" w:sz="4" w:space="0" w:color="auto"/>
            </w:tcBorders>
          </w:tcPr>
          <w:p w14:paraId="6D16227D" w14:textId="289A746D"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2.90%</w:t>
            </w:r>
          </w:p>
        </w:tc>
        <w:tc>
          <w:tcPr>
            <w:tcW w:w="2241" w:type="dxa"/>
            <w:tcBorders>
              <w:top w:val="single" w:sz="4" w:space="0" w:color="auto"/>
              <w:left w:val="single" w:sz="4" w:space="0" w:color="auto"/>
              <w:bottom w:val="single" w:sz="4" w:space="0" w:color="auto"/>
              <w:right w:val="single" w:sz="4" w:space="0" w:color="auto"/>
            </w:tcBorders>
          </w:tcPr>
          <w:p w14:paraId="6D16227E" w14:textId="5B853A00" w:rsidR="001323CA" w:rsidRPr="009F2830" w:rsidRDefault="001323CA" w:rsidP="001323CA">
            <w:pPr>
              <w:autoSpaceDE w:val="0"/>
              <w:autoSpaceDN w:val="0"/>
              <w:adjustRightInd w:val="0"/>
              <w:jc w:val="center"/>
              <w:rPr>
                <w:rFonts w:ascii="Arial" w:hAnsi="Arial" w:cs="Arial"/>
                <w:sz w:val="22"/>
                <w:szCs w:val="22"/>
              </w:rPr>
            </w:pPr>
            <w:r w:rsidRPr="009F2830">
              <w:rPr>
                <w:rFonts w:ascii="Arial" w:hAnsi="Arial" w:cs="Arial"/>
                <w:sz w:val="22"/>
                <w:szCs w:val="22"/>
              </w:rPr>
              <w:t>£93,</w:t>
            </w:r>
            <w:r w:rsidR="002F5C1F">
              <w:rPr>
                <w:rFonts w:ascii="Arial" w:hAnsi="Arial" w:cs="Arial"/>
                <w:sz w:val="22"/>
                <w:szCs w:val="22"/>
              </w:rPr>
              <w:t>4</w:t>
            </w:r>
            <w:r w:rsidRPr="009F2830">
              <w:rPr>
                <w:rFonts w:ascii="Arial" w:hAnsi="Arial" w:cs="Arial"/>
                <w:sz w:val="22"/>
                <w:szCs w:val="22"/>
              </w:rPr>
              <w:t>01 - £1</w:t>
            </w:r>
            <w:r w:rsidR="00D86177">
              <w:rPr>
                <w:rFonts w:ascii="Arial" w:hAnsi="Arial" w:cs="Arial"/>
                <w:sz w:val="22"/>
                <w:szCs w:val="22"/>
              </w:rPr>
              <w:t>10</w:t>
            </w:r>
            <w:r w:rsidRPr="009F2830">
              <w:rPr>
                <w:rFonts w:ascii="Arial" w:hAnsi="Arial" w:cs="Arial"/>
                <w:sz w:val="22"/>
                <w:szCs w:val="22"/>
              </w:rPr>
              <w:t>,</w:t>
            </w:r>
            <w:r w:rsidR="00D86177">
              <w:rPr>
                <w:rFonts w:ascii="Arial" w:hAnsi="Arial" w:cs="Arial"/>
                <w:sz w:val="22"/>
                <w:szCs w:val="22"/>
              </w:rPr>
              <w:t>0</w:t>
            </w:r>
            <w:r w:rsidRPr="009F2830">
              <w:rPr>
                <w:rFonts w:ascii="Arial" w:hAnsi="Arial" w:cs="Arial"/>
                <w:sz w:val="22"/>
                <w:szCs w:val="22"/>
              </w:rPr>
              <w:t>00</w:t>
            </w:r>
          </w:p>
        </w:tc>
        <w:tc>
          <w:tcPr>
            <w:tcW w:w="1443" w:type="dxa"/>
            <w:tcBorders>
              <w:top w:val="single" w:sz="4" w:space="0" w:color="auto"/>
              <w:left w:val="single" w:sz="4" w:space="0" w:color="auto"/>
              <w:bottom w:val="single" w:sz="4" w:space="0" w:color="auto"/>
              <w:right w:val="single" w:sz="4" w:space="0" w:color="auto"/>
            </w:tcBorders>
          </w:tcPr>
          <w:p w14:paraId="6D16227F" w14:textId="6FDE7ED0"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10.50%</w:t>
            </w:r>
          </w:p>
        </w:tc>
        <w:tc>
          <w:tcPr>
            <w:tcW w:w="1213" w:type="dxa"/>
            <w:tcBorders>
              <w:top w:val="single" w:sz="4" w:space="0" w:color="auto"/>
              <w:left w:val="single" w:sz="4" w:space="0" w:color="auto"/>
              <w:bottom w:val="single" w:sz="4" w:space="0" w:color="auto"/>
              <w:right w:val="single" w:sz="4" w:space="0" w:color="auto"/>
            </w:tcBorders>
          </w:tcPr>
          <w:p w14:paraId="6D162280" w14:textId="21AB10D5"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5.25%</w:t>
            </w:r>
          </w:p>
        </w:tc>
      </w:tr>
      <w:tr w:rsidR="001323CA" w:rsidRPr="009F2830" w14:paraId="6D162288" w14:textId="77777777" w:rsidTr="00AB26ED">
        <w:trPr>
          <w:trHeight w:val="274"/>
        </w:trPr>
        <w:tc>
          <w:tcPr>
            <w:tcW w:w="1875" w:type="dxa"/>
            <w:tcBorders>
              <w:top w:val="single" w:sz="4" w:space="0" w:color="auto"/>
              <w:left w:val="single" w:sz="4" w:space="0" w:color="auto"/>
              <w:bottom w:val="single" w:sz="4" w:space="0" w:color="auto"/>
              <w:right w:val="single" w:sz="4" w:space="0" w:color="auto"/>
            </w:tcBorders>
          </w:tcPr>
          <w:p w14:paraId="6D162282" w14:textId="3AD163E2" w:rsidR="001323CA" w:rsidRPr="009F2830" w:rsidRDefault="001323CA" w:rsidP="001323CA">
            <w:pPr>
              <w:autoSpaceDE w:val="0"/>
              <w:autoSpaceDN w:val="0"/>
              <w:adjustRightInd w:val="0"/>
              <w:jc w:val="center"/>
              <w:rPr>
                <w:rFonts w:ascii="Arial" w:hAnsi="Arial" w:cs="Arial"/>
                <w:sz w:val="22"/>
                <w:szCs w:val="22"/>
              </w:rPr>
            </w:pPr>
            <w:r w:rsidRPr="009F2830">
              <w:rPr>
                <w:rFonts w:ascii="Arial" w:hAnsi="Arial" w:cs="Arial"/>
                <w:sz w:val="22"/>
                <w:szCs w:val="22"/>
              </w:rPr>
              <w:t>£22,</w:t>
            </w:r>
            <w:r w:rsidR="00C84238">
              <w:rPr>
                <w:rFonts w:ascii="Arial" w:hAnsi="Arial" w:cs="Arial"/>
                <w:sz w:val="22"/>
                <w:szCs w:val="22"/>
              </w:rPr>
              <w:t>9</w:t>
            </w:r>
            <w:r w:rsidRPr="009F2830">
              <w:rPr>
                <w:rFonts w:ascii="Arial" w:hAnsi="Arial" w:cs="Arial"/>
                <w:sz w:val="22"/>
                <w:szCs w:val="22"/>
              </w:rPr>
              <w:t>01 - £37,</w:t>
            </w:r>
            <w:r w:rsidR="00966223">
              <w:rPr>
                <w:rFonts w:ascii="Arial" w:hAnsi="Arial" w:cs="Arial"/>
                <w:sz w:val="22"/>
                <w:szCs w:val="22"/>
              </w:rPr>
              <w:t>2</w:t>
            </w:r>
            <w:r w:rsidRPr="009F2830">
              <w:rPr>
                <w:rFonts w:ascii="Arial" w:hAnsi="Arial" w:cs="Arial"/>
                <w:sz w:val="22"/>
                <w:szCs w:val="22"/>
              </w:rPr>
              <w:t>00</w:t>
            </w:r>
          </w:p>
        </w:tc>
        <w:tc>
          <w:tcPr>
            <w:tcW w:w="1449" w:type="dxa"/>
            <w:tcBorders>
              <w:top w:val="single" w:sz="4" w:space="0" w:color="auto"/>
              <w:left w:val="single" w:sz="4" w:space="0" w:color="auto"/>
              <w:bottom w:val="single" w:sz="4" w:space="0" w:color="auto"/>
              <w:right w:val="single" w:sz="4" w:space="0" w:color="auto"/>
            </w:tcBorders>
          </w:tcPr>
          <w:p w14:paraId="6D162283" w14:textId="5E05667C"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6.50%</w:t>
            </w:r>
          </w:p>
        </w:tc>
        <w:tc>
          <w:tcPr>
            <w:tcW w:w="1213" w:type="dxa"/>
            <w:tcBorders>
              <w:top w:val="single" w:sz="4" w:space="0" w:color="auto"/>
              <w:left w:val="single" w:sz="4" w:space="0" w:color="auto"/>
              <w:bottom w:val="single" w:sz="4" w:space="0" w:color="auto"/>
              <w:right w:val="single" w:sz="4" w:space="0" w:color="auto"/>
            </w:tcBorders>
          </w:tcPr>
          <w:p w14:paraId="6D162284" w14:textId="0B729FDE"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3.25%</w:t>
            </w:r>
          </w:p>
        </w:tc>
        <w:tc>
          <w:tcPr>
            <w:tcW w:w="2241" w:type="dxa"/>
            <w:tcBorders>
              <w:top w:val="single" w:sz="4" w:space="0" w:color="auto"/>
              <w:left w:val="single" w:sz="4" w:space="0" w:color="auto"/>
              <w:bottom w:val="single" w:sz="4" w:space="0" w:color="auto"/>
              <w:right w:val="single" w:sz="4" w:space="0" w:color="auto"/>
            </w:tcBorders>
          </w:tcPr>
          <w:p w14:paraId="6D162285" w14:textId="6E60E76F" w:rsidR="001323CA" w:rsidRPr="009F2830" w:rsidRDefault="001323CA" w:rsidP="001323CA">
            <w:pPr>
              <w:autoSpaceDE w:val="0"/>
              <w:autoSpaceDN w:val="0"/>
              <w:adjustRightInd w:val="0"/>
              <w:jc w:val="center"/>
              <w:rPr>
                <w:rFonts w:ascii="Arial" w:hAnsi="Arial" w:cs="Arial"/>
                <w:sz w:val="22"/>
                <w:szCs w:val="22"/>
              </w:rPr>
            </w:pPr>
            <w:r w:rsidRPr="009F2830">
              <w:rPr>
                <w:rFonts w:ascii="Arial" w:hAnsi="Arial" w:cs="Arial"/>
                <w:sz w:val="22"/>
                <w:szCs w:val="22"/>
              </w:rPr>
              <w:t>£1</w:t>
            </w:r>
            <w:r w:rsidR="001A4DE5">
              <w:rPr>
                <w:rFonts w:ascii="Arial" w:hAnsi="Arial" w:cs="Arial"/>
                <w:sz w:val="22"/>
                <w:szCs w:val="22"/>
              </w:rPr>
              <w:t>10</w:t>
            </w:r>
            <w:r w:rsidRPr="009F2830">
              <w:rPr>
                <w:rFonts w:ascii="Arial" w:hAnsi="Arial" w:cs="Arial"/>
                <w:sz w:val="22"/>
                <w:szCs w:val="22"/>
              </w:rPr>
              <w:t>,</w:t>
            </w:r>
            <w:r w:rsidR="00001938">
              <w:rPr>
                <w:rFonts w:ascii="Arial" w:hAnsi="Arial" w:cs="Arial"/>
                <w:sz w:val="22"/>
                <w:szCs w:val="22"/>
              </w:rPr>
              <w:t>0</w:t>
            </w:r>
            <w:r w:rsidRPr="009F2830">
              <w:rPr>
                <w:rFonts w:ascii="Arial" w:hAnsi="Arial" w:cs="Arial"/>
                <w:sz w:val="22"/>
                <w:szCs w:val="22"/>
              </w:rPr>
              <w:t>01 - £16</w:t>
            </w:r>
            <w:r w:rsidR="00B44273">
              <w:rPr>
                <w:rFonts w:ascii="Arial" w:hAnsi="Arial" w:cs="Arial"/>
                <w:sz w:val="22"/>
                <w:szCs w:val="22"/>
              </w:rPr>
              <w:t>5</w:t>
            </w:r>
            <w:r w:rsidRPr="009F2830">
              <w:rPr>
                <w:rFonts w:ascii="Arial" w:hAnsi="Arial" w:cs="Arial"/>
                <w:sz w:val="22"/>
                <w:szCs w:val="22"/>
              </w:rPr>
              <w:t>,</w:t>
            </w:r>
            <w:r w:rsidR="00B44273">
              <w:rPr>
                <w:rFonts w:ascii="Arial" w:hAnsi="Arial" w:cs="Arial"/>
                <w:sz w:val="22"/>
                <w:szCs w:val="22"/>
              </w:rPr>
              <w:t>0</w:t>
            </w:r>
            <w:r w:rsidRPr="009F2830">
              <w:rPr>
                <w:rFonts w:ascii="Arial" w:hAnsi="Arial" w:cs="Arial"/>
                <w:sz w:val="22"/>
                <w:szCs w:val="22"/>
              </w:rPr>
              <w:t>00</w:t>
            </w:r>
          </w:p>
        </w:tc>
        <w:tc>
          <w:tcPr>
            <w:tcW w:w="1443" w:type="dxa"/>
            <w:tcBorders>
              <w:top w:val="single" w:sz="4" w:space="0" w:color="auto"/>
              <w:left w:val="single" w:sz="4" w:space="0" w:color="auto"/>
              <w:bottom w:val="single" w:sz="4" w:space="0" w:color="auto"/>
              <w:right w:val="single" w:sz="4" w:space="0" w:color="auto"/>
            </w:tcBorders>
          </w:tcPr>
          <w:p w14:paraId="6D162286" w14:textId="1170895E"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11.40%</w:t>
            </w:r>
          </w:p>
        </w:tc>
        <w:tc>
          <w:tcPr>
            <w:tcW w:w="1213" w:type="dxa"/>
            <w:tcBorders>
              <w:top w:val="single" w:sz="4" w:space="0" w:color="auto"/>
              <w:left w:val="single" w:sz="4" w:space="0" w:color="auto"/>
              <w:bottom w:val="single" w:sz="4" w:space="0" w:color="auto"/>
              <w:right w:val="single" w:sz="4" w:space="0" w:color="auto"/>
            </w:tcBorders>
          </w:tcPr>
          <w:p w14:paraId="6D162287" w14:textId="6BEB79A6"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5.70%</w:t>
            </w:r>
          </w:p>
        </w:tc>
      </w:tr>
      <w:tr w:rsidR="001323CA" w:rsidRPr="009F2830" w14:paraId="6D16228F" w14:textId="77777777" w:rsidTr="00AB26ED">
        <w:trPr>
          <w:trHeight w:val="278"/>
        </w:trPr>
        <w:tc>
          <w:tcPr>
            <w:tcW w:w="1875" w:type="dxa"/>
            <w:tcBorders>
              <w:top w:val="single" w:sz="4" w:space="0" w:color="auto"/>
              <w:left w:val="single" w:sz="4" w:space="0" w:color="auto"/>
              <w:bottom w:val="single" w:sz="4" w:space="0" w:color="auto"/>
              <w:right w:val="single" w:sz="4" w:space="0" w:color="auto"/>
            </w:tcBorders>
          </w:tcPr>
          <w:p w14:paraId="6D162289" w14:textId="3A59D3F4" w:rsidR="001323CA" w:rsidRPr="009F2830" w:rsidRDefault="001323CA" w:rsidP="001323CA">
            <w:pPr>
              <w:autoSpaceDE w:val="0"/>
              <w:autoSpaceDN w:val="0"/>
              <w:adjustRightInd w:val="0"/>
              <w:jc w:val="center"/>
              <w:rPr>
                <w:rFonts w:ascii="Arial" w:hAnsi="Arial" w:cs="Arial"/>
                <w:color w:val="000000"/>
                <w:sz w:val="22"/>
                <w:szCs w:val="22"/>
              </w:rPr>
            </w:pPr>
            <w:r w:rsidRPr="009F2830">
              <w:rPr>
                <w:rFonts w:ascii="Arial" w:hAnsi="Arial" w:cs="Arial"/>
                <w:sz w:val="22"/>
                <w:szCs w:val="22"/>
              </w:rPr>
              <w:t>£37,</w:t>
            </w:r>
            <w:r w:rsidR="00C8194B">
              <w:rPr>
                <w:rFonts w:ascii="Arial" w:hAnsi="Arial" w:cs="Arial"/>
                <w:sz w:val="22"/>
                <w:szCs w:val="22"/>
              </w:rPr>
              <w:t>2</w:t>
            </w:r>
            <w:r w:rsidRPr="009F2830">
              <w:rPr>
                <w:rFonts w:ascii="Arial" w:hAnsi="Arial" w:cs="Arial"/>
                <w:sz w:val="22"/>
                <w:szCs w:val="22"/>
              </w:rPr>
              <w:t>01 - £4</w:t>
            </w:r>
            <w:r w:rsidR="001D4AB9">
              <w:rPr>
                <w:rFonts w:ascii="Arial" w:hAnsi="Arial" w:cs="Arial"/>
                <w:sz w:val="22"/>
                <w:szCs w:val="22"/>
              </w:rPr>
              <w:t>7</w:t>
            </w:r>
            <w:r w:rsidRPr="009F2830">
              <w:rPr>
                <w:rFonts w:ascii="Arial" w:hAnsi="Arial" w:cs="Arial"/>
                <w:sz w:val="22"/>
                <w:szCs w:val="22"/>
              </w:rPr>
              <w:t>,</w:t>
            </w:r>
            <w:r w:rsidR="001D4AB9">
              <w:rPr>
                <w:rFonts w:ascii="Arial" w:hAnsi="Arial" w:cs="Arial"/>
                <w:sz w:val="22"/>
                <w:szCs w:val="22"/>
              </w:rPr>
              <w:t>1</w:t>
            </w:r>
            <w:r w:rsidRPr="009F2830">
              <w:rPr>
                <w:rFonts w:ascii="Arial" w:hAnsi="Arial" w:cs="Arial"/>
                <w:sz w:val="22"/>
                <w:szCs w:val="22"/>
              </w:rPr>
              <w:t>00</w:t>
            </w:r>
          </w:p>
        </w:tc>
        <w:tc>
          <w:tcPr>
            <w:tcW w:w="1449" w:type="dxa"/>
            <w:tcBorders>
              <w:top w:val="single" w:sz="4" w:space="0" w:color="auto"/>
              <w:left w:val="single" w:sz="4" w:space="0" w:color="auto"/>
              <w:bottom w:val="single" w:sz="4" w:space="0" w:color="auto"/>
              <w:right w:val="single" w:sz="4" w:space="0" w:color="auto"/>
            </w:tcBorders>
          </w:tcPr>
          <w:p w14:paraId="6D16228A" w14:textId="6D71F662" w:rsidR="001323CA" w:rsidRPr="009F2830" w:rsidRDefault="001323CA" w:rsidP="001323CA">
            <w:pPr>
              <w:autoSpaceDE w:val="0"/>
              <w:autoSpaceDN w:val="0"/>
              <w:adjustRightInd w:val="0"/>
              <w:ind w:right="-30"/>
              <w:jc w:val="center"/>
              <w:rPr>
                <w:rFonts w:ascii="Arial" w:hAnsi="Arial" w:cs="Arial"/>
                <w:color w:val="000000"/>
                <w:sz w:val="22"/>
                <w:szCs w:val="22"/>
              </w:rPr>
            </w:pPr>
            <w:r w:rsidRPr="009F2830">
              <w:rPr>
                <w:rFonts w:ascii="Arial" w:hAnsi="Arial" w:cs="Arial"/>
                <w:sz w:val="22"/>
                <w:szCs w:val="22"/>
              </w:rPr>
              <w:t>6.80%</w:t>
            </w:r>
          </w:p>
        </w:tc>
        <w:tc>
          <w:tcPr>
            <w:tcW w:w="1213" w:type="dxa"/>
            <w:tcBorders>
              <w:top w:val="single" w:sz="4" w:space="0" w:color="auto"/>
              <w:left w:val="single" w:sz="4" w:space="0" w:color="auto"/>
              <w:bottom w:val="single" w:sz="4" w:space="0" w:color="auto"/>
              <w:right w:val="single" w:sz="4" w:space="0" w:color="auto"/>
            </w:tcBorders>
          </w:tcPr>
          <w:p w14:paraId="6D16228B" w14:textId="2921A29F" w:rsidR="001323CA" w:rsidRPr="009F2830" w:rsidRDefault="001323CA" w:rsidP="001323CA">
            <w:pPr>
              <w:autoSpaceDE w:val="0"/>
              <w:autoSpaceDN w:val="0"/>
              <w:adjustRightInd w:val="0"/>
              <w:ind w:right="-30"/>
              <w:jc w:val="center"/>
              <w:rPr>
                <w:rFonts w:ascii="Arial" w:hAnsi="Arial" w:cs="Arial"/>
                <w:color w:val="000000"/>
                <w:sz w:val="22"/>
                <w:szCs w:val="22"/>
              </w:rPr>
            </w:pPr>
            <w:r w:rsidRPr="009F2830">
              <w:rPr>
                <w:rFonts w:ascii="Arial" w:hAnsi="Arial" w:cs="Arial"/>
                <w:sz w:val="22"/>
                <w:szCs w:val="22"/>
              </w:rPr>
              <w:t>3.40%</w:t>
            </w:r>
          </w:p>
        </w:tc>
        <w:tc>
          <w:tcPr>
            <w:tcW w:w="2241" w:type="dxa"/>
            <w:tcBorders>
              <w:top w:val="single" w:sz="4" w:space="0" w:color="auto"/>
              <w:left w:val="single" w:sz="4" w:space="0" w:color="auto"/>
              <w:bottom w:val="single" w:sz="4" w:space="0" w:color="auto"/>
              <w:right w:val="single" w:sz="4" w:space="0" w:color="auto"/>
            </w:tcBorders>
          </w:tcPr>
          <w:p w14:paraId="6D16228C" w14:textId="2672BA2D" w:rsidR="001323CA" w:rsidRPr="009F2830" w:rsidRDefault="001323CA" w:rsidP="001323CA">
            <w:pPr>
              <w:autoSpaceDE w:val="0"/>
              <w:autoSpaceDN w:val="0"/>
              <w:adjustRightInd w:val="0"/>
              <w:jc w:val="center"/>
              <w:rPr>
                <w:rFonts w:ascii="Arial" w:hAnsi="Arial" w:cs="Arial"/>
                <w:sz w:val="22"/>
                <w:szCs w:val="22"/>
              </w:rPr>
            </w:pPr>
            <w:r w:rsidRPr="009F2830">
              <w:rPr>
                <w:rFonts w:ascii="Arial" w:hAnsi="Arial" w:cs="Arial"/>
                <w:sz w:val="22"/>
                <w:szCs w:val="22"/>
              </w:rPr>
              <w:t>More than £16</w:t>
            </w:r>
            <w:r w:rsidR="009F0193">
              <w:rPr>
                <w:rFonts w:ascii="Arial" w:hAnsi="Arial" w:cs="Arial"/>
                <w:sz w:val="22"/>
                <w:szCs w:val="22"/>
              </w:rPr>
              <w:t>5</w:t>
            </w:r>
            <w:r w:rsidRPr="009F2830">
              <w:rPr>
                <w:rFonts w:ascii="Arial" w:hAnsi="Arial" w:cs="Arial"/>
                <w:sz w:val="22"/>
                <w:szCs w:val="22"/>
              </w:rPr>
              <w:t>,</w:t>
            </w:r>
            <w:r w:rsidR="009F0193">
              <w:rPr>
                <w:rFonts w:ascii="Arial" w:hAnsi="Arial" w:cs="Arial"/>
                <w:sz w:val="22"/>
                <w:szCs w:val="22"/>
              </w:rPr>
              <w:t>001</w:t>
            </w:r>
          </w:p>
        </w:tc>
        <w:tc>
          <w:tcPr>
            <w:tcW w:w="1443" w:type="dxa"/>
            <w:tcBorders>
              <w:top w:val="single" w:sz="4" w:space="0" w:color="auto"/>
              <w:left w:val="single" w:sz="4" w:space="0" w:color="auto"/>
              <w:bottom w:val="single" w:sz="4" w:space="0" w:color="auto"/>
              <w:right w:val="single" w:sz="4" w:space="0" w:color="auto"/>
            </w:tcBorders>
          </w:tcPr>
          <w:p w14:paraId="6D16228D" w14:textId="25474283"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12.50%</w:t>
            </w:r>
          </w:p>
        </w:tc>
        <w:tc>
          <w:tcPr>
            <w:tcW w:w="1213" w:type="dxa"/>
            <w:tcBorders>
              <w:top w:val="single" w:sz="4" w:space="0" w:color="auto"/>
              <w:left w:val="single" w:sz="4" w:space="0" w:color="auto"/>
              <w:bottom w:val="single" w:sz="4" w:space="0" w:color="auto"/>
              <w:right w:val="single" w:sz="4" w:space="0" w:color="auto"/>
            </w:tcBorders>
          </w:tcPr>
          <w:p w14:paraId="6D16228E" w14:textId="650A0374" w:rsidR="001323CA" w:rsidRPr="009F2830" w:rsidRDefault="001323CA" w:rsidP="001323CA">
            <w:pPr>
              <w:autoSpaceDE w:val="0"/>
              <w:autoSpaceDN w:val="0"/>
              <w:adjustRightInd w:val="0"/>
              <w:ind w:right="-30"/>
              <w:jc w:val="center"/>
              <w:rPr>
                <w:rFonts w:ascii="Arial" w:hAnsi="Arial" w:cs="Arial"/>
                <w:sz w:val="22"/>
                <w:szCs w:val="22"/>
              </w:rPr>
            </w:pPr>
            <w:r w:rsidRPr="009F2830">
              <w:rPr>
                <w:rFonts w:ascii="Arial" w:hAnsi="Arial" w:cs="Arial"/>
                <w:sz w:val="22"/>
                <w:szCs w:val="22"/>
              </w:rPr>
              <w:t>6.25%</w:t>
            </w:r>
          </w:p>
        </w:tc>
      </w:tr>
      <w:tr w:rsidR="001323CA" w:rsidRPr="00601B12" w14:paraId="6D162296" w14:textId="77777777" w:rsidTr="00AB26ED">
        <w:trPr>
          <w:trHeight w:val="268"/>
        </w:trPr>
        <w:tc>
          <w:tcPr>
            <w:tcW w:w="1875" w:type="dxa"/>
            <w:tcBorders>
              <w:top w:val="single" w:sz="4" w:space="0" w:color="auto"/>
              <w:left w:val="single" w:sz="4" w:space="0" w:color="auto"/>
              <w:bottom w:val="single" w:sz="4" w:space="0" w:color="auto"/>
              <w:right w:val="single" w:sz="4" w:space="0" w:color="auto"/>
            </w:tcBorders>
          </w:tcPr>
          <w:p w14:paraId="6D162290" w14:textId="68B9AA34" w:rsidR="001323CA" w:rsidRPr="009F2830" w:rsidRDefault="001323CA" w:rsidP="001323CA">
            <w:pPr>
              <w:autoSpaceDE w:val="0"/>
              <w:autoSpaceDN w:val="0"/>
              <w:adjustRightInd w:val="0"/>
              <w:jc w:val="center"/>
              <w:rPr>
                <w:rFonts w:ascii="Arial" w:hAnsi="Arial" w:cs="Arial"/>
                <w:color w:val="000000"/>
                <w:sz w:val="22"/>
                <w:szCs w:val="22"/>
              </w:rPr>
            </w:pPr>
            <w:r w:rsidRPr="009F2830">
              <w:rPr>
                <w:rFonts w:ascii="Arial" w:hAnsi="Arial" w:cs="Arial"/>
                <w:sz w:val="22"/>
                <w:szCs w:val="22"/>
              </w:rPr>
              <w:t>£4</w:t>
            </w:r>
            <w:r w:rsidR="00831FA1">
              <w:rPr>
                <w:rFonts w:ascii="Arial" w:hAnsi="Arial" w:cs="Arial"/>
                <w:sz w:val="22"/>
                <w:szCs w:val="22"/>
              </w:rPr>
              <w:t>7</w:t>
            </w:r>
            <w:r w:rsidRPr="009F2830">
              <w:rPr>
                <w:rFonts w:ascii="Arial" w:hAnsi="Arial" w:cs="Arial"/>
                <w:sz w:val="22"/>
                <w:szCs w:val="22"/>
              </w:rPr>
              <w:t>,</w:t>
            </w:r>
            <w:r w:rsidR="00831FA1">
              <w:rPr>
                <w:rFonts w:ascii="Arial" w:hAnsi="Arial" w:cs="Arial"/>
                <w:sz w:val="22"/>
                <w:szCs w:val="22"/>
              </w:rPr>
              <w:t>1</w:t>
            </w:r>
            <w:r w:rsidRPr="009F2830">
              <w:rPr>
                <w:rFonts w:ascii="Arial" w:hAnsi="Arial" w:cs="Arial"/>
                <w:sz w:val="22"/>
                <w:szCs w:val="22"/>
              </w:rPr>
              <w:t>01 - £65,</w:t>
            </w:r>
            <w:r w:rsidR="00A732CC">
              <w:rPr>
                <w:rFonts w:ascii="Arial" w:hAnsi="Arial" w:cs="Arial"/>
                <w:sz w:val="22"/>
                <w:szCs w:val="22"/>
              </w:rPr>
              <w:t>9</w:t>
            </w:r>
            <w:r w:rsidRPr="009F2830">
              <w:rPr>
                <w:rFonts w:ascii="Arial" w:hAnsi="Arial" w:cs="Arial"/>
                <w:sz w:val="22"/>
                <w:szCs w:val="22"/>
              </w:rPr>
              <w:t>00</w:t>
            </w:r>
          </w:p>
        </w:tc>
        <w:tc>
          <w:tcPr>
            <w:tcW w:w="1449" w:type="dxa"/>
            <w:tcBorders>
              <w:top w:val="single" w:sz="4" w:space="0" w:color="auto"/>
              <w:left w:val="single" w:sz="4" w:space="0" w:color="auto"/>
              <w:bottom w:val="single" w:sz="4" w:space="0" w:color="auto"/>
              <w:right w:val="single" w:sz="4" w:space="0" w:color="auto"/>
            </w:tcBorders>
          </w:tcPr>
          <w:p w14:paraId="6D162291" w14:textId="731C5FE7" w:rsidR="001323CA" w:rsidRPr="009F2830" w:rsidRDefault="001323CA" w:rsidP="001323CA">
            <w:pPr>
              <w:autoSpaceDE w:val="0"/>
              <w:autoSpaceDN w:val="0"/>
              <w:adjustRightInd w:val="0"/>
              <w:ind w:right="-30"/>
              <w:jc w:val="center"/>
              <w:rPr>
                <w:rFonts w:ascii="Arial" w:hAnsi="Arial" w:cs="Arial"/>
                <w:color w:val="000000"/>
                <w:sz w:val="22"/>
                <w:szCs w:val="22"/>
              </w:rPr>
            </w:pPr>
            <w:r w:rsidRPr="009F2830">
              <w:rPr>
                <w:rFonts w:ascii="Arial" w:hAnsi="Arial" w:cs="Arial"/>
                <w:sz w:val="22"/>
                <w:szCs w:val="22"/>
              </w:rPr>
              <w:t>8.50%</w:t>
            </w:r>
          </w:p>
        </w:tc>
        <w:tc>
          <w:tcPr>
            <w:tcW w:w="1213" w:type="dxa"/>
            <w:tcBorders>
              <w:top w:val="single" w:sz="4" w:space="0" w:color="auto"/>
              <w:left w:val="single" w:sz="4" w:space="0" w:color="auto"/>
              <w:bottom w:val="single" w:sz="4" w:space="0" w:color="auto"/>
              <w:right w:val="single" w:sz="4" w:space="0" w:color="auto"/>
            </w:tcBorders>
          </w:tcPr>
          <w:p w14:paraId="6D162292" w14:textId="3D5600CF" w:rsidR="001323CA" w:rsidRPr="001323CA" w:rsidRDefault="001323CA" w:rsidP="001323CA">
            <w:pPr>
              <w:autoSpaceDE w:val="0"/>
              <w:autoSpaceDN w:val="0"/>
              <w:adjustRightInd w:val="0"/>
              <w:ind w:right="-30"/>
              <w:jc w:val="center"/>
              <w:rPr>
                <w:rFonts w:ascii="Arial" w:hAnsi="Arial" w:cs="Arial"/>
                <w:color w:val="000000"/>
                <w:sz w:val="22"/>
                <w:szCs w:val="22"/>
              </w:rPr>
            </w:pPr>
            <w:r w:rsidRPr="009F2830">
              <w:rPr>
                <w:rFonts w:ascii="Arial" w:hAnsi="Arial" w:cs="Arial"/>
                <w:sz w:val="22"/>
                <w:szCs w:val="22"/>
              </w:rPr>
              <w:t>4.25%</w:t>
            </w:r>
          </w:p>
        </w:tc>
        <w:tc>
          <w:tcPr>
            <w:tcW w:w="2241" w:type="dxa"/>
            <w:tcBorders>
              <w:top w:val="single" w:sz="4" w:space="0" w:color="auto"/>
              <w:left w:val="single" w:sz="4" w:space="0" w:color="auto"/>
              <w:bottom w:val="single" w:sz="4" w:space="0" w:color="auto"/>
              <w:right w:val="single" w:sz="4" w:space="0" w:color="auto"/>
            </w:tcBorders>
          </w:tcPr>
          <w:p w14:paraId="6D162293" w14:textId="4B7AE49D" w:rsidR="001323CA" w:rsidRPr="001323CA" w:rsidRDefault="001323CA" w:rsidP="001323CA">
            <w:pPr>
              <w:autoSpaceDE w:val="0"/>
              <w:autoSpaceDN w:val="0"/>
              <w:adjustRightInd w:val="0"/>
              <w:jc w:val="center"/>
              <w:rPr>
                <w:rFonts w:ascii="Arial" w:hAnsi="Arial" w:cs="Arial"/>
                <w:color w:val="000000"/>
                <w:sz w:val="22"/>
                <w:szCs w:val="22"/>
              </w:rPr>
            </w:pPr>
          </w:p>
        </w:tc>
        <w:tc>
          <w:tcPr>
            <w:tcW w:w="1443" w:type="dxa"/>
            <w:tcBorders>
              <w:top w:val="single" w:sz="4" w:space="0" w:color="auto"/>
              <w:left w:val="single" w:sz="4" w:space="0" w:color="auto"/>
              <w:bottom w:val="single" w:sz="4" w:space="0" w:color="auto"/>
              <w:right w:val="single" w:sz="4" w:space="0" w:color="auto"/>
            </w:tcBorders>
          </w:tcPr>
          <w:p w14:paraId="6D162294" w14:textId="44A12CC8" w:rsidR="001323CA" w:rsidRPr="001323CA" w:rsidRDefault="001323CA" w:rsidP="001323CA">
            <w:pPr>
              <w:autoSpaceDE w:val="0"/>
              <w:autoSpaceDN w:val="0"/>
              <w:adjustRightInd w:val="0"/>
              <w:ind w:right="-30"/>
              <w:jc w:val="center"/>
              <w:rPr>
                <w:rFonts w:ascii="Arial" w:hAnsi="Arial" w:cs="Arial"/>
                <w:color w:val="000000"/>
                <w:sz w:val="22"/>
                <w:szCs w:val="22"/>
              </w:rPr>
            </w:pPr>
          </w:p>
        </w:tc>
        <w:tc>
          <w:tcPr>
            <w:tcW w:w="1213" w:type="dxa"/>
            <w:tcBorders>
              <w:top w:val="single" w:sz="4" w:space="0" w:color="auto"/>
              <w:left w:val="single" w:sz="4" w:space="0" w:color="auto"/>
              <w:bottom w:val="single" w:sz="4" w:space="0" w:color="auto"/>
              <w:right w:val="single" w:sz="4" w:space="0" w:color="auto"/>
            </w:tcBorders>
          </w:tcPr>
          <w:p w14:paraId="6D162295" w14:textId="763FD503" w:rsidR="001323CA" w:rsidRPr="001323CA" w:rsidRDefault="001323CA" w:rsidP="001323CA">
            <w:pPr>
              <w:autoSpaceDE w:val="0"/>
              <w:autoSpaceDN w:val="0"/>
              <w:adjustRightInd w:val="0"/>
              <w:ind w:right="-30"/>
              <w:jc w:val="center"/>
              <w:rPr>
                <w:rFonts w:ascii="Arial" w:hAnsi="Arial" w:cs="Arial"/>
                <w:color w:val="000000"/>
                <w:sz w:val="22"/>
                <w:szCs w:val="22"/>
              </w:rPr>
            </w:pPr>
          </w:p>
        </w:tc>
      </w:tr>
      <w:bookmarkEnd w:id="2"/>
    </w:tbl>
    <w:p w14:paraId="6D162297" w14:textId="77777777" w:rsidR="009F6163" w:rsidRPr="00601B12" w:rsidRDefault="009F6163" w:rsidP="00707B1E">
      <w:pPr>
        <w:autoSpaceDE w:val="0"/>
        <w:autoSpaceDN w:val="0"/>
        <w:adjustRightInd w:val="0"/>
        <w:ind w:left="426" w:hanging="426"/>
        <w:jc w:val="both"/>
        <w:rPr>
          <w:rFonts w:ascii="Arial" w:hAnsi="Arial" w:cs="Arial"/>
          <w:b/>
          <w:bCs/>
          <w:color w:val="C00000"/>
          <w:sz w:val="28"/>
          <w:szCs w:val="28"/>
        </w:rPr>
      </w:pPr>
    </w:p>
    <w:p w14:paraId="6D162298" w14:textId="77777777" w:rsidR="00707B1E" w:rsidRPr="00601B12" w:rsidRDefault="009F6163" w:rsidP="00707B1E">
      <w:pPr>
        <w:autoSpaceDE w:val="0"/>
        <w:autoSpaceDN w:val="0"/>
        <w:adjustRightInd w:val="0"/>
        <w:ind w:left="426" w:hanging="426"/>
        <w:jc w:val="both"/>
        <w:rPr>
          <w:rFonts w:ascii="Arial" w:hAnsi="Arial" w:cs="Arial"/>
          <w:b/>
          <w:color w:val="0070C0"/>
          <w:sz w:val="22"/>
          <w:szCs w:val="22"/>
        </w:rPr>
      </w:pPr>
      <w:r w:rsidRPr="00601B12">
        <w:rPr>
          <w:rFonts w:ascii="Arial" w:hAnsi="Arial" w:cs="Arial"/>
          <w:b/>
          <w:bCs/>
          <w:color w:val="0070C0"/>
          <w:sz w:val="22"/>
          <w:szCs w:val="22"/>
        </w:rPr>
        <w:t>3.2</w:t>
      </w:r>
      <w:r w:rsidRPr="00601B12">
        <w:rPr>
          <w:rFonts w:ascii="Arial" w:hAnsi="Arial" w:cs="Arial"/>
          <w:b/>
          <w:bCs/>
          <w:color w:val="0070C0"/>
          <w:sz w:val="22"/>
          <w:szCs w:val="22"/>
        </w:rPr>
        <w:tab/>
      </w:r>
      <w:r w:rsidR="00707B1E" w:rsidRPr="00601B12">
        <w:rPr>
          <w:rFonts w:ascii="Arial" w:hAnsi="Arial" w:cs="Arial"/>
          <w:b/>
          <w:color w:val="0070C0"/>
          <w:sz w:val="22"/>
          <w:szCs w:val="22"/>
        </w:rPr>
        <w:t>Retirement</w:t>
      </w:r>
    </w:p>
    <w:p w14:paraId="6D162299" w14:textId="77777777" w:rsidR="00707B1E" w:rsidRPr="00601B12" w:rsidRDefault="00707B1E" w:rsidP="00707B1E">
      <w:pPr>
        <w:autoSpaceDE w:val="0"/>
        <w:autoSpaceDN w:val="0"/>
        <w:adjustRightInd w:val="0"/>
        <w:rPr>
          <w:rFonts w:ascii="Arial" w:eastAsiaTheme="minorHAnsi" w:hAnsi="Arial" w:cs="Arial"/>
          <w:color w:val="000000"/>
          <w:sz w:val="22"/>
          <w:szCs w:val="22"/>
          <w:lang w:eastAsia="en-US"/>
        </w:rPr>
      </w:pPr>
    </w:p>
    <w:p w14:paraId="6D16229A" w14:textId="77777777" w:rsidR="00707B1E" w:rsidRPr="00601B12" w:rsidRDefault="00707B1E" w:rsidP="007266DE">
      <w:pPr>
        <w:autoSpaceDE w:val="0"/>
        <w:autoSpaceDN w:val="0"/>
        <w:adjustRightInd w:val="0"/>
        <w:ind w:left="425" w:hanging="426"/>
        <w:jc w:val="both"/>
        <w:rPr>
          <w:rFonts w:ascii="Arial" w:eastAsiaTheme="minorHAnsi" w:hAnsi="Arial" w:cs="Arial"/>
          <w:color w:val="000000"/>
          <w:sz w:val="22"/>
          <w:szCs w:val="22"/>
          <w:lang w:eastAsia="en-US"/>
        </w:rPr>
      </w:pPr>
      <w:r w:rsidRPr="00601B12">
        <w:rPr>
          <w:rFonts w:ascii="Arial" w:eastAsiaTheme="minorHAnsi" w:hAnsi="Arial" w:cs="Arial"/>
          <w:color w:val="000000"/>
          <w:sz w:val="22"/>
          <w:szCs w:val="22"/>
          <w:lang w:eastAsia="en-US"/>
        </w:rPr>
        <w:tab/>
      </w:r>
      <w:r w:rsidRPr="00A42D3D">
        <w:rPr>
          <w:rFonts w:ascii="Arial" w:eastAsiaTheme="minorHAnsi" w:hAnsi="Arial" w:cs="Arial"/>
          <w:color w:val="000000"/>
          <w:sz w:val="22"/>
          <w:szCs w:val="22"/>
          <w:lang w:eastAsia="en-US"/>
        </w:rPr>
        <w:t>The scheme is funded on the basis that the benefits will become available at the member’s State Pension Age (minimum age 65), although members can remain in the scheme up to age 75. Employees can voluntarily retire from age 55.</w:t>
      </w:r>
      <w:r w:rsidRPr="00601B12">
        <w:rPr>
          <w:rFonts w:ascii="Arial" w:eastAsiaTheme="minorHAnsi" w:hAnsi="Arial" w:cs="Arial"/>
          <w:color w:val="000000"/>
          <w:sz w:val="22"/>
          <w:szCs w:val="22"/>
          <w:lang w:eastAsia="en-US"/>
        </w:rPr>
        <w:t xml:space="preserve"> </w:t>
      </w:r>
    </w:p>
    <w:p w14:paraId="6D16229B" w14:textId="77777777" w:rsidR="00707B1E" w:rsidRPr="00601B12" w:rsidRDefault="00707B1E" w:rsidP="007266DE">
      <w:pPr>
        <w:autoSpaceDE w:val="0"/>
        <w:autoSpaceDN w:val="0"/>
        <w:adjustRightInd w:val="0"/>
        <w:ind w:left="425" w:hanging="426"/>
        <w:jc w:val="both"/>
        <w:rPr>
          <w:rFonts w:ascii="Arial" w:eastAsiaTheme="minorHAnsi" w:hAnsi="Arial" w:cs="Arial"/>
          <w:color w:val="000000"/>
          <w:sz w:val="22"/>
          <w:szCs w:val="22"/>
          <w:lang w:eastAsia="en-US"/>
        </w:rPr>
      </w:pPr>
    </w:p>
    <w:p w14:paraId="6D16229C"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r w:rsidRPr="00601B12">
        <w:rPr>
          <w:rFonts w:ascii="Arial" w:eastAsiaTheme="minorHAnsi" w:hAnsi="Arial" w:cs="Arial"/>
          <w:color w:val="000000"/>
          <w:sz w:val="22"/>
          <w:szCs w:val="22"/>
          <w:lang w:eastAsia="en-US"/>
        </w:rPr>
        <w:t>Pension built up before 1 April 2014 has a protected Normal Pension Age</w:t>
      </w:r>
      <w:r w:rsidR="002E5194" w:rsidRPr="00601B12">
        <w:rPr>
          <w:rFonts w:ascii="Arial" w:eastAsiaTheme="minorHAnsi" w:hAnsi="Arial" w:cs="Arial"/>
          <w:color w:val="000000"/>
          <w:sz w:val="22"/>
          <w:szCs w:val="22"/>
          <w:lang w:eastAsia="en-US"/>
        </w:rPr>
        <w:t xml:space="preserve"> (NPA)</w:t>
      </w:r>
      <w:r w:rsidRPr="00601B12">
        <w:rPr>
          <w:rFonts w:ascii="Arial" w:eastAsiaTheme="minorHAnsi" w:hAnsi="Arial" w:cs="Arial"/>
          <w:color w:val="000000"/>
          <w:sz w:val="22"/>
          <w:szCs w:val="22"/>
          <w:lang w:eastAsia="en-US"/>
        </w:rPr>
        <w:t>, which for almost all members is age 65. If a member retires and draws their entire pension at their protected NPA</w:t>
      </w:r>
      <w:r w:rsidR="002E5194" w:rsidRPr="00601B12">
        <w:rPr>
          <w:rFonts w:ascii="Arial" w:eastAsiaTheme="minorHAnsi" w:hAnsi="Arial" w:cs="Arial"/>
          <w:color w:val="000000"/>
          <w:sz w:val="22"/>
          <w:szCs w:val="22"/>
          <w:lang w:eastAsia="en-US"/>
        </w:rPr>
        <w:t>,</w:t>
      </w:r>
      <w:r w:rsidRPr="00601B12">
        <w:rPr>
          <w:rFonts w:ascii="Arial" w:eastAsiaTheme="minorHAnsi" w:hAnsi="Arial" w:cs="Arial"/>
          <w:color w:val="000000"/>
          <w:sz w:val="22"/>
          <w:szCs w:val="22"/>
          <w:lang w:eastAsia="en-US"/>
        </w:rPr>
        <w:t xml:space="preserve"> the pension built up in the scheme before 1 April 2014 will be paid in full. </w:t>
      </w:r>
    </w:p>
    <w:p w14:paraId="6D16229D"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p>
    <w:p w14:paraId="6D16229E"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r w:rsidRPr="00601B12">
        <w:rPr>
          <w:rFonts w:ascii="Arial" w:eastAsiaTheme="minorHAnsi" w:hAnsi="Arial" w:cs="Arial"/>
          <w:color w:val="000000"/>
          <w:sz w:val="22"/>
          <w:szCs w:val="22"/>
          <w:lang w:eastAsia="en-US"/>
        </w:rPr>
        <w:t>If a member chooses to take their pension before their protected N</w:t>
      </w:r>
      <w:r w:rsidR="002E5194" w:rsidRPr="00601B12">
        <w:rPr>
          <w:rFonts w:ascii="Arial" w:eastAsiaTheme="minorHAnsi" w:hAnsi="Arial" w:cs="Arial"/>
          <w:color w:val="000000"/>
          <w:sz w:val="22"/>
          <w:szCs w:val="22"/>
          <w:lang w:eastAsia="en-US"/>
        </w:rPr>
        <w:t>PA</w:t>
      </w:r>
      <w:r w:rsidRPr="00601B12">
        <w:rPr>
          <w:rFonts w:ascii="Arial" w:eastAsiaTheme="minorHAnsi" w:hAnsi="Arial" w:cs="Arial"/>
          <w:color w:val="000000"/>
          <w:sz w:val="22"/>
          <w:szCs w:val="22"/>
          <w:lang w:eastAsia="en-US"/>
        </w:rPr>
        <w:t>, the pension built up in the scheme before 1 April 2014 will normally be reduced, as it is being paid earlier. If taken later than their protected NPA</w:t>
      </w:r>
      <w:r w:rsidR="002E5194" w:rsidRPr="00601B12">
        <w:rPr>
          <w:rFonts w:ascii="Arial" w:eastAsiaTheme="minorHAnsi" w:hAnsi="Arial" w:cs="Arial"/>
          <w:color w:val="000000"/>
          <w:sz w:val="22"/>
          <w:szCs w:val="22"/>
          <w:lang w:eastAsia="en-US"/>
        </w:rPr>
        <w:t xml:space="preserve"> </w:t>
      </w:r>
      <w:r w:rsidRPr="00601B12">
        <w:rPr>
          <w:rFonts w:ascii="Arial" w:eastAsiaTheme="minorHAnsi" w:hAnsi="Arial" w:cs="Arial"/>
          <w:color w:val="000000"/>
          <w:sz w:val="22"/>
          <w:szCs w:val="22"/>
          <w:lang w:eastAsia="en-US"/>
        </w:rPr>
        <w:t xml:space="preserve">it will be increased because it is being paid later. The amount of any reduction or increase </w:t>
      </w:r>
      <w:r w:rsidR="002E5194" w:rsidRPr="00601B12">
        <w:rPr>
          <w:rFonts w:ascii="Arial" w:eastAsiaTheme="minorHAnsi" w:hAnsi="Arial" w:cs="Arial"/>
          <w:color w:val="000000"/>
          <w:sz w:val="22"/>
          <w:szCs w:val="22"/>
          <w:lang w:eastAsia="en-US"/>
        </w:rPr>
        <w:t>is</w:t>
      </w:r>
      <w:r w:rsidRPr="00601B12">
        <w:rPr>
          <w:rFonts w:ascii="Arial" w:eastAsiaTheme="minorHAnsi" w:hAnsi="Arial" w:cs="Arial"/>
          <w:color w:val="000000"/>
          <w:sz w:val="22"/>
          <w:szCs w:val="22"/>
          <w:lang w:eastAsia="en-US"/>
        </w:rPr>
        <w:t xml:space="preserve"> based on how many years earlier or later than the protected </w:t>
      </w:r>
      <w:r w:rsidR="002E5194" w:rsidRPr="00601B12">
        <w:rPr>
          <w:rFonts w:ascii="Arial" w:eastAsiaTheme="minorHAnsi" w:hAnsi="Arial" w:cs="Arial"/>
          <w:color w:val="000000"/>
          <w:sz w:val="22"/>
          <w:szCs w:val="22"/>
          <w:lang w:eastAsia="en-US"/>
        </w:rPr>
        <w:t>NPA</w:t>
      </w:r>
      <w:r w:rsidRPr="00601B12">
        <w:rPr>
          <w:rFonts w:ascii="Arial" w:eastAsiaTheme="minorHAnsi" w:hAnsi="Arial" w:cs="Arial"/>
          <w:color w:val="000000"/>
          <w:sz w:val="22"/>
          <w:szCs w:val="22"/>
          <w:lang w:eastAsia="en-US"/>
        </w:rPr>
        <w:t xml:space="preserve"> the member draws the pension they have built up in the scheme to 31 March 2014. </w:t>
      </w:r>
    </w:p>
    <w:p w14:paraId="6D16229F"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p>
    <w:p w14:paraId="6D1622A0"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r w:rsidRPr="00601B12">
        <w:rPr>
          <w:rFonts w:ascii="Arial" w:eastAsiaTheme="minorHAnsi" w:hAnsi="Arial" w:cs="Arial"/>
          <w:color w:val="000000"/>
          <w:sz w:val="22"/>
          <w:szCs w:val="22"/>
          <w:lang w:eastAsia="en-US"/>
        </w:rPr>
        <w:t xml:space="preserve">The benefits built up in the </w:t>
      </w:r>
      <w:r w:rsidR="002E5194" w:rsidRPr="00601B12">
        <w:rPr>
          <w:rFonts w:ascii="Arial" w:eastAsiaTheme="minorHAnsi" w:hAnsi="Arial" w:cs="Arial"/>
          <w:color w:val="000000"/>
          <w:sz w:val="22"/>
          <w:szCs w:val="22"/>
          <w:lang w:eastAsia="en-US"/>
        </w:rPr>
        <w:t>CARE</w:t>
      </w:r>
      <w:r w:rsidRPr="00601B12">
        <w:rPr>
          <w:rFonts w:ascii="Arial" w:eastAsiaTheme="minorHAnsi" w:hAnsi="Arial" w:cs="Arial"/>
          <w:color w:val="000000"/>
          <w:sz w:val="22"/>
          <w:szCs w:val="22"/>
          <w:lang w:eastAsia="en-US"/>
        </w:rPr>
        <w:t xml:space="preserve"> scheme from April 2014 have </w:t>
      </w:r>
      <w:r w:rsidR="002E5194" w:rsidRPr="00601B12">
        <w:rPr>
          <w:rFonts w:ascii="Arial" w:eastAsiaTheme="minorHAnsi" w:hAnsi="Arial" w:cs="Arial"/>
          <w:color w:val="000000"/>
          <w:sz w:val="22"/>
          <w:szCs w:val="22"/>
          <w:lang w:eastAsia="en-US"/>
        </w:rPr>
        <w:t>an</w:t>
      </w:r>
      <w:r w:rsidRPr="00601B12">
        <w:rPr>
          <w:rFonts w:ascii="Arial" w:eastAsiaTheme="minorHAnsi" w:hAnsi="Arial" w:cs="Arial"/>
          <w:color w:val="000000"/>
          <w:sz w:val="22"/>
          <w:szCs w:val="22"/>
          <w:lang w:eastAsia="en-US"/>
        </w:rPr>
        <w:t xml:space="preserve"> </w:t>
      </w:r>
      <w:r w:rsidR="002E5194" w:rsidRPr="00601B12">
        <w:rPr>
          <w:rFonts w:ascii="Arial" w:eastAsiaTheme="minorHAnsi" w:hAnsi="Arial" w:cs="Arial"/>
          <w:color w:val="000000"/>
          <w:sz w:val="22"/>
          <w:szCs w:val="22"/>
          <w:lang w:eastAsia="en-US"/>
        </w:rPr>
        <w:t>NPA</w:t>
      </w:r>
      <w:r w:rsidRPr="00601B12">
        <w:rPr>
          <w:rFonts w:ascii="Arial" w:eastAsiaTheme="minorHAnsi" w:hAnsi="Arial" w:cs="Arial"/>
          <w:color w:val="000000"/>
          <w:sz w:val="22"/>
          <w:szCs w:val="22"/>
          <w:lang w:eastAsia="en-US"/>
        </w:rPr>
        <w:t xml:space="preserve"> linked to a member’s State Pension Age (</w:t>
      </w:r>
      <w:r w:rsidR="002E5194" w:rsidRPr="00601B12">
        <w:rPr>
          <w:rFonts w:ascii="Arial" w:eastAsiaTheme="minorHAnsi" w:hAnsi="Arial" w:cs="Arial"/>
          <w:color w:val="000000"/>
          <w:sz w:val="22"/>
          <w:szCs w:val="22"/>
          <w:lang w:eastAsia="en-US"/>
        </w:rPr>
        <w:t>SPA</w:t>
      </w:r>
      <w:r w:rsidRPr="00601B12">
        <w:rPr>
          <w:rFonts w:ascii="Arial" w:eastAsiaTheme="minorHAnsi" w:hAnsi="Arial" w:cs="Arial"/>
          <w:color w:val="000000"/>
          <w:sz w:val="22"/>
          <w:szCs w:val="22"/>
          <w:lang w:eastAsia="en-US"/>
        </w:rPr>
        <w:t xml:space="preserve">). The amount of any reduction or increase </w:t>
      </w:r>
      <w:r w:rsidR="002E5194" w:rsidRPr="00601B12">
        <w:rPr>
          <w:rFonts w:ascii="Arial" w:eastAsiaTheme="minorHAnsi" w:hAnsi="Arial" w:cs="Arial"/>
          <w:color w:val="000000"/>
          <w:sz w:val="22"/>
          <w:szCs w:val="22"/>
          <w:lang w:eastAsia="en-US"/>
        </w:rPr>
        <w:t>is</w:t>
      </w:r>
      <w:r w:rsidRPr="00601B12">
        <w:rPr>
          <w:rFonts w:ascii="Arial" w:eastAsiaTheme="minorHAnsi" w:hAnsi="Arial" w:cs="Arial"/>
          <w:color w:val="000000"/>
          <w:sz w:val="22"/>
          <w:szCs w:val="22"/>
          <w:lang w:eastAsia="en-US"/>
        </w:rPr>
        <w:t xml:space="preserve"> based on how many years earlier or later than their SPA they draw their LGPS 2014 pension. Members cannot take benefits built up to April 2014 separately from the benefits built up from April 2014. </w:t>
      </w:r>
      <w:r w:rsidR="002E5194" w:rsidRPr="00601B12">
        <w:rPr>
          <w:rFonts w:ascii="Arial" w:eastAsiaTheme="minorHAnsi" w:hAnsi="Arial" w:cs="Arial"/>
          <w:color w:val="000000"/>
          <w:sz w:val="22"/>
          <w:szCs w:val="22"/>
          <w:lang w:eastAsia="en-US"/>
        </w:rPr>
        <w:t>All</w:t>
      </w:r>
      <w:r w:rsidRPr="00601B12">
        <w:rPr>
          <w:rFonts w:ascii="Arial" w:eastAsiaTheme="minorHAnsi" w:hAnsi="Arial" w:cs="Arial"/>
          <w:color w:val="000000"/>
          <w:sz w:val="22"/>
          <w:szCs w:val="22"/>
          <w:lang w:eastAsia="en-US"/>
        </w:rPr>
        <w:t xml:space="preserve"> the </w:t>
      </w:r>
      <w:proofErr w:type="gramStart"/>
      <w:r w:rsidRPr="00601B12">
        <w:rPr>
          <w:rFonts w:ascii="Arial" w:eastAsiaTheme="minorHAnsi" w:hAnsi="Arial" w:cs="Arial"/>
          <w:color w:val="000000"/>
          <w:sz w:val="22"/>
          <w:szCs w:val="22"/>
          <w:lang w:eastAsia="en-US"/>
        </w:rPr>
        <w:t>pension</w:t>
      </w:r>
      <w:proofErr w:type="gramEnd"/>
      <w:r w:rsidRPr="00601B12">
        <w:rPr>
          <w:rFonts w:ascii="Arial" w:eastAsiaTheme="minorHAnsi" w:hAnsi="Arial" w:cs="Arial"/>
          <w:color w:val="000000"/>
          <w:sz w:val="22"/>
          <w:szCs w:val="22"/>
          <w:lang w:eastAsia="en-US"/>
        </w:rPr>
        <w:t xml:space="preserve"> would have to be drawn at the same time</w:t>
      </w:r>
      <w:r w:rsidR="002E5194" w:rsidRPr="00601B12">
        <w:rPr>
          <w:rFonts w:ascii="Arial" w:eastAsiaTheme="minorHAnsi" w:hAnsi="Arial" w:cs="Arial"/>
          <w:color w:val="000000"/>
          <w:sz w:val="22"/>
          <w:szCs w:val="22"/>
          <w:lang w:eastAsia="en-US"/>
        </w:rPr>
        <w:t xml:space="preserve">, except for </w:t>
      </w:r>
      <w:r w:rsidRPr="00601B12">
        <w:rPr>
          <w:rFonts w:ascii="Arial" w:eastAsiaTheme="minorHAnsi" w:hAnsi="Arial" w:cs="Arial"/>
          <w:color w:val="000000"/>
          <w:sz w:val="22"/>
          <w:szCs w:val="22"/>
          <w:lang w:eastAsia="en-US"/>
        </w:rPr>
        <w:t xml:space="preserve">Flexible Retirement. </w:t>
      </w:r>
    </w:p>
    <w:p w14:paraId="6D1622A1"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p>
    <w:p w14:paraId="6D1622A2" w14:textId="77777777" w:rsidR="00707B1E" w:rsidRPr="00601B12" w:rsidRDefault="007266DE" w:rsidP="007266DE">
      <w:pPr>
        <w:autoSpaceDE w:val="0"/>
        <w:autoSpaceDN w:val="0"/>
        <w:adjustRightInd w:val="0"/>
        <w:ind w:left="425"/>
        <w:jc w:val="both"/>
        <w:rPr>
          <w:rFonts w:ascii="Arial" w:eastAsiaTheme="minorHAnsi" w:hAnsi="Arial" w:cs="Arial"/>
          <w:color w:val="000000"/>
          <w:sz w:val="22"/>
          <w:szCs w:val="22"/>
          <w:lang w:eastAsia="en-US"/>
        </w:rPr>
      </w:pPr>
      <w:r w:rsidRPr="00601B12">
        <w:rPr>
          <w:rFonts w:ascii="Arial" w:eastAsiaTheme="minorHAnsi" w:hAnsi="Arial" w:cs="Arial"/>
          <w:color w:val="000000"/>
          <w:sz w:val="22"/>
          <w:szCs w:val="22"/>
          <w:lang w:eastAsia="en-US"/>
        </w:rPr>
        <w:t>For</w:t>
      </w:r>
      <w:r w:rsidR="00707B1E" w:rsidRPr="00601B12">
        <w:rPr>
          <w:rFonts w:ascii="Arial" w:eastAsiaTheme="minorHAnsi" w:hAnsi="Arial" w:cs="Arial"/>
          <w:color w:val="000000"/>
          <w:sz w:val="22"/>
          <w:szCs w:val="22"/>
          <w:lang w:eastAsia="en-US"/>
        </w:rPr>
        <w:t xml:space="preserve"> membership after 1 April 2008, members </w:t>
      </w:r>
      <w:r w:rsidRPr="00601B12">
        <w:rPr>
          <w:rFonts w:ascii="Arial" w:eastAsiaTheme="minorHAnsi" w:hAnsi="Arial" w:cs="Arial"/>
          <w:color w:val="000000"/>
          <w:sz w:val="22"/>
          <w:szCs w:val="22"/>
          <w:lang w:eastAsia="en-US"/>
        </w:rPr>
        <w:t>can opt</w:t>
      </w:r>
      <w:r w:rsidR="00707B1E" w:rsidRPr="00601B12">
        <w:rPr>
          <w:rFonts w:ascii="Arial" w:eastAsiaTheme="minorHAnsi" w:hAnsi="Arial" w:cs="Arial"/>
          <w:color w:val="000000"/>
          <w:sz w:val="22"/>
          <w:szCs w:val="22"/>
          <w:lang w:eastAsia="en-US"/>
        </w:rPr>
        <w:t xml:space="preserve"> to take a lump sum by giving up some of their pension. For each £1 of pension given up, a lump sum of £12 will be paid, up to </w:t>
      </w:r>
      <w:r w:rsidRPr="00601B12">
        <w:rPr>
          <w:rFonts w:ascii="Arial" w:eastAsiaTheme="minorHAnsi" w:hAnsi="Arial" w:cs="Arial"/>
          <w:color w:val="000000"/>
          <w:sz w:val="22"/>
          <w:szCs w:val="22"/>
          <w:lang w:eastAsia="en-US"/>
        </w:rPr>
        <w:t>a maximum of</w:t>
      </w:r>
      <w:r w:rsidR="00707B1E" w:rsidRPr="00601B12">
        <w:rPr>
          <w:rFonts w:ascii="Arial" w:eastAsiaTheme="minorHAnsi" w:hAnsi="Arial" w:cs="Arial"/>
          <w:color w:val="000000"/>
          <w:sz w:val="22"/>
          <w:szCs w:val="22"/>
          <w:lang w:eastAsia="en-US"/>
        </w:rPr>
        <w:t xml:space="preserve"> 25% of the capital value of all their</w:t>
      </w:r>
      <w:r w:rsidRPr="00601B12">
        <w:rPr>
          <w:rFonts w:ascii="Arial" w:eastAsiaTheme="minorHAnsi" w:hAnsi="Arial" w:cs="Arial"/>
          <w:color w:val="000000"/>
          <w:sz w:val="22"/>
          <w:szCs w:val="22"/>
          <w:lang w:eastAsia="en-US"/>
        </w:rPr>
        <w:t xml:space="preserve"> pe</w:t>
      </w:r>
      <w:r w:rsidR="00707B1E" w:rsidRPr="00601B12">
        <w:rPr>
          <w:rFonts w:ascii="Arial" w:eastAsiaTheme="minorHAnsi" w:hAnsi="Arial" w:cs="Arial"/>
          <w:color w:val="000000"/>
          <w:sz w:val="22"/>
          <w:szCs w:val="22"/>
          <w:lang w:eastAsia="en-US"/>
        </w:rPr>
        <w:t xml:space="preserve">nsion benefits. </w:t>
      </w:r>
    </w:p>
    <w:p w14:paraId="6D1622A3" w14:textId="77777777" w:rsidR="00707B1E" w:rsidRPr="00601B12" w:rsidRDefault="00707B1E" w:rsidP="007266DE">
      <w:pPr>
        <w:autoSpaceDE w:val="0"/>
        <w:autoSpaceDN w:val="0"/>
        <w:adjustRightInd w:val="0"/>
        <w:ind w:left="425"/>
        <w:rPr>
          <w:rFonts w:ascii="Arial" w:eastAsiaTheme="minorHAnsi" w:hAnsi="Arial" w:cs="Arial"/>
          <w:color w:val="000000"/>
          <w:sz w:val="22"/>
          <w:szCs w:val="22"/>
          <w:lang w:eastAsia="en-US"/>
        </w:rPr>
      </w:pPr>
    </w:p>
    <w:p w14:paraId="6D1622A4" w14:textId="77777777" w:rsidR="00707B1E" w:rsidRPr="00601B12" w:rsidRDefault="009F6163" w:rsidP="007266DE">
      <w:pPr>
        <w:autoSpaceDE w:val="0"/>
        <w:autoSpaceDN w:val="0"/>
        <w:adjustRightInd w:val="0"/>
        <w:ind w:left="425" w:hanging="426"/>
        <w:rPr>
          <w:rFonts w:ascii="Arial" w:eastAsiaTheme="minorHAnsi" w:hAnsi="Arial" w:cs="Arial"/>
          <w:b/>
          <w:bCs/>
          <w:color w:val="0070C0"/>
          <w:sz w:val="22"/>
          <w:szCs w:val="22"/>
          <w:lang w:eastAsia="en-US"/>
        </w:rPr>
      </w:pPr>
      <w:r w:rsidRPr="00601B12">
        <w:rPr>
          <w:rFonts w:ascii="Arial" w:eastAsiaTheme="minorHAnsi" w:hAnsi="Arial" w:cs="Arial"/>
          <w:b/>
          <w:bCs/>
          <w:color w:val="0070C0"/>
          <w:sz w:val="22"/>
          <w:szCs w:val="22"/>
          <w:lang w:eastAsia="en-US"/>
        </w:rPr>
        <w:t>3.3</w:t>
      </w:r>
      <w:r w:rsidR="00707B1E" w:rsidRPr="00601B12">
        <w:rPr>
          <w:rFonts w:ascii="Arial" w:eastAsiaTheme="minorHAnsi" w:hAnsi="Arial" w:cs="Arial"/>
          <w:b/>
          <w:bCs/>
          <w:color w:val="0070C0"/>
          <w:sz w:val="22"/>
          <w:szCs w:val="22"/>
          <w:lang w:eastAsia="en-US"/>
        </w:rPr>
        <w:tab/>
        <w:t xml:space="preserve">Ill Health Retirement </w:t>
      </w:r>
    </w:p>
    <w:p w14:paraId="6D1622A5" w14:textId="77777777" w:rsidR="00707B1E" w:rsidRPr="00601B12" w:rsidRDefault="00707B1E" w:rsidP="007266DE">
      <w:pPr>
        <w:autoSpaceDE w:val="0"/>
        <w:autoSpaceDN w:val="0"/>
        <w:adjustRightInd w:val="0"/>
        <w:ind w:left="425" w:hanging="426"/>
        <w:rPr>
          <w:rFonts w:ascii="Arial" w:eastAsiaTheme="minorHAnsi" w:hAnsi="Arial" w:cs="Arial"/>
          <w:color w:val="000000"/>
          <w:sz w:val="22"/>
          <w:szCs w:val="22"/>
          <w:lang w:eastAsia="en-US"/>
        </w:rPr>
      </w:pPr>
    </w:p>
    <w:p w14:paraId="6D1622A6"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r w:rsidRPr="00601B12">
        <w:rPr>
          <w:rFonts w:ascii="Arial" w:eastAsiaTheme="minorHAnsi" w:hAnsi="Arial" w:cs="Arial"/>
          <w:color w:val="000000"/>
          <w:sz w:val="22"/>
          <w:szCs w:val="22"/>
          <w:lang w:eastAsia="en-US"/>
        </w:rPr>
        <w:t xml:space="preserve">If a member’s employment is terminated </w:t>
      </w:r>
      <w:r w:rsidR="002E5194" w:rsidRPr="00601B12">
        <w:rPr>
          <w:rFonts w:ascii="Arial" w:eastAsiaTheme="minorHAnsi" w:hAnsi="Arial" w:cs="Arial"/>
          <w:color w:val="000000"/>
          <w:sz w:val="22"/>
          <w:szCs w:val="22"/>
          <w:lang w:eastAsia="en-US"/>
        </w:rPr>
        <w:t>due to</w:t>
      </w:r>
      <w:r w:rsidRPr="00601B12">
        <w:rPr>
          <w:rFonts w:ascii="Arial" w:eastAsiaTheme="minorHAnsi" w:hAnsi="Arial" w:cs="Arial"/>
          <w:color w:val="000000"/>
          <w:sz w:val="22"/>
          <w:szCs w:val="22"/>
          <w:lang w:eastAsia="en-US"/>
        </w:rPr>
        <w:t xml:space="preserve"> permanent ill health and the member has at least 2 years membership, the pension is based on the member’s accrued membership, plus: </w:t>
      </w:r>
    </w:p>
    <w:p w14:paraId="6D1622A7"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p>
    <w:p w14:paraId="6D1622A8"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r w:rsidRPr="00601B12">
        <w:rPr>
          <w:rFonts w:ascii="Arial" w:eastAsiaTheme="minorHAnsi" w:hAnsi="Arial" w:cs="Arial"/>
          <w:b/>
          <w:bCs/>
          <w:color w:val="000000"/>
          <w:sz w:val="22"/>
          <w:szCs w:val="22"/>
          <w:lang w:eastAsia="en-US"/>
        </w:rPr>
        <w:t xml:space="preserve">First Tier- </w:t>
      </w:r>
      <w:r w:rsidRPr="00601B12">
        <w:rPr>
          <w:rFonts w:ascii="Arial" w:eastAsiaTheme="minorHAnsi" w:hAnsi="Arial" w:cs="Arial"/>
          <w:color w:val="000000"/>
          <w:sz w:val="22"/>
          <w:szCs w:val="22"/>
          <w:lang w:eastAsia="en-US"/>
        </w:rPr>
        <w:t xml:space="preserve">100% of prospective membership between leaving and NPA, where the member has no reasonable prospect of being capable of obtaining gainful employment before age </w:t>
      </w:r>
      <w:proofErr w:type="gramStart"/>
      <w:r w:rsidRPr="00601B12">
        <w:rPr>
          <w:rFonts w:ascii="Arial" w:eastAsiaTheme="minorHAnsi" w:hAnsi="Arial" w:cs="Arial"/>
          <w:color w:val="000000"/>
          <w:sz w:val="22"/>
          <w:szCs w:val="22"/>
          <w:lang w:eastAsia="en-US"/>
        </w:rPr>
        <w:t>65</w:t>
      </w:r>
      <w:proofErr w:type="gramEnd"/>
    </w:p>
    <w:p w14:paraId="6D1622A9"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p>
    <w:p w14:paraId="6D1622AA"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r w:rsidRPr="00601B12">
        <w:rPr>
          <w:rFonts w:ascii="Arial" w:eastAsiaTheme="minorHAnsi" w:hAnsi="Arial" w:cs="Arial"/>
          <w:b/>
          <w:bCs/>
          <w:color w:val="000000"/>
          <w:sz w:val="22"/>
          <w:szCs w:val="22"/>
          <w:lang w:eastAsia="en-US"/>
        </w:rPr>
        <w:t xml:space="preserve">Second Tier- </w:t>
      </w:r>
      <w:r w:rsidRPr="00601B12">
        <w:rPr>
          <w:rFonts w:ascii="Arial" w:eastAsiaTheme="minorHAnsi" w:hAnsi="Arial" w:cs="Arial"/>
          <w:color w:val="000000"/>
          <w:sz w:val="22"/>
          <w:szCs w:val="22"/>
          <w:lang w:eastAsia="en-US"/>
        </w:rPr>
        <w:t xml:space="preserve">25% of prospective membership between leaving and NPA, where the member is unlikely to be capable of obtaining gainful employment within a reasonable </w:t>
      </w:r>
      <w:proofErr w:type="gramStart"/>
      <w:r w:rsidRPr="00601B12">
        <w:rPr>
          <w:rFonts w:ascii="Arial" w:eastAsiaTheme="minorHAnsi" w:hAnsi="Arial" w:cs="Arial"/>
          <w:color w:val="000000"/>
          <w:sz w:val="22"/>
          <w:szCs w:val="22"/>
          <w:lang w:eastAsia="en-US"/>
        </w:rPr>
        <w:t xml:space="preserve">period of </w:t>
      </w:r>
      <w:r w:rsidR="002E5194" w:rsidRPr="00601B12">
        <w:rPr>
          <w:rFonts w:ascii="Arial" w:eastAsiaTheme="minorHAnsi" w:hAnsi="Arial" w:cs="Arial"/>
          <w:color w:val="000000"/>
          <w:sz w:val="22"/>
          <w:szCs w:val="22"/>
          <w:lang w:eastAsia="en-US"/>
        </w:rPr>
        <w:t>time</w:t>
      </w:r>
      <w:proofErr w:type="gramEnd"/>
      <w:r w:rsidR="002E5194" w:rsidRPr="00601B12">
        <w:rPr>
          <w:rFonts w:ascii="Arial" w:eastAsiaTheme="minorHAnsi" w:hAnsi="Arial" w:cs="Arial"/>
          <w:color w:val="000000"/>
          <w:sz w:val="22"/>
          <w:szCs w:val="22"/>
          <w:lang w:eastAsia="en-US"/>
        </w:rPr>
        <w:t xml:space="preserve"> but</w:t>
      </w:r>
      <w:r w:rsidRPr="00601B12">
        <w:rPr>
          <w:rFonts w:ascii="Arial" w:eastAsiaTheme="minorHAnsi" w:hAnsi="Arial" w:cs="Arial"/>
          <w:color w:val="000000"/>
          <w:sz w:val="22"/>
          <w:szCs w:val="22"/>
          <w:lang w:eastAsia="en-US"/>
        </w:rPr>
        <w:t xml:space="preserve"> is likely to be able to be capable of obtaining gainful employment before </w:t>
      </w:r>
      <w:r w:rsidR="002E5194" w:rsidRPr="00601B12">
        <w:rPr>
          <w:rFonts w:ascii="Arial" w:eastAsiaTheme="minorHAnsi" w:hAnsi="Arial" w:cs="Arial"/>
          <w:color w:val="000000"/>
          <w:sz w:val="22"/>
          <w:szCs w:val="22"/>
          <w:lang w:eastAsia="en-US"/>
        </w:rPr>
        <w:t>NPA</w:t>
      </w:r>
      <w:r w:rsidRPr="00601B12">
        <w:rPr>
          <w:rFonts w:ascii="Arial" w:eastAsiaTheme="minorHAnsi" w:hAnsi="Arial" w:cs="Arial"/>
          <w:color w:val="000000"/>
          <w:sz w:val="22"/>
          <w:szCs w:val="22"/>
          <w:lang w:eastAsia="en-US"/>
        </w:rPr>
        <w:t xml:space="preserve">. </w:t>
      </w:r>
    </w:p>
    <w:p w14:paraId="6D1622AB"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p>
    <w:p w14:paraId="6D1622AC"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r w:rsidRPr="00601B12">
        <w:rPr>
          <w:rFonts w:ascii="Arial" w:eastAsiaTheme="minorHAnsi" w:hAnsi="Arial" w:cs="Arial"/>
          <w:b/>
          <w:bCs/>
          <w:color w:val="000000"/>
          <w:sz w:val="22"/>
          <w:szCs w:val="22"/>
          <w:lang w:eastAsia="en-US"/>
        </w:rPr>
        <w:t xml:space="preserve">Third Tier- </w:t>
      </w:r>
      <w:r w:rsidR="002E5194" w:rsidRPr="00601B12">
        <w:rPr>
          <w:rFonts w:ascii="Arial" w:eastAsiaTheme="minorHAnsi" w:hAnsi="Arial" w:cs="Arial"/>
          <w:color w:val="000000"/>
          <w:sz w:val="22"/>
          <w:szCs w:val="22"/>
          <w:lang w:eastAsia="en-US"/>
        </w:rPr>
        <w:t>w</w:t>
      </w:r>
      <w:r w:rsidRPr="00601B12">
        <w:rPr>
          <w:rFonts w:ascii="Arial" w:eastAsiaTheme="minorHAnsi" w:hAnsi="Arial" w:cs="Arial"/>
          <w:color w:val="000000"/>
          <w:sz w:val="22"/>
          <w:szCs w:val="22"/>
          <w:lang w:eastAsia="en-US"/>
        </w:rPr>
        <w:t xml:space="preserve">ith no enhancement where the member is likely to be able to obtain gainful employment within three years of leaving and are payable for so long as </w:t>
      </w:r>
      <w:r w:rsidR="002E5194" w:rsidRPr="00601B12">
        <w:rPr>
          <w:rFonts w:ascii="Arial" w:eastAsiaTheme="minorHAnsi" w:hAnsi="Arial" w:cs="Arial"/>
          <w:color w:val="000000"/>
          <w:sz w:val="22"/>
          <w:szCs w:val="22"/>
          <w:lang w:eastAsia="en-US"/>
        </w:rPr>
        <w:t>they are</w:t>
      </w:r>
      <w:r w:rsidRPr="00601B12">
        <w:rPr>
          <w:rFonts w:ascii="Arial" w:eastAsiaTheme="minorHAnsi" w:hAnsi="Arial" w:cs="Arial"/>
          <w:color w:val="000000"/>
          <w:sz w:val="22"/>
          <w:szCs w:val="22"/>
          <w:lang w:eastAsia="en-US"/>
        </w:rPr>
        <w:t xml:space="preserve"> not in gainful employment. </w:t>
      </w:r>
    </w:p>
    <w:p w14:paraId="6D1622AD" w14:textId="77777777" w:rsidR="00707B1E" w:rsidRPr="00601B12" w:rsidRDefault="00707B1E" w:rsidP="007266DE">
      <w:pPr>
        <w:autoSpaceDE w:val="0"/>
        <w:autoSpaceDN w:val="0"/>
        <w:adjustRightInd w:val="0"/>
        <w:ind w:left="425"/>
        <w:rPr>
          <w:rFonts w:ascii="Arial" w:eastAsiaTheme="minorHAnsi" w:hAnsi="Arial" w:cs="Arial"/>
          <w:color w:val="000000"/>
          <w:sz w:val="22"/>
          <w:szCs w:val="22"/>
          <w:lang w:eastAsia="en-US"/>
        </w:rPr>
      </w:pPr>
    </w:p>
    <w:p w14:paraId="6D1622AE" w14:textId="77777777" w:rsidR="002E5194" w:rsidRPr="00601B12" w:rsidRDefault="009F6163" w:rsidP="007266DE">
      <w:pPr>
        <w:autoSpaceDE w:val="0"/>
        <w:autoSpaceDN w:val="0"/>
        <w:adjustRightInd w:val="0"/>
        <w:ind w:left="425" w:hanging="426"/>
        <w:rPr>
          <w:rFonts w:ascii="Arial" w:eastAsiaTheme="minorHAnsi" w:hAnsi="Arial" w:cs="Arial"/>
          <w:b/>
          <w:bCs/>
          <w:color w:val="0070C0"/>
          <w:sz w:val="22"/>
          <w:szCs w:val="22"/>
          <w:lang w:eastAsia="en-US"/>
        </w:rPr>
      </w:pPr>
      <w:r w:rsidRPr="00601B12">
        <w:rPr>
          <w:rFonts w:ascii="Arial" w:eastAsiaTheme="minorHAnsi" w:hAnsi="Arial" w:cs="Arial"/>
          <w:b/>
          <w:bCs/>
          <w:color w:val="0070C0"/>
          <w:sz w:val="22"/>
          <w:szCs w:val="22"/>
          <w:lang w:eastAsia="en-US"/>
        </w:rPr>
        <w:t>3.4</w:t>
      </w:r>
      <w:r w:rsidR="002E5194" w:rsidRPr="00E35F96">
        <w:rPr>
          <w:rFonts w:ascii="Arial" w:hAnsi="Arial" w:cs="Arial"/>
          <w:color w:val="0070C0"/>
        </w:rPr>
        <w:t xml:space="preserve"> </w:t>
      </w:r>
      <w:r w:rsidR="002E5194" w:rsidRPr="00E35F96">
        <w:rPr>
          <w:rFonts w:ascii="Arial" w:hAnsi="Arial" w:cs="Arial"/>
          <w:color w:val="0070C0"/>
        </w:rPr>
        <w:tab/>
      </w:r>
      <w:r w:rsidR="002E5194" w:rsidRPr="00601B12">
        <w:rPr>
          <w:rFonts w:ascii="Arial" w:eastAsiaTheme="minorHAnsi" w:hAnsi="Arial" w:cs="Arial"/>
          <w:b/>
          <w:bCs/>
          <w:color w:val="0070C0"/>
          <w:sz w:val="22"/>
          <w:szCs w:val="22"/>
          <w:lang w:eastAsia="en-US"/>
        </w:rPr>
        <w:t>Death in Service</w:t>
      </w:r>
    </w:p>
    <w:p w14:paraId="6D1622AF" w14:textId="77777777" w:rsidR="002E5194" w:rsidRPr="00601B12" w:rsidRDefault="002E5194" w:rsidP="007266DE">
      <w:pPr>
        <w:autoSpaceDE w:val="0"/>
        <w:autoSpaceDN w:val="0"/>
        <w:adjustRightInd w:val="0"/>
        <w:ind w:left="425"/>
        <w:rPr>
          <w:rFonts w:ascii="Arial" w:eastAsiaTheme="minorHAnsi" w:hAnsi="Arial" w:cs="Arial"/>
          <w:color w:val="000000"/>
          <w:sz w:val="22"/>
          <w:szCs w:val="22"/>
          <w:lang w:eastAsia="en-US"/>
        </w:rPr>
      </w:pPr>
    </w:p>
    <w:p w14:paraId="6D1622B0" w14:textId="77777777" w:rsidR="00707B1E" w:rsidRPr="00601B12" w:rsidRDefault="00707B1E" w:rsidP="007266DE">
      <w:pPr>
        <w:autoSpaceDE w:val="0"/>
        <w:autoSpaceDN w:val="0"/>
        <w:adjustRightInd w:val="0"/>
        <w:ind w:left="425"/>
        <w:jc w:val="both"/>
        <w:rPr>
          <w:rFonts w:ascii="Arial" w:eastAsiaTheme="minorHAnsi" w:hAnsi="Arial" w:cs="Arial"/>
          <w:color w:val="000000"/>
          <w:sz w:val="22"/>
          <w:szCs w:val="22"/>
          <w:lang w:eastAsia="en-US"/>
        </w:rPr>
      </w:pPr>
      <w:r w:rsidRPr="00601B12">
        <w:rPr>
          <w:rFonts w:ascii="Arial" w:eastAsiaTheme="minorHAnsi" w:hAnsi="Arial" w:cs="Arial"/>
          <w:color w:val="000000"/>
          <w:sz w:val="22"/>
          <w:szCs w:val="22"/>
          <w:lang w:eastAsia="en-US"/>
        </w:rPr>
        <w:t xml:space="preserve">A lump sum death grant, equal to three times the member’s actual pay, is issued regardless of length of membership. In addition to the lump sum death grant, pensions are payable to surviving spouses/civil partners/cohabiting partners and children up to the age of 18, or while still in full time education up to age 23, which is based on the deceased member’s pension. The member may nominate who they wish to receive their death grant. </w:t>
      </w:r>
    </w:p>
    <w:p w14:paraId="6D1622B1" w14:textId="77777777" w:rsidR="00707B1E" w:rsidRPr="00601B12" w:rsidRDefault="00707B1E" w:rsidP="007266DE">
      <w:pPr>
        <w:pStyle w:val="ListParagraph"/>
        <w:autoSpaceDE w:val="0"/>
        <w:autoSpaceDN w:val="0"/>
        <w:adjustRightInd w:val="0"/>
        <w:spacing w:after="0" w:line="240" w:lineRule="auto"/>
        <w:ind w:left="425" w:hanging="426"/>
        <w:rPr>
          <w:rFonts w:ascii="Arial" w:hAnsi="Arial" w:cs="Arial"/>
          <w:b/>
          <w:bCs/>
          <w:color w:val="FF0000"/>
          <w:sz w:val="28"/>
          <w:szCs w:val="28"/>
        </w:rPr>
      </w:pPr>
    </w:p>
    <w:p w14:paraId="6D1622B2" w14:textId="77777777" w:rsidR="00006D81" w:rsidRPr="00601B12" w:rsidRDefault="00006D81" w:rsidP="00006D81">
      <w:pPr>
        <w:autoSpaceDE w:val="0"/>
        <w:autoSpaceDN w:val="0"/>
        <w:adjustRightInd w:val="0"/>
        <w:ind w:left="425" w:hanging="426"/>
        <w:rPr>
          <w:rFonts w:ascii="Arial" w:eastAsiaTheme="minorHAnsi" w:hAnsi="Arial" w:cs="Arial"/>
          <w:b/>
          <w:bCs/>
          <w:color w:val="0070C0"/>
          <w:sz w:val="22"/>
          <w:szCs w:val="22"/>
          <w:lang w:eastAsia="en-US"/>
        </w:rPr>
      </w:pPr>
      <w:r w:rsidRPr="00601B12">
        <w:rPr>
          <w:rFonts w:ascii="Arial" w:eastAsiaTheme="minorHAnsi" w:hAnsi="Arial" w:cs="Arial"/>
          <w:b/>
          <w:bCs/>
          <w:color w:val="0070C0"/>
          <w:sz w:val="22"/>
          <w:szCs w:val="22"/>
          <w:lang w:eastAsia="en-US"/>
        </w:rPr>
        <w:t>3.5</w:t>
      </w:r>
      <w:r w:rsidRPr="00E35F96">
        <w:rPr>
          <w:rFonts w:ascii="Arial" w:hAnsi="Arial" w:cs="Arial"/>
          <w:color w:val="0070C0"/>
        </w:rPr>
        <w:t xml:space="preserve"> </w:t>
      </w:r>
      <w:r w:rsidRPr="00E35F96">
        <w:rPr>
          <w:rFonts w:ascii="Arial" w:hAnsi="Arial" w:cs="Arial"/>
          <w:color w:val="0070C0"/>
        </w:rPr>
        <w:tab/>
      </w:r>
      <w:r w:rsidRPr="00601B12">
        <w:rPr>
          <w:rFonts w:ascii="Arial" w:eastAsiaTheme="minorHAnsi" w:hAnsi="Arial" w:cs="Arial"/>
          <w:b/>
          <w:bCs/>
          <w:color w:val="0070C0"/>
          <w:sz w:val="22"/>
          <w:szCs w:val="22"/>
          <w:lang w:eastAsia="en-US"/>
        </w:rPr>
        <w:t>Death in Retirement</w:t>
      </w:r>
    </w:p>
    <w:p w14:paraId="6D1622B3" w14:textId="77777777" w:rsidR="00006D81" w:rsidRPr="00E35F96" w:rsidRDefault="00006D81" w:rsidP="00006D81">
      <w:pPr>
        <w:pStyle w:val="ListParagraph"/>
        <w:autoSpaceDE w:val="0"/>
        <w:autoSpaceDN w:val="0"/>
        <w:adjustRightInd w:val="0"/>
        <w:spacing w:after="0" w:line="240" w:lineRule="auto"/>
        <w:ind w:left="425" w:hanging="426"/>
        <w:rPr>
          <w:rFonts w:ascii="Arial" w:eastAsiaTheme="minorHAnsi" w:hAnsi="Arial" w:cs="Arial"/>
          <w:color w:val="000000"/>
          <w:sz w:val="23"/>
          <w:szCs w:val="23"/>
        </w:rPr>
      </w:pPr>
    </w:p>
    <w:p w14:paraId="6D1622B4" w14:textId="77777777" w:rsidR="00006D81" w:rsidRPr="00601B12" w:rsidRDefault="00006D81" w:rsidP="00006D81">
      <w:pPr>
        <w:pStyle w:val="ListParagraph"/>
        <w:autoSpaceDE w:val="0"/>
        <w:autoSpaceDN w:val="0"/>
        <w:adjustRightInd w:val="0"/>
        <w:spacing w:after="0" w:line="240" w:lineRule="auto"/>
        <w:ind w:left="425"/>
        <w:rPr>
          <w:rFonts w:ascii="Arial" w:hAnsi="Arial" w:cs="Arial"/>
          <w:b/>
          <w:bCs/>
          <w:color w:val="FF0000"/>
        </w:rPr>
      </w:pPr>
      <w:r w:rsidRPr="00601B12">
        <w:rPr>
          <w:rFonts w:ascii="Arial" w:eastAsiaTheme="minorHAnsi" w:hAnsi="Arial" w:cs="Arial"/>
          <w:color w:val="000000"/>
        </w:rPr>
        <w:t>Surviving spouse’s/civil partner’s/cohabiting partner’s and children’s pensions will be paid in the same way as above, but it will be based on the former employee’s pension. If the death occurs before ten years of the pension has been paid and before the member reached age 75, the balance will be paid as a lump sum.</w:t>
      </w:r>
    </w:p>
    <w:p w14:paraId="6D1622B5" w14:textId="77777777" w:rsidR="00006D81" w:rsidRPr="00601B12" w:rsidRDefault="00006D81">
      <w:pPr>
        <w:spacing w:after="200" w:line="276" w:lineRule="auto"/>
        <w:rPr>
          <w:rFonts w:ascii="Arial" w:hAnsi="Arial" w:cs="Arial"/>
          <w:b/>
          <w:bCs/>
          <w:color w:val="FF0000"/>
          <w:sz w:val="28"/>
          <w:szCs w:val="28"/>
          <w:lang w:eastAsia="en-US"/>
        </w:rPr>
      </w:pPr>
      <w:r w:rsidRPr="00601B12">
        <w:rPr>
          <w:rFonts w:ascii="Arial" w:hAnsi="Arial" w:cs="Arial"/>
          <w:b/>
          <w:bCs/>
          <w:color w:val="FF0000"/>
          <w:sz w:val="28"/>
          <w:szCs w:val="28"/>
        </w:rPr>
        <w:br w:type="page"/>
      </w:r>
    </w:p>
    <w:p w14:paraId="6D1622B6" w14:textId="77777777" w:rsidR="00C41C82" w:rsidRPr="00601B12" w:rsidRDefault="00EE48E9" w:rsidP="00707B1E">
      <w:pPr>
        <w:pStyle w:val="ListParagraph"/>
        <w:autoSpaceDE w:val="0"/>
        <w:autoSpaceDN w:val="0"/>
        <w:adjustRightInd w:val="0"/>
        <w:spacing w:after="0" w:line="240" w:lineRule="auto"/>
        <w:ind w:left="426" w:hanging="426"/>
        <w:rPr>
          <w:rFonts w:ascii="Arial" w:hAnsi="Arial" w:cs="Arial"/>
          <w:b/>
          <w:bCs/>
          <w:color w:val="FF0000"/>
          <w:sz w:val="28"/>
          <w:szCs w:val="28"/>
        </w:rPr>
      </w:pPr>
      <w:r w:rsidRPr="00601B12">
        <w:rPr>
          <w:rFonts w:ascii="Arial" w:hAnsi="Arial" w:cs="Arial"/>
          <w:b/>
          <w:bCs/>
          <w:color w:val="FF0000"/>
          <w:sz w:val="28"/>
          <w:szCs w:val="28"/>
        </w:rPr>
        <w:t>4</w:t>
      </w:r>
      <w:r w:rsidR="00C41C82" w:rsidRPr="00601B12">
        <w:rPr>
          <w:rFonts w:ascii="Arial" w:hAnsi="Arial" w:cs="Arial"/>
          <w:b/>
          <w:bCs/>
          <w:color w:val="FF0000"/>
          <w:sz w:val="28"/>
          <w:szCs w:val="28"/>
        </w:rPr>
        <w:t>.</w:t>
      </w:r>
      <w:r w:rsidR="00C41C82" w:rsidRPr="00601B12">
        <w:rPr>
          <w:rFonts w:ascii="Arial" w:hAnsi="Arial" w:cs="Arial"/>
          <w:b/>
          <w:bCs/>
          <w:color w:val="FF0000"/>
          <w:sz w:val="28"/>
          <w:szCs w:val="28"/>
        </w:rPr>
        <w:tab/>
      </w:r>
      <w:r w:rsidR="00006D81" w:rsidRPr="00601B12">
        <w:rPr>
          <w:rFonts w:ascii="Arial" w:hAnsi="Arial" w:cs="Arial"/>
          <w:b/>
          <w:bCs/>
          <w:color w:val="FF0000"/>
          <w:sz w:val="28"/>
          <w:szCs w:val="28"/>
        </w:rPr>
        <w:t xml:space="preserve">Pension </w:t>
      </w:r>
      <w:r w:rsidR="00C41C82" w:rsidRPr="00601B12">
        <w:rPr>
          <w:rFonts w:ascii="Arial" w:hAnsi="Arial" w:cs="Arial"/>
          <w:b/>
          <w:bCs/>
          <w:color w:val="FF0000"/>
          <w:sz w:val="28"/>
          <w:szCs w:val="28"/>
        </w:rPr>
        <w:t xml:space="preserve">Fund Management </w:t>
      </w:r>
    </w:p>
    <w:p w14:paraId="6D1622B7" w14:textId="77777777" w:rsidR="00C41C82" w:rsidRPr="00601B12" w:rsidRDefault="00C41C82" w:rsidP="00EF47C8">
      <w:pPr>
        <w:pStyle w:val="ListParagraph"/>
        <w:autoSpaceDE w:val="0"/>
        <w:autoSpaceDN w:val="0"/>
        <w:adjustRightInd w:val="0"/>
        <w:spacing w:after="0" w:line="240" w:lineRule="auto"/>
        <w:ind w:left="426" w:hanging="426"/>
        <w:rPr>
          <w:rFonts w:ascii="Arial" w:hAnsi="Arial" w:cs="Arial"/>
          <w:b/>
          <w:bCs/>
          <w:color w:val="A71937"/>
          <w:sz w:val="28"/>
          <w:szCs w:val="28"/>
        </w:rPr>
      </w:pPr>
    </w:p>
    <w:p w14:paraId="6D1622B8" w14:textId="77777777" w:rsidR="005E2371" w:rsidRPr="00601B12" w:rsidRDefault="00EE48E9" w:rsidP="003D6795">
      <w:pPr>
        <w:pStyle w:val="ListParagraph"/>
        <w:autoSpaceDE w:val="0"/>
        <w:autoSpaceDN w:val="0"/>
        <w:adjustRightInd w:val="0"/>
        <w:spacing w:after="0" w:line="240" w:lineRule="auto"/>
        <w:ind w:left="426" w:hanging="426"/>
        <w:jc w:val="both"/>
        <w:rPr>
          <w:rFonts w:ascii="Arial" w:hAnsi="Arial" w:cs="Arial"/>
          <w:color w:val="0070C0"/>
        </w:rPr>
      </w:pPr>
      <w:r w:rsidRPr="00601B12">
        <w:rPr>
          <w:rFonts w:ascii="Arial" w:hAnsi="Arial" w:cs="Arial"/>
          <w:b/>
          <w:bCs/>
          <w:color w:val="0070C0"/>
        </w:rPr>
        <w:t>4</w:t>
      </w:r>
      <w:r w:rsidR="00C41C82" w:rsidRPr="00601B12">
        <w:rPr>
          <w:rFonts w:ascii="Arial" w:hAnsi="Arial" w:cs="Arial"/>
          <w:b/>
          <w:bCs/>
          <w:color w:val="0070C0"/>
        </w:rPr>
        <w:t>.1</w:t>
      </w:r>
      <w:r w:rsidR="00C41C82" w:rsidRPr="00601B12">
        <w:rPr>
          <w:rFonts w:ascii="Arial" w:hAnsi="Arial" w:cs="Arial"/>
          <w:b/>
          <w:bCs/>
          <w:color w:val="0070C0"/>
        </w:rPr>
        <w:tab/>
        <w:t xml:space="preserve">Investment Managers </w:t>
      </w:r>
      <w:r w:rsidR="004146ED" w:rsidRPr="00601B12">
        <w:rPr>
          <w:rFonts w:ascii="Arial" w:hAnsi="Arial" w:cs="Arial"/>
          <w:color w:val="0070C0"/>
        </w:rPr>
        <w:tab/>
      </w:r>
    </w:p>
    <w:p w14:paraId="6D1622B9" w14:textId="77777777" w:rsidR="005E2371" w:rsidRPr="00601B12" w:rsidRDefault="005E2371" w:rsidP="003D6795">
      <w:pPr>
        <w:pStyle w:val="ListParagraph"/>
        <w:autoSpaceDE w:val="0"/>
        <w:autoSpaceDN w:val="0"/>
        <w:adjustRightInd w:val="0"/>
        <w:spacing w:after="0" w:line="240" w:lineRule="auto"/>
        <w:ind w:left="426" w:hanging="426"/>
        <w:jc w:val="both"/>
        <w:rPr>
          <w:rFonts w:ascii="Arial" w:hAnsi="Arial" w:cs="Arial"/>
          <w:color w:val="0070C0"/>
        </w:rPr>
      </w:pPr>
    </w:p>
    <w:p w14:paraId="6D1622BA" w14:textId="77777777" w:rsidR="00C41C82" w:rsidRPr="00601B12" w:rsidRDefault="00C41C82" w:rsidP="00863C37">
      <w:pPr>
        <w:pStyle w:val="ListParagraph"/>
        <w:autoSpaceDE w:val="0"/>
        <w:autoSpaceDN w:val="0"/>
        <w:adjustRightInd w:val="0"/>
        <w:spacing w:after="0" w:line="240" w:lineRule="auto"/>
        <w:ind w:left="426"/>
        <w:jc w:val="both"/>
        <w:rPr>
          <w:rFonts w:ascii="Arial" w:hAnsi="Arial" w:cs="Arial"/>
          <w:color w:val="000000"/>
        </w:rPr>
      </w:pPr>
      <w:r w:rsidRPr="00601B12">
        <w:rPr>
          <w:rFonts w:ascii="Arial" w:hAnsi="Arial" w:cs="Arial"/>
          <w:color w:val="000000"/>
        </w:rPr>
        <w:t xml:space="preserve">The Fund is invested in </w:t>
      </w:r>
      <w:r w:rsidR="005974AC" w:rsidRPr="00601B12">
        <w:rPr>
          <w:rFonts w:ascii="Arial" w:hAnsi="Arial" w:cs="Arial"/>
          <w:color w:val="000000"/>
        </w:rPr>
        <w:t>equity</w:t>
      </w:r>
      <w:r w:rsidRPr="00601B12">
        <w:rPr>
          <w:rFonts w:ascii="Arial" w:hAnsi="Arial" w:cs="Arial"/>
          <w:color w:val="000000"/>
        </w:rPr>
        <w:t xml:space="preserve">, fixed </w:t>
      </w:r>
      <w:r w:rsidR="005974AC" w:rsidRPr="00601B12">
        <w:rPr>
          <w:rFonts w:ascii="Arial" w:hAnsi="Arial" w:cs="Arial"/>
          <w:color w:val="000000"/>
        </w:rPr>
        <w:t>income</w:t>
      </w:r>
      <w:r w:rsidRPr="00601B12">
        <w:rPr>
          <w:rFonts w:ascii="Arial" w:hAnsi="Arial" w:cs="Arial"/>
          <w:color w:val="000000"/>
        </w:rPr>
        <w:t xml:space="preserve">, </w:t>
      </w:r>
      <w:r w:rsidR="00863C37" w:rsidRPr="00601B12">
        <w:rPr>
          <w:rFonts w:ascii="Arial" w:hAnsi="Arial" w:cs="Arial"/>
          <w:color w:val="000000"/>
        </w:rPr>
        <w:t xml:space="preserve">diversified growth funds, </w:t>
      </w:r>
      <w:r w:rsidR="001E5613" w:rsidRPr="00601B12">
        <w:rPr>
          <w:rFonts w:ascii="Arial" w:hAnsi="Arial" w:cs="Arial"/>
          <w:color w:val="000000"/>
        </w:rPr>
        <w:t>infrastructure</w:t>
      </w:r>
      <w:r w:rsidR="005974AC" w:rsidRPr="00601B12">
        <w:rPr>
          <w:rFonts w:ascii="Arial" w:hAnsi="Arial" w:cs="Arial"/>
          <w:color w:val="000000"/>
        </w:rPr>
        <w:t>, credit</w:t>
      </w:r>
      <w:r w:rsidR="003D6795" w:rsidRPr="00601B12">
        <w:rPr>
          <w:rFonts w:ascii="Arial" w:hAnsi="Arial" w:cs="Arial"/>
          <w:color w:val="000000"/>
        </w:rPr>
        <w:t xml:space="preserve">, </w:t>
      </w:r>
      <w:proofErr w:type="gramStart"/>
      <w:r w:rsidRPr="00601B12">
        <w:rPr>
          <w:rFonts w:ascii="Arial" w:hAnsi="Arial" w:cs="Arial"/>
          <w:color w:val="000000"/>
        </w:rPr>
        <w:t>property</w:t>
      </w:r>
      <w:proofErr w:type="gramEnd"/>
      <w:r w:rsidR="003D6795" w:rsidRPr="00601B12">
        <w:rPr>
          <w:rFonts w:ascii="Arial" w:hAnsi="Arial" w:cs="Arial"/>
          <w:color w:val="000000"/>
        </w:rPr>
        <w:t xml:space="preserve"> and alternatives, which include Hedge Funds and Private Equity. Investments are made </w:t>
      </w:r>
      <w:r w:rsidRPr="00601B12">
        <w:rPr>
          <w:rFonts w:ascii="Arial" w:hAnsi="Arial" w:cs="Arial"/>
          <w:color w:val="000000"/>
        </w:rPr>
        <w:t>both in the United Kingdom and overseas</w:t>
      </w:r>
      <w:r w:rsidR="00863C37" w:rsidRPr="00601B12">
        <w:rPr>
          <w:rFonts w:ascii="Arial" w:hAnsi="Arial" w:cs="Arial"/>
          <w:color w:val="000000"/>
        </w:rPr>
        <w:t>. The Fund does not manage any fund’s internally but uses thirteen external fund managers, the details of which are provided below:</w:t>
      </w:r>
    </w:p>
    <w:p w14:paraId="6D1622BB" w14:textId="77777777" w:rsidR="00597C72" w:rsidRPr="00601B12" w:rsidRDefault="00597C72" w:rsidP="00EF47C8">
      <w:pPr>
        <w:autoSpaceDE w:val="0"/>
        <w:autoSpaceDN w:val="0"/>
        <w:adjustRightInd w:val="0"/>
        <w:ind w:left="426" w:hanging="426"/>
        <w:rPr>
          <w:rFonts w:ascii="Arial" w:hAnsi="Arial" w:cs="Arial"/>
          <w:b/>
          <w:bCs/>
          <w:color w:val="000000"/>
          <w:sz w:val="22"/>
          <w:szCs w:val="22"/>
        </w:rPr>
      </w:pPr>
    </w:p>
    <w:tbl>
      <w:tblPr>
        <w:tblpPr w:leftFromText="180" w:rightFromText="180" w:vertAnchor="text" w:tblpX="534" w:tblpY="1"/>
        <w:tblOverlap w:val="never"/>
        <w:tblW w:w="8876" w:type="dxa"/>
        <w:tblLook w:val="04A0" w:firstRow="1" w:lastRow="0" w:firstColumn="1" w:lastColumn="0" w:noHBand="0" w:noVBand="1"/>
      </w:tblPr>
      <w:tblGrid>
        <w:gridCol w:w="4738"/>
        <w:gridCol w:w="4138"/>
      </w:tblGrid>
      <w:tr w:rsidR="00D02C57" w:rsidRPr="00601B12" w14:paraId="6D1622C4" w14:textId="77777777" w:rsidTr="007266DE">
        <w:trPr>
          <w:trHeight w:val="420"/>
        </w:trPr>
        <w:tc>
          <w:tcPr>
            <w:tcW w:w="4738" w:type="dxa"/>
            <w:tcBorders>
              <w:top w:val="single" w:sz="4" w:space="0" w:color="auto"/>
              <w:left w:val="single" w:sz="4" w:space="0" w:color="auto"/>
              <w:right w:val="single" w:sz="4" w:space="0" w:color="auto"/>
            </w:tcBorders>
            <w:shd w:val="clear" w:color="auto" w:fill="auto"/>
            <w:noWrap/>
            <w:hideMark/>
          </w:tcPr>
          <w:p w14:paraId="6D1622BC" w14:textId="77777777" w:rsidR="00D02C57" w:rsidRPr="00601B12" w:rsidRDefault="00D02C57" w:rsidP="007266DE">
            <w:pPr>
              <w:rPr>
                <w:rFonts w:ascii="Arial" w:hAnsi="Arial" w:cs="Arial"/>
                <w:color w:val="000000"/>
                <w:sz w:val="22"/>
                <w:szCs w:val="22"/>
                <w:u w:val="single"/>
              </w:rPr>
            </w:pPr>
            <w:r w:rsidRPr="00601B12">
              <w:rPr>
                <w:rFonts w:ascii="Arial" w:hAnsi="Arial" w:cs="Arial"/>
                <w:color w:val="000000"/>
                <w:sz w:val="22"/>
                <w:szCs w:val="22"/>
                <w:u w:val="single"/>
              </w:rPr>
              <w:t xml:space="preserve">Aberdeen </w:t>
            </w:r>
            <w:r w:rsidR="00980602" w:rsidRPr="00601B12">
              <w:rPr>
                <w:rFonts w:ascii="Arial" w:hAnsi="Arial" w:cs="Arial"/>
                <w:color w:val="000000"/>
                <w:sz w:val="22"/>
                <w:szCs w:val="22"/>
                <w:u w:val="single"/>
              </w:rPr>
              <w:t xml:space="preserve">Standard </w:t>
            </w:r>
            <w:r w:rsidRPr="00601B12">
              <w:rPr>
                <w:rFonts w:ascii="Arial" w:hAnsi="Arial" w:cs="Arial"/>
                <w:color w:val="000000"/>
                <w:sz w:val="22"/>
                <w:szCs w:val="22"/>
                <w:u w:val="single"/>
              </w:rPr>
              <w:t xml:space="preserve">Asset Management PLC </w:t>
            </w:r>
          </w:p>
          <w:p w14:paraId="6D1622BD" w14:textId="77777777" w:rsidR="00D02C57" w:rsidRPr="00601B12" w:rsidRDefault="00D02C57" w:rsidP="007266DE">
            <w:pPr>
              <w:rPr>
                <w:rFonts w:ascii="Arial" w:hAnsi="Arial" w:cs="Arial"/>
                <w:color w:val="000000"/>
              </w:rPr>
            </w:pPr>
            <w:r w:rsidRPr="00601B12">
              <w:rPr>
                <w:rFonts w:ascii="Arial" w:hAnsi="Arial" w:cs="Arial"/>
                <w:color w:val="000000"/>
                <w:sz w:val="22"/>
                <w:szCs w:val="22"/>
              </w:rPr>
              <w:t xml:space="preserve">Bow Bells House, 1 Bread Street </w:t>
            </w:r>
          </w:p>
          <w:p w14:paraId="6D1622BE" w14:textId="77777777" w:rsidR="00D02C57" w:rsidRPr="00601B12" w:rsidRDefault="00D02C57" w:rsidP="007266DE">
            <w:pPr>
              <w:rPr>
                <w:rFonts w:ascii="Arial" w:hAnsi="Arial" w:cs="Arial"/>
                <w:color w:val="000000"/>
              </w:rPr>
            </w:pPr>
            <w:r w:rsidRPr="00601B12">
              <w:rPr>
                <w:rFonts w:ascii="Arial" w:hAnsi="Arial" w:cs="Arial"/>
                <w:color w:val="000000"/>
                <w:sz w:val="22"/>
                <w:szCs w:val="22"/>
              </w:rPr>
              <w:t>London, EC4M 9HH</w:t>
            </w:r>
          </w:p>
          <w:p w14:paraId="6D1622BF" w14:textId="77777777" w:rsidR="00D02C57" w:rsidRPr="00601B12" w:rsidRDefault="00D02C57" w:rsidP="007266DE">
            <w:pPr>
              <w:rPr>
                <w:rFonts w:ascii="Arial" w:hAnsi="Arial" w:cs="Arial"/>
                <w:color w:val="000000"/>
                <w:sz w:val="16"/>
                <w:szCs w:val="16"/>
                <w:highlight w:val="yellow"/>
              </w:rPr>
            </w:pPr>
          </w:p>
        </w:tc>
        <w:tc>
          <w:tcPr>
            <w:tcW w:w="4138" w:type="dxa"/>
            <w:tcBorders>
              <w:top w:val="single" w:sz="4" w:space="0" w:color="auto"/>
              <w:left w:val="single" w:sz="4" w:space="0" w:color="auto"/>
              <w:right w:val="single" w:sz="4" w:space="0" w:color="auto"/>
            </w:tcBorders>
            <w:shd w:val="clear" w:color="auto" w:fill="auto"/>
            <w:noWrap/>
            <w:hideMark/>
          </w:tcPr>
          <w:p w14:paraId="6D1622C0" w14:textId="77777777" w:rsidR="00D02C57" w:rsidRPr="00601B12" w:rsidRDefault="00D02C57" w:rsidP="007266DE">
            <w:pPr>
              <w:ind w:left="426" w:right="-108" w:hanging="426"/>
              <w:rPr>
                <w:rFonts w:ascii="Arial" w:hAnsi="Arial" w:cs="Arial"/>
                <w:color w:val="000000"/>
                <w:u w:val="single"/>
              </w:rPr>
            </w:pPr>
            <w:r w:rsidRPr="00601B12">
              <w:rPr>
                <w:rFonts w:ascii="Arial" w:hAnsi="Arial" w:cs="Arial"/>
                <w:bCs/>
                <w:color w:val="000000"/>
                <w:sz w:val="22"/>
                <w:szCs w:val="22"/>
                <w:u w:val="single"/>
              </w:rPr>
              <w:t>Newton Investment Management Ltd</w:t>
            </w:r>
          </w:p>
          <w:p w14:paraId="6D1622C1" w14:textId="77777777" w:rsidR="00863C37" w:rsidRPr="00601B12" w:rsidRDefault="00D02C57" w:rsidP="007266DE">
            <w:pPr>
              <w:ind w:left="426" w:right="-108" w:hanging="426"/>
              <w:rPr>
                <w:rFonts w:ascii="Arial" w:hAnsi="Arial" w:cs="Arial"/>
                <w:bCs/>
                <w:color w:val="000000"/>
              </w:rPr>
            </w:pPr>
            <w:r w:rsidRPr="00601B12">
              <w:rPr>
                <w:rFonts w:ascii="Arial" w:hAnsi="Arial" w:cs="Arial"/>
                <w:bCs/>
                <w:color w:val="000000"/>
                <w:sz w:val="22"/>
                <w:szCs w:val="22"/>
              </w:rPr>
              <w:t>160 Queen Victoria Street</w:t>
            </w:r>
            <w:r w:rsidR="00863C37" w:rsidRPr="00601B12">
              <w:rPr>
                <w:rFonts w:ascii="Arial" w:hAnsi="Arial" w:cs="Arial"/>
                <w:bCs/>
                <w:color w:val="000000"/>
                <w:sz w:val="22"/>
                <w:szCs w:val="22"/>
              </w:rPr>
              <w:t xml:space="preserve">, </w:t>
            </w:r>
          </w:p>
          <w:p w14:paraId="6D1622C2" w14:textId="77777777" w:rsidR="00D02C57" w:rsidRPr="00601B12" w:rsidRDefault="00D02C57" w:rsidP="007266DE">
            <w:pPr>
              <w:ind w:left="426" w:right="-108" w:hanging="426"/>
              <w:rPr>
                <w:rFonts w:ascii="Arial" w:hAnsi="Arial" w:cs="Arial"/>
                <w:bCs/>
                <w:color w:val="000000"/>
              </w:rPr>
            </w:pPr>
            <w:r w:rsidRPr="00601B12">
              <w:rPr>
                <w:rFonts w:ascii="Arial" w:hAnsi="Arial" w:cs="Arial"/>
                <w:bCs/>
                <w:color w:val="000000"/>
                <w:sz w:val="22"/>
                <w:szCs w:val="22"/>
              </w:rPr>
              <w:t>London, EC4V 4LA</w:t>
            </w:r>
          </w:p>
          <w:p w14:paraId="6D1622C3" w14:textId="77777777" w:rsidR="00D02C57" w:rsidRPr="00601B12" w:rsidRDefault="00D02C57" w:rsidP="007266DE">
            <w:pPr>
              <w:ind w:left="426" w:right="-108" w:hanging="426"/>
              <w:rPr>
                <w:rFonts w:ascii="Arial" w:hAnsi="Arial" w:cs="Arial"/>
                <w:bCs/>
                <w:color w:val="000000"/>
                <w:sz w:val="16"/>
                <w:szCs w:val="16"/>
              </w:rPr>
            </w:pPr>
          </w:p>
        </w:tc>
      </w:tr>
      <w:tr w:rsidR="001E5613" w:rsidRPr="00601B12" w14:paraId="6D1622C7" w14:textId="77777777" w:rsidTr="007266DE">
        <w:trPr>
          <w:trHeight w:val="4"/>
        </w:trPr>
        <w:tc>
          <w:tcPr>
            <w:tcW w:w="4738" w:type="dxa"/>
            <w:tcBorders>
              <w:top w:val="nil"/>
              <w:left w:val="single" w:sz="4" w:space="0" w:color="auto"/>
              <w:bottom w:val="single" w:sz="4" w:space="0" w:color="auto"/>
              <w:right w:val="single" w:sz="4" w:space="0" w:color="auto"/>
            </w:tcBorders>
            <w:shd w:val="clear" w:color="auto" w:fill="auto"/>
            <w:noWrap/>
            <w:hideMark/>
          </w:tcPr>
          <w:p w14:paraId="6D1622C5" w14:textId="77777777" w:rsidR="001E5613" w:rsidRPr="00601B12" w:rsidRDefault="001E5613" w:rsidP="007266DE">
            <w:pPr>
              <w:ind w:left="426" w:hanging="426"/>
              <w:rPr>
                <w:rFonts w:ascii="Arial" w:hAnsi="Arial" w:cs="Arial"/>
                <w:color w:val="000000"/>
                <w:highlight w:val="yellow"/>
              </w:rPr>
            </w:pPr>
          </w:p>
        </w:tc>
        <w:tc>
          <w:tcPr>
            <w:tcW w:w="4138" w:type="dxa"/>
            <w:tcBorders>
              <w:top w:val="nil"/>
              <w:left w:val="single" w:sz="4" w:space="0" w:color="auto"/>
              <w:bottom w:val="single" w:sz="4" w:space="0" w:color="auto"/>
              <w:right w:val="single" w:sz="4" w:space="0" w:color="auto"/>
            </w:tcBorders>
            <w:shd w:val="clear" w:color="auto" w:fill="auto"/>
            <w:noWrap/>
            <w:hideMark/>
          </w:tcPr>
          <w:p w14:paraId="6D1622C6" w14:textId="77777777" w:rsidR="001E5613" w:rsidRPr="00601B12" w:rsidRDefault="001E5613" w:rsidP="007266DE">
            <w:pPr>
              <w:ind w:left="426" w:right="-108" w:hanging="426"/>
              <w:rPr>
                <w:rFonts w:ascii="Arial" w:hAnsi="Arial" w:cs="Arial"/>
                <w:color w:val="000000"/>
                <w:highlight w:val="yellow"/>
              </w:rPr>
            </w:pPr>
          </w:p>
        </w:tc>
      </w:tr>
      <w:tr w:rsidR="00D02C57" w:rsidRPr="00601B12" w14:paraId="6D1622CF" w14:textId="77777777" w:rsidTr="007266DE">
        <w:trPr>
          <w:trHeight w:val="48"/>
        </w:trPr>
        <w:tc>
          <w:tcPr>
            <w:tcW w:w="4738" w:type="dxa"/>
            <w:tcBorders>
              <w:top w:val="single" w:sz="4" w:space="0" w:color="auto"/>
              <w:left w:val="single" w:sz="4" w:space="0" w:color="auto"/>
              <w:right w:val="single" w:sz="4" w:space="0" w:color="auto"/>
            </w:tcBorders>
            <w:shd w:val="clear" w:color="auto" w:fill="auto"/>
            <w:noWrap/>
            <w:hideMark/>
          </w:tcPr>
          <w:p w14:paraId="6D1622C8" w14:textId="77777777" w:rsidR="00D02C57" w:rsidRPr="00601B12" w:rsidRDefault="00D02C57" w:rsidP="007266DE">
            <w:pPr>
              <w:rPr>
                <w:rFonts w:ascii="Arial" w:hAnsi="Arial" w:cs="Arial"/>
                <w:color w:val="000000"/>
                <w:u w:val="single"/>
              </w:rPr>
            </w:pPr>
            <w:r w:rsidRPr="00601B12">
              <w:rPr>
                <w:rFonts w:ascii="Arial" w:hAnsi="Arial" w:cs="Arial"/>
                <w:bCs/>
                <w:color w:val="000000"/>
                <w:sz w:val="22"/>
                <w:szCs w:val="22"/>
                <w:u w:val="single"/>
              </w:rPr>
              <w:t>Baillie Gifford &amp; Co</w:t>
            </w:r>
          </w:p>
          <w:p w14:paraId="6D1622C9" w14:textId="77777777" w:rsidR="00D02C57" w:rsidRPr="00601B12" w:rsidRDefault="00D02C57" w:rsidP="007266DE">
            <w:pPr>
              <w:ind w:left="426" w:hanging="426"/>
              <w:rPr>
                <w:rFonts w:ascii="Arial" w:hAnsi="Arial" w:cs="Arial"/>
                <w:color w:val="000000"/>
              </w:rPr>
            </w:pPr>
            <w:proofErr w:type="spellStart"/>
            <w:r w:rsidRPr="00601B12">
              <w:rPr>
                <w:rFonts w:ascii="Arial" w:hAnsi="Arial" w:cs="Arial"/>
                <w:bCs/>
                <w:color w:val="000000"/>
                <w:sz w:val="22"/>
                <w:szCs w:val="22"/>
              </w:rPr>
              <w:t>Calton</w:t>
            </w:r>
            <w:proofErr w:type="spellEnd"/>
            <w:r w:rsidRPr="00601B12">
              <w:rPr>
                <w:rFonts w:ascii="Arial" w:hAnsi="Arial" w:cs="Arial"/>
                <w:bCs/>
                <w:color w:val="000000"/>
                <w:sz w:val="22"/>
                <w:szCs w:val="22"/>
              </w:rPr>
              <w:t xml:space="preserve"> Square, 1 Greenside Row, </w:t>
            </w:r>
          </w:p>
          <w:p w14:paraId="6D1622CA" w14:textId="77777777" w:rsidR="00D02C57" w:rsidRPr="00601B12" w:rsidRDefault="00D02C57" w:rsidP="007266DE">
            <w:pPr>
              <w:ind w:left="426" w:hanging="426"/>
              <w:rPr>
                <w:rFonts w:ascii="Arial" w:hAnsi="Arial" w:cs="Arial"/>
                <w:bCs/>
                <w:color w:val="000000"/>
              </w:rPr>
            </w:pPr>
            <w:r w:rsidRPr="00601B12">
              <w:rPr>
                <w:rFonts w:ascii="Arial" w:hAnsi="Arial" w:cs="Arial"/>
                <w:bCs/>
                <w:color w:val="000000"/>
                <w:sz w:val="22"/>
                <w:szCs w:val="22"/>
              </w:rPr>
              <w:t>Edinburgh EH1 3AN</w:t>
            </w:r>
          </w:p>
          <w:p w14:paraId="6D1622CB" w14:textId="77777777" w:rsidR="00D02C57" w:rsidRPr="00601B12" w:rsidRDefault="00D02C57" w:rsidP="007266DE">
            <w:pPr>
              <w:ind w:left="426" w:hanging="426"/>
              <w:rPr>
                <w:rFonts w:ascii="Arial" w:hAnsi="Arial" w:cs="Arial"/>
                <w:color w:val="000000"/>
                <w:sz w:val="16"/>
                <w:szCs w:val="16"/>
                <w:highlight w:val="yellow"/>
                <w:u w:val="single"/>
              </w:rPr>
            </w:pPr>
          </w:p>
        </w:tc>
        <w:tc>
          <w:tcPr>
            <w:tcW w:w="4138" w:type="dxa"/>
            <w:tcBorders>
              <w:top w:val="single" w:sz="4" w:space="0" w:color="auto"/>
              <w:left w:val="single" w:sz="4" w:space="0" w:color="auto"/>
              <w:right w:val="single" w:sz="4" w:space="0" w:color="auto"/>
            </w:tcBorders>
            <w:shd w:val="clear" w:color="auto" w:fill="auto"/>
            <w:noWrap/>
            <w:hideMark/>
          </w:tcPr>
          <w:p w14:paraId="224545F4" w14:textId="77777777" w:rsidR="001149ED" w:rsidRPr="00601B12" w:rsidRDefault="001149ED" w:rsidP="001149ED">
            <w:pPr>
              <w:rPr>
                <w:rFonts w:ascii="Arial" w:hAnsi="Arial" w:cs="Arial"/>
                <w:color w:val="000000"/>
                <w:u w:val="single"/>
              </w:rPr>
            </w:pPr>
            <w:r w:rsidRPr="00601B12">
              <w:rPr>
                <w:rFonts w:ascii="Arial" w:hAnsi="Arial" w:cs="Arial"/>
                <w:color w:val="000000"/>
                <w:sz w:val="22"/>
                <w:szCs w:val="22"/>
                <w:u w:val="single"/>
              </w:rPr>
              <w:t>London CIV</w:t>
            </w:r>
          </w:p>
          <w:p w14:paraId="5699769C" w14:textId="77777777" w:rsidR="001149ED" w:rsidRPr="00601B12" w:rsidRDefault="001149ED" w:rsidP="001149ED">
            <w:pPr>
              <w:ind w:left="426" w:hanging="426"/>
              <w:rPr>
                <w:rFonts w:ascii="Arial" w:hAnsi="Arial" w:cs="Arial"/>
                <w:color w:val="000000"/>
                <w:lang w:val="en-US"/>
              </w:rPr>
            </w:pPr>
            <w:r w:rsidRPr="00601B12">
              <w:rPr>
                <w:rFonts w:ascii="Arial" w:hAnsi="Arial" w:cs="Arial"/>
                <w:color w:val="000000"/>
                <w:sz w:val="22"/>
                <w:szCs w:val="22"/>
                <w:lang w:val="en-US"/>
              </w:rPr>
              <w:t>59½ Southwark Street</w:t>
            </w:r>
          </w:p>
          <w:p w14:paraId="6D1622CE" w14:textId="586817C3" w:rsidR="001149ED" w:rsidRPr="001149ED" w:rsidRDefault="001149ED" w:rsidP="001149ED">
            <w:pPr>
              <w:rPr>
                <w:rFonts w:ascii="Arial" w:hAnsi="Arial" w:cs="Arial"/>
                <w:sz w:val="16"/>
                <w:szCs w:val="16"/>
                <w:highlight w:val="yellow"/>
              </w:rPr>
            </w:pPr>
            <w:r w:rsidRPr="00601B12">
              <w:rPr>
                <w:rFonts w:ascii="Arial" w:hAnsi="Arial" w:cs="Arial"/>
                <w:color w:val="000000"/>
                <w:sz w:val="22"/>
                <w:szCs w:val="22"/>
                <w:lang w:val="en-US"/>
              </w:rPr>
              <w:t>London, SE1 0AL</w:t>
            </w:r>
          </w:p>
        </w:tc>
      </w:tr>
      <w:tr w:rsidR="00D02C57" w:rsidRPr="00601B12" w14:paraId="6D1622D2" w14:textId="77777777" w:rsidTr="007266DE">
        <w:trPr>
          <w:trHeight w:val="4"/>
        </w:trPr>
        <w:tc>
          <w:tcPr>
            <w:tcW w:w="4738" w:type="dxa"/>
            <w:tcBorders>
              <w:top w:val="nil"/>
              <w:left w:val="single" w:sz="4" w:space="0" w:color="auto"/>
              <w:bottom w:val="single" w:sz="4" w:space="0" w:color="auto"/>
              <w:right w:val="single" w:sz="4" w:space="0" w:color="auto"/>
            </w:tcBorders>
            <w:shd w:val="clear" w:color="auto" w:fill="auto"/>
            <w:noWrap/>
            <w:hideMark/>
          </w:tcPr>
          <w:p w14:paraId="6D1622D0" w14:textId="77777777" w:rsidR="00D02C57" w:rsidRPr="00601B12" w:rsidRDefault="00D02C57" w:rsidP="007266DE">
            <w:pPr>
              <w:ind w:left="426" w:hanging="426"/>
              <w:rPr>
                <w:rFonts w:ascii="Arial" w:hAnsi="Arial" w:cs="Arial"/>
                <w:color w:val="000000"/>
                <w:highlight w:val="yellow"/>
              </w:rPr>
            </w:pPr>
          </w:p>
        </w:tc>
        <w:tc>
          <w:tcPr>
            <w:tcW w:w="4138" w:type="dxa"/>
            <w:tcBorders>
              <w:top w:val="nil"/>
              <w:left w:val="single" w:sz="4" w:space="0" w:color="auto"/>
              <w:bottom w:val="single" w:sz="4" w:space="0" w:color="auto"/>
              <w:right w:val="single" w:sz="4" w:space="0" w:color="auto"/>
            </w:tcBorders>
            <w:shd w:val="clear" w:color="auto" w:fill="auto"/>
            <w:noWrap/>
            <w:hideMark/>
          </w:tcPr>
          <w:p w14:paraId="6D1622D1" w14:textId="77777777" w:rsidR="00D02C57" w:rsidRPr="00601B12" w:rsidRDefault="00D02C57" w:rsidP="007266DE">
            <w:pPr>
              <w:ind w:left="426" w:right="-108" w:hanging="426"/>
              <w:rPr>
                <w:rFonts w:ascii="Arial" w:hAnsi="Arial" w:cs="Arial"/>
                <w:color w:val="000000"/>
                <w:highlight w:val="yellow"/>
              </w:rPr>
            </w:pPr>
          </w:p>
        </w:tc>
      </w:tr>
      <w:tr w:rsidR="00D02C57" w:rsidRPr="00601B12" w14:paraId="6D1622DB" w14:textId="77777777" w:rsidTr="007266DE">
        <w:trPr>
          <w:trHeight w:val="48"/>
        </w:trPr>
        <w:tc>
          <w:tcPr>
            <w:tcW w:w="4738" w:type="dxa"/>
            <w:tcBorders>
              <w:top w:val="single" w:sz="4" w:space="0" w:color="auto"/>
              <w:left w:val="single" w:sz="4" w:space="0" w:color="auto"/>
              <w:right w:val="single" w:sz="4" w:space="0" w:color="auto"/>
            </w:tcBorders>
            <w:shd w:val="clear" w:color="auto" w:fill="auto"/>
            <w:noWrap/>
            <w:hideMark/>
          </w:tcPr>
          <w:p w14:paraId="6D1622D3" w14:textId="77777777" w:rsidR="00D02C57" w:rsidRPr="00601B12" w:rsidRDefault="00D02C57" w:rsidP="007266DE">
            <w:pPr>
              <w:ind w:left="426" w:hanging="426"/>
              <w:rPr>
                <w:rFonts w:ascii="Arial" w:hAnsi="Arial" w:cs="Arial"/>
                <w:color w:val="000000"/>
                <w:u w:val="single"/>
              </w:rPr>
            </w:pPr>
            <w:r w:rsidRPr="00601B12">
              <w:rPr>
                <w:rFonts w:ascii="Arial" w:hAnsi="Arial" w:cs="Arial"/>
                <w:bCs/>
                <w:color w:val="000000"/>
                <w:sz w:val="22"/>
                <w:szCs w:val="22"/>
                <w:u w:val="single"/>
              </w:rPr>
              <w:t>BlackRock</w:t>
            </w:r>
          </w:p>
          <w:p w14:paraId="6D1622D4" w14:textId="77777777" w:rsidR="00D02C57" w:rsidRPr="00601B12" w:rsidRDefault="00D02C57" w:rsidP="007266DE">
            <w:pPr>
              <w:ind w:left="426" w:hanging="426"/>
              <w:rPr>
                <w:rFonts w:ascii="Arial" w:hAnsi="Arial" w:cs="Arial"/>
                <w:color w:val="000000"/>
              </w:rPr>
            </w:pPr>
            <w:r w:rsidRPr="00601B12">
              <w:rPr>
                <w:rFonts w:ascii="Arial" w:hAnsi="Arial" w:cs="Arial"/>
                <w:color w:val="000000"/>
                <w:sz w:val="22"/>
                <w:szCs w:val="22"/>
              </w:rPr>
              <w:t>12 Throgmorton Avenue</w:t>
            </w:r>
            <w:r w:rsidR="00863C37" w:rsidRPr="00601B12">
              <w:rPr>
                <w:rFonts w:ascii="Arial" w:hAnsi="Arial" w:cs="Arial"/>
                <w:color w:val="000000"/>
                <w:sz w:val="22"/>
                <w:szCs w:val="22"/>
              </w:rPr>
              <w:t>,</w:t>
            </w:r>
          </w:p>
          <w:p w14:paraId="6D1622D5" w14:textId="77777777" w:rsidR="00D02C57" w:rsidRPr="00601B12" w:rsidRDefault="00863C37" w:rsidP="007266DE">
            <w:pPr>
              <w:ind w:left="426" w:hanging="426"/>
              <w:rPr>
                <w:rFonts w:ascii="Arial" w:hAnsi="Arial" w:cs="Arial"/>
                <w:color w:val="000000"/>
              </w:rPr>
            </w:pPr>
            <w:r w:rsidRPr="00601B12">
              <w:rPr>
                <w:rFonts w:ascii="Arial" w:hAnsi="Arial" w:cs="Arial"/>
                <w:color w:val="000000"/>
                <w:sz w:val="22"/>
                <w:szCs w:val="22"/>
              </w:rPr>
              <w:t xml:space="preserve">London, </w:t>
            </w:r>
            <w:r w:rsidR="00D02C57" w:rsidRPr="00601B12">
              <w:rPr>
                <w:rFonts w:ascii="Arial" w:hAnsi="Arial" w:cs="Arial"/>
                <w:color w:val="000000"/>
                <w:sz w:val="22"/>
                <w:szCs w:val="22"/>
              </w:rPr>
              <w:t>EC2N 2DL</w:t>
            </w:r>
          </w:p>
          <w:p w14:paraId="6D1622D6" w14:textId="77777777" w:rsidR="00D02C57" w:rsidRPr="00601B12" w:rsidRDefault="00D02C57" w:rsidP="007266DE">
            <w:pPr>
              <w:ind w:left="426" w:hanging="426"/>
              <w:rPr>
                <w:rFonts w:ascii="Arial" w:hAnsi="Arial" w:cs="Arial"/>
                <w:color w:val="000000"/>
                <w:sz w:val="16"/>
                <w:szCs w:val="16"/>
                <w:highlight w:val="yellow"/>
                <w:u w:val="single"/>
              </w:rPr>
            </w:pPr>
          </w:p>
        </w:tc>
        <w:tc>
          <w:tcPr>
            <w:tcW w:w="4138" w:type="dxa"/>
            <w:tcBorders>
              <w:top w:val="single" w:sz="4" w:space="0" w:color="auto"/>
              <w:left w:val="single" w:sz="4" w:space="0" w:color="auto"/>
              <w:right w:val="single" w:sz="4" w:space="0" w:color="auto"/>
            </w:tcBorders>
            <w:shd w:val="clear" w:color="auto" w:fill="auto"/>
            <w:noWrap/>
            <w:hideMark/>
          </w:tcPr>
          <w:p w14:paraId="6D1622D7" w14:textId="77777777" w:rsidR="00D02C57" w:rsidRPr="00601B12" w:rsidRDefault="00D02C57" w:rsidP="007266DE">
            <w:pPr>
              <w:ind w:left="426" w:right="-108" w:hanging="426"/>
              <w:rPr>
                <w:rFonts w:ascii="Arial" w:hAnsi="Arial" w:cs="Arial"/>
                <w:color w:val="000000"/>
                <w:u w:val="single"/>
              </w:rPr>
            </w:pPr>
            <w:proofErr w:type="spellStart"/>
            <w:r w:rsidRPr="00601B12">
              <w:rPr>
                <w:rFonts w:ascii="Arial" w:hAnsi="Arial" w:cs="Arial"/>
                <w:bCs/>
                <w:color w:val="000000"/>
                <w:sz w:val="22"/>
                <w:szCs w:val="22"/>
                <w:u w:val="single"/>
              </w:rPr>
              <w:t>Pyrford</w:t>
            </w:r>
            <w:proofErr w:type="spellEnd"/>
            <w:r w:rsidRPr="00601B12">
              <w:rPr>
                <w:rFonts w:ascii="Arial" w:hAnsi="Arial" w:cs="Arial"/>
                <w:bCs/>
                <w:color w:val="000000"/>
                <w:sz w:val="22"/>
                <w:szCs w:val="22"/>
                <w:u w:val="single"/>
              </w:rPr>
              <w:t xml:space="preserve"> International</w:t>
            </w:r>
          </w:p>
          <w:p w14:paraId="6D1622D8" w14:textId="77777777" w:rsidR="00D02C57" w:rsidRPr="00601B12" w:rsidRDefault="00D02C57" w:rsidP="007266DE">
            <w:pPr>
              <w:ind w:left="426" w:right="-108" w:hanging="426"/>
              <w:rPr>
                <w:rFonts w:ascii="Arial" w:hAnsi="Arial" w:cs="Arial"/>
                <w:color w:val="000000"/>
              </w:rPr>
            </w:pPr>
            <w:r w:rsidRPr="00601B12">
              <w:rPr>
                <w:rFonts w:ascii="Arial" w:hAnsi="Arial" w:cs="Arial"/>
                <w:bCs/>
                <w:color w:val="000000"/>
                <w:sz w:val="22"/>
                <w:szCs w:val="22"/>
              </w:rPr>
              <w:t>79 Grosvenor Street,</w:t>
            </w:r>
          </w:p>
          <w:p w14:paraId="6D1622D9" w14:textId="77777777" w:rsidR="00D02C57" w:rsidRPr="00601B12" w:rsidRDefault="00863C37" w:rsidP="007266DE">
            <w:pPr>
              <w:ind w:left="426" w:right="-108" w:hanging="426"/>
              <w:rPr>
                <w:rFonts w:ascii="Arial" w:hAnsi="Arial" w:cs="Arial"/>
                <w:bCs/>
                <w:color w:val="000000"/>
              </w:rPr>
            </w:pPr>
            <w:r w:rsidRPr="00601B12">
              <w:rPr>
                <w:rFonts w:ascii="Arial" w:hAnsi="Arial" w:cs="Arial"/>
                <w:bCs/>
                <w:color w:val="000000"/>
                <w:sz w:val="22"/>
                <w:szCs w:val="22"/>
              </w:rPr>
              <w:t xml:space="preserve">London, </w:t>
            </w:r>
            <w:r w:rsidR="00D02C57" w:rsidRPr="00601B12">
              <w:rPr>
                <w:rFonts w:ascii="Arial" w:hAnsi="Arial" w:cs="Arial"/>
                <w:bCs/>
                <w:color w:val="000000"/>
                <w:sz w:val="22"/>
                <w:szCs w:val="22"/>
              </w:rPr>
              <w:t>W1K 3JU</w:t>
            </w:r>
          </w:p>
          <w:p w14:paraId="6D1622DA" w14:textId="77777777" w:rsidR="00D02C57" w:rsidRPr="00601B12" w:rsidRDefault="00D02C57" w:rsidP="007266DE">
            <w:pPr>
              <w:ind w:left="426" w:right="-108" w:hanging="426"/>
              <w:rPr>
                <w:rFonts w:ascii="Arial" w:hAnsi="Arial" w:cs="Arial"/>
                <w:color w:val="000000"/>
                <w:sz w:val="16"/>
                <w:szCs w:val="16"/>
                <w:highlight w:val="yellow"/>
                <w:u w:val="single"/>
              </w:rPr>
            </w:pPr>
          </w:p>
        </w:tc>
      </w:tr>
      <w:tr w:rsidR="00D02C57" w:rsidRPr="00601B12" w14:paraId="6D1622DE" w14:textId="77777777" w:rsidTr="007266DE">
        <w:trPr>
          <w:trHeight w:val="4"/>
        </w:trPr>
        <w:tc>
          <w:tcPr>
            <w:tcW w:w="4738" w:type="dxa"/>
            <w:tcBorders>
              <w:top w:val="nil"/>
              <w:left w:val="single" w:sz="4" w:space="0" w:color="auto"/>
              <w:bottom w:val="single" w:sz="4" w:space="0" w:color="auto"/>
              <w:right w:val="single" w:sz="4" w:space="0" w:color="auto"/>
            </w:tcBorders>
            <w:shd w:val="clear" w:color="auto" w:fill="auto"/>
            <w:noWrap/>
            <w:hideMark/>
          </w:tcPr>
          <w:p w14:paraId="6D1622DC" w14:textId="77777777" w:rsidR="00D02C57" w:rsidRPr="00601B12" w:rsidRDefault="00D02C57" w:rsidP="007266DE">
            <w:pPr>
              <w:ind w:left="426" w:hanging="426"/>
              <w:rPr>
                <w:rFonts w:ascii="Arial" w:hAnsi="Arial" w:cs="Arial"/>
                <w:b/>
                <w:bCs/>
                <w:color w:val="000000"/>
                <w:highlight w:val="yellow"/>
              </w:rPr>
            </w:pPr>
          </w:p>
        </w:tc>
        <w:tc>
          <w:tcPr>
            <w:tcW w:w="4138" w:type="dxa"/>
            <w:tcBorders>
              <w:top w:val="nil"/>
              <w:left w:val="single" w:sz="4" w:space="0" w:color="auto"/>
              <w:bottom w:val="single" w:sz="4" w:space="0" w:color="auto"/>
              <w:right w:val="single" w:sz="4" w:space="0" w:color="auto"/>
            </w:tcBorders>
            <w:shd w:val="clear" w:color="auto" w:fill="auto"/>
            <w:noWrap/>
            <w:hideMark/>
          </w:tcPr>
          <w:p w14:paraId="6D1622DD" w14:textId="77777777" w:rsidR="00D02C57" w:rsidRPr="00601B12" w:rsidRDefault="00D02C57" w:rsidP="007266DE">
            <w:pPr>
              <w:ind w:left="426" w:right="-108" w:hanging="426"/>
              <w:rPr>
                <w:rFonts w:ascii="Arial" w:hAnsi="Arial" w:cs="Arial"/>
                <w:b/>
                <w:bCs/>
                <w:color w:val="000000"/>
                <w:highlight w:val="yellow"/>
              </w:rPr>
            </w:pPr>
          </w:p>
        </w:tc>
      </w:tr>
      <w:tr w:rsidR="00D02C57" w:rsidRPr="00601B12" w14:paraId="6D1622E7" w14:textId="77777777" w:rsidTr="007266DE">
        <w:trPr>
          <w:trHeight w:val="48"/>
        </w:trPr>
        <w:tc>
          <w:tcPr>
            <w:tcW w:w="4738" w:type="dxa"/>
            <w:tcBorders>
              <w:top w:val="single" w:sz="4" w:space="0" w:color="auto"/>
              <w:left w:val="single" w:sz="4" w:space="0" w:color="auto"/>
              <w:right w:val="single" w:sz="4" w:space="0" w:color="auto"/>
            </w:tcBorders>
            <w:shd w:val="clear" w:color="auto" w:fill="auto"/>
            <w:noWrap/>
            <w:hideMark/>
          </w:tcPr>
          <w:p w14:paraId="6D1622DF" w14:textId="697271A4" w:rsidR="00414A6E" w:rsidRPr="00601B12" w:rsidRDefault="00A34119" w:rsidP="007266DE">
            <w:pPr>
              <w:ind w:left="426" w:hanging="426"/>
              <w:rPr>
                <w:rFonts w:ascii="Arial" w:hAnsi="Arial" w:cs="Arial"/>
                <w:color w:val="000000"/>
                <w:sz w:val="22"/>
                <w:szCs w:val="22"/>
                <w:u w:val="single"/>
              </w:rPr>
            </w:pPr>
            <w:r w:rsidRPr="00601B12">
              <w:rPr>
                <w:rFonts w:ascii="Arial" w:hAnsi="Arial" w:cs="Arial"/>
                <w:color w:val="000000"/>
                <w:sz w:val="22"/>
                <w:szCs w:val="22"/>
                <w:u w:val="single"/>
              </w:rPr>
              <w:t>BNY</w:t>
            </w:r>
            <w:r w:rsidR="00ED6F23" w:rsidRPr="00601B12">
              <w:rPr>
                <w:rFonts w:ascii="Arial" w:hAnsi="Arial" w:cs="Arial"/>
                <w:color w:val="000000"/>
                <w:sz w:val="22"/>
                <w:szCs w:val="22"/>
                <w:u w:val="single"/>
              </w:rPr>
              <w:t xml:space="preserve"> </w:t>
            </w:r>
            <w:r w:rsidR="00383D1B" w:rsidRPr="00601B12">
              <w:rPr>
                <w:rFonts w:ascii="Arial" w:hAnsi="Arial" w:cs="Arial"/>
                <w:color w:val="000000"/>
                <w:sz w:val="22"/>
                <w:szCs w:val="22"/>
                <w:u w:val="single"/>
              </w:rPr>
              <w:t>Mellon</w:t>
            </w:r>
            <w:r w:rsidRPr="00601B12">
              <w:rPr>
                <w:rFonts w:ascii="Arial" w:hAnsi="Arial" w:cs="Arial"/>
                <w:color w:val="000000"/>
                <w:sz w:val="22"/>
                <w:szCs w:val="22"/>
                <w:u w:val="single"/>
              </w:rPr>
              <w:t xml:space="preserve"> </w:t>
            </w:r>
            <w:r w:rsidR="00414A6E" w:rsidRPr="00601B12">
              <w:rPr>
                <w:rFonts w:ascii="Arial" w:hAnsi="Arial" w:cs="Arial"/>
                <w:color w:val="000000"/>
                <w:sz w:val="22"/>
                <w:szCs w:val="22"/>
                <w:u w:val="single"/>
              </w:rPr>
              <w:t>(BNY Standish)</w:t>
            </w:r>
          </w:p>
          <w:p w14:paraId="6D1622E0" w14:textId="77777777" w:rsidR="00D02C57" w:rsidRPr="00601B12" w:rsidRDefault="00D02C57" w:rsidP="007266DE">
            <w:pPr>
              <w:ind w:left="426" w:hanging="426"/>
              <w:rPr>
                <w:rFonts w:ascii="Arial" w:hAnsi="Arial" w:cs="Arial"/>
                <w:color w:val="000000"/>
              </w:rPr>
            </w:pPr>
            <w:r w:rsidRPr="00601B12">
              <w:rPr>
                <w:rFonts w:ascii="Arial" w:hAnsi="Arial" w:cs="Arial"/>
                <w:bCs/>
                <w:color w:val="000000"/>
                <w:sz w:val="22"/>
                <w:szCs w:val="22"/>
              </w:rPr>
              <w:t>160 Queen Victoria Street</w:t>
            </w:r>
          </w:p>
          <w:p w14:paraId="6D1622E1" w14:textId="77777777" w:rsidR="00D02C57" w:rsidRPr="00601B12" w:rsidRDefault="00D02C57" w:rsidP="007266DE">
            <w:pPr>
              <w:ind w:left="426" w:hanging="426"/>
              <w:rPr>
                <w:rFonts w:ascii="Arial" w:hAnsi="Arial" w:cs="Arial"/>
                <w:bCs/>
                <w:color w:val="000000"/>
              </w:rPr>
            </w:pPr>
            <w:r w:rsidRPr="00601B12">
              <w:rPr>
                <w:rFonts w:ascii="Arial" w:hAnsi="Arial" w:cs="Arial"/>
                <w:bCs/>
                <w:color w:val="000000"/>
                <w:sz w:val="22"/>
                <w:szCs w:val="22"/>
              </w:rPr>
              <w:t>London, EC4V 4LA</w:t>
            </w:r>
          </w:p>
          <w:p w14:paraId="6D1622E2" w14:textId="77777777" w:rsidR="00D02C57" w:rsidRPr="00601B12" w:rsidRDefault="00D02C57" w:rsidP="007266DE">
            <w:pPr>
              <w:ind w:left="426" w:hanging="426"/>
              <w:rPr>
                <w:rFonts w:ascii="Arial" w:hAnsi="Arial" w:cs="Arial"/>
                <w:color w:val="000000"/>
                <w:sz w:val="16"/>
                <w:szCs w:val="16"/>
                <w:highlight w:val="yellow"/>
                <w:u w:val="single"/>
              </w:rPr>
            </w:pPr>
          </w:p>
        </w:tc>
        <w:tc>
          <w:tcPr>
            <w:tcW w:w="4138" w:type="dxa"/>
            <w:tcBorders>
              <w:top w:val="single" w:sz="4" w:space="0" w:color="auto"/>
              <w:left w:val="single" w:sz="4" w:space="0" w:color="auto"/>
              <w:right w:val="single" w:sz="4" w:space="0" w:color="auto"/>
            </w:tcBorders>
            <w:shd w:val="clear" w:color="auto" w:fill="auto"/>
            <w:noWrap/>
            <w:hideMark/>
          </w:tcPr>
          <w:p w14:paraId="6D1622E3" w14:textId="77777777" w:rsidR="00D02C57" w:rsidRPr="00601B12" w:rsidRDefault="00D02C57" w:rsidP="007266DE">
            <w:pPr>
              <w:ind w:left="426" w:right="-108" w:hanging="426"/>
              <w:rPr>
                <w:rFonts w:ascii="Arial" w:hAnsi="Arial" w:cs="Arial"/>
                <w:color w:val="000000"/>
                <w:u w:val="single"/>
              </w:rPr>
            </w:pPr>
            <w:r w:rsidRPr="00601B12">
              <w:rPr>
                <w:rFonts w:ascii="Arial" w:hAnsi="Arial" w:cs="Arial"/>
                <w:color w:val="000000"/>
                <w:sz w:val="22"/>
                <w:szCs w:val="22"/>
                <w:u w:val="single"/>
              </w:rPr>
              <w:t>RREEF</w:t>
            </w:r>
          </w:p>
          <w:p w14:paraId="6D1622E4" w14:textId="77777777" w:rsidR="00D02C57" w:rsidRPr="00601B12" w:rsidRDefault="00D02C57" w:rsidP="007266DE">
            <w:pPr>
              <w:ind w:left="426" w:right="-108" w:hanging="426"/>
              <w:rPr>
                <w:rFonts w:ascii="Arial" w:hAnsi="Arial" w:cs="Arial"/>
                <w:color w:val="000000"/>
              </w:rPr>
            </w:pPr>
            <w:r w:rsidRPr="00601B12">
              <w:rPr>
                <w:rFonts w:ascii="Arial" w:hAnsi="Arial" w:cs="Arial"/>
                <w:color w:val="000000"/>
                <w:sz w:val="22"/>
                <w:szCs w:val="22"/>
              </w:rPr>
              <w:t xml:space="preserve">1 </w:t>
            </w:r>
            <w:proofErr w:type="spellStart"/>
            <w:r w:rsidRPr="00601B12">
              <w:rPr>
                <w:rFonts w:ascii="Arial" w:hAnsi="Arial" w:cs="Arial"/>
                <w:color w:val="000000"/>
                <w:sz w:val="22"/>
                <w:szCs w:val="22"/>
              </w:rPr>
              <w:t>Appold</w:t>
            </w:r>
            <w:proofErr w:type="spellEnd"/>
            <w:r w:rsidRPr="00601B12">
              <w:rPr>
                <w:rFonts w:ascii="Arial" w:hAnsi="Arial" w:cs="Arial"/>
                <w:color w:val="000000"/>
                <w:sz w:val="22"/>
                <w:szCs w:val="22"/>
              </w:rPr>
              <w:t xml:space="preserve"> Street, </w:t>
            </w:r>
          </w:p>
          <w:p w14:paraId="6D1622E5" w14:textId="77777777" w:rsidR="00D02C57" w:rsidRPr="00601B12" w:rsidRDefault="00D02C57" w:rsidP="007266DE">
            <w:pPr>
              <w:ind w:left="426" w:right="-108" w:hanging="426"/>
              <w:rPr>
                <w:rFonts w:ascii="Arial" w:hAnsi="Arial" w:cs="Arial"/>
                <w:color w:val="000000"/>
              </w:rPr>
            </w:pPr>
            <w:r w:rsidRPr="00601B12">
              <w:rPr>
                <w:rFonts w:ascii="Arial" w:hAnsi="Arial" w:cs="Arial"/>
                <w:color w:val="000000"/>
                <w:sz w:val="22"/>
                <w:szCs w:val="22"/>
              </w:rPr>
              <w:t xml:space="preserve">London, EC2A 2UU </w:t>
            </w:r>
          </w:p>
          <w:p w14:paraId="6D1622E6" w14:textId="77777777" w:rsidR="00D02C57" w:rsidRPr="00601B12" w:rsidRDefault="00D02C57" w:rsidP="007266DE">
            <w:pPr>
              <w:ind w:left="426" w:right="-108" w:hanging="426"/>
              <w:rPr>
                <w:rFonts w:ascii="Arial" w:hAnsi="Arial" w:cs="Arial"/>
                <w:color w:val="000000"/>
                <w:sz w:val="16"/>
                <w:szCs w:val="16"/>
                <w:highlight w:val="yellow"/>
                <w:u w:val="single"/>
              </w:rPr>
            </w:pPr>
          </w:p>
        </w:tc>
      </w:tr>
      <w:tr w:rsidR="00D02C57" w:rsidRPr="00601B12" w14:paraId="6D1622EA" w14:textId="77777777" w:rsidTr="007266DE">
        <w:trPr>
          <w:trHeight w:val="4"/>
        </w:trPr>
        <w:tc>
          <w:tcPr>
            <w:tcW w:w="4738" w:type="dxa"/>
            <w:tcBorders>
              <w:top w:val="nil"/>
              <w:left w:val="single" w:sz="4" w:space="0" w:color="auto"/>
              <w:bottom w:val="single" w:sz="4" w:space="0" w:color="auto"/>
              <w:right w:val="single" w:sz="4" w:space="0" w:color="auto"/>
            </w:tcBorders>
            <w:shd w:val="clear" w:color="auto" w:fill="auto"/>
            <w:noWrap/>
            <w:hideMark/>
          </w:tcPr>
          <w:p w14:paraId="6D1622E8" w14:textId="77777777" w:rsidR="00D02C57" w:rsidRPr="00601B12" w:rsidRDefault="00D02C57" w:rsidP="007266DE">
            <w:pPr>
              <w:ind w:left="426" w:hanging="426"/>
              <w:rPr>
                <w:rFonts w:ascii="Arial" w:hAnsi="Arial" w:cs="Arial"/>
                <w:b/>
                <w:bCs/>
                <w:color w:val="000000"/>
                <w:highlight w:val="yellow"/>
              </w:rPr>
            </w:pPr>
          </w:p>
        </w:tc>
        <w:tc>
          <w:tcPr>
            <w:tcW w:w="4138" w:type="dxa"/>
            <w:tcBorders>
              <w:top w:val="nil"/>
              <w:left w:val="single" w:sz="4" w:space="0" w:color="auto"/>
              <w:bottom w:val="single" w:sz="4" w:space="0" w:color="auto"/>
              <w:right w:val="single" w:sz="4" w:space="0" w:color="auto"/>
            </w:tcBorders>
            <w:shd w:val="clear" w:color="auto" w:fill="auto"/>
            <w:noWrap/>
            <w:hideMark/>
          </w:tcPr>
          <w:p w14:paraId="6D1622E9" w14:textId="77777777" w:rsidR="00D02C57" w:rsidRPr="00601B12" w:rsidRDefault="00D02C57" w:rsidP="007266DE">
            <w:pPr>
              <w:ind w:left="426" w:right="-108" w:hanging="426"/>
              <w:rPr>
                <w:rFonts w:ascii="Arial" w:hAnsi="Arial" w:cs="Arial"/>
                <w:b/>
                <w:bCs/>
                <w:color w:val="000000"/>
                <w:highlight w:val="yellow"/>
              </w:rPr>
            </w:pPr>
          </w:p>
        </w:tc>
      </w:tr>
      <w:tr w:rsidR="00D02C57" w:rsidRPr="00601B12" w14:paraId="6D1622F2" w14:textId="77777777" w:rsidTr="007266DE">
        <w:trPr>
          <w:trHeight w:val="47"/>
        </w:trPr>
        <w:tc>
          <w:tcPr>
            <w:tcW w:w="4738" w:type="dxa"/>
            <w:tcBorders>
              <w:top w:val="single" w:sz="4" w:space="0" w:color="auto"/>
              <w:left w:val="single" w:sz="4" w:space="0" w:color="auto"/>
              <w:right w:val="single" w:sz="4" w:space="0" w:color="auto"/>
            </w:tcBorders>
            <w:shd w:val="clear" w:color="auto" w:fill="auto"/>
            <w:noWrap/>
            <w:hideMark/>
          </w:tcPr>
          <w:p w14:paraId="6D1622EB" w14:textId="77777777" w:rsidR="00D02C57" w:rsidRPr="00601B12" w:rsidRDefault="00D02C57" w:rsidP="007266DE">
            <w:pPr>
              <w:ind w:left="426" w:hanging="426"/>
              <w:rPr>
                <w:rFonts w:ascii="Arial" w:hAnsi="Arial" w:cs="Arial"/>
                <w:color w:val="000000"/>
                <w:u w:val="single"/>
              </w:rPr>
            </w:pPr>
            <w:r w:rsidRPr="00601B12">
              <w:rPr>
                <w:rFonts w:ascii="Arial" w:hAnsi="Arial" w:cs="Arial"/>
                <w:bCs/>
                <w:color w:val="000000"/>
                <w:sz w:val="22"/>
                <w:szCs w:val="22"/>
                <w:u w:val="single"/>
              </w:rPr>
              <w:t>Hermes GPE</w:t>
            </w:r>
          </w:p>
          <w:p w14:paraId="6D1622EC" w14:textId="77777777" w:rsidR="00AE241C" w:rsidRPr="00601B12" w:rsidRDefault="00AE241C" w:rsidP="007266DE">
            <w:pPr>
              <w:ind w:left="426" w:hanging="426"/>
              <w:rPr>
                <w:rFonts w:ascii="Arial" w:hAnsi="Arial" w:cs="Arial"/>
                <w:bCs/>
                <w:color w:val="000000"/>
                <w:sz w:val="22"/>
                <w:szCs w:val="22"/>
              </w:rPr>
            </w:pPr>
            <w:r w:rsidRPr="00601B12">
              <w:rPr>
                <w:rFonts w:ascii="Arial" w:hAnsi="Arial" w:cs="Arial"/>
                <w:bCs/>
                <w:color w:val="000000"/>
                <w:sz w:val="22"/>
                <w:szCs w:val="22"/>
              </w:rPr>
              <w:t>150 Cheapside</w:t>
            </w:r>
          </w:p>
          <w:p w14:paraId="6D1622ED" w14:textId="77777777" w:rsidR="00D02C57" w:rsidRPr="00601B12" w:rsidRDefault="00AE241C" w:rsidP="007266DE">
            <w:pPr>
              <w:ind w:left="426" w:hanging="426"/>
              <w:rPr>
                <w:rFonts w:ascii="Arial" w:hAnsi="Arial" w:cs="Arial"/>
                <w:color w:val="000000"/>
                <w:sz w:val="16"/>
                <w:szCs w:val="16"/>
                <w:highlight w:val="yellow"/>
                <w:u w:val="single"/>
              </w:rPr>
            </w:pPr>
            <w:r w:rsidRPr="00601B12">
              <w:rPr>
                <w:rFonts w:ascii="Arial" w:hAnsi="Arial" w:cs="Arial"/>
                <w:bCs/>
                <w:color w:val="000000"/>
                <w:sz w:val="22"/>
                <w:szCs w:val="22"/>
              </w:rPr>
              <w:t>London EC2V 6ET</w:t>
            </w:r>
          </w:p>
        </w:tc>
        <w:tc>
          <w:tcPr>
            <w:tcW w:w="4138" w:type="dxa"/>
            <w:tcBorders>
              <w:top w:val="single" w:sz="4" w:space="0" w:color="auto"/>
              <w:left w:val="single" w:sz="4" w:space="0" w:color="auto"/>
              <w:right w:val="single" w:sz="4" w:space="0" w:color="auto"/>
            </w:tcBorders>
            <w:shd w:val="clear" w:color="auto" w:fill="auto"/>
            <w:noWrap/>
            <w:hideMark/>
          </w:tcPr>
          <w:p w14:paraId="6D1622EE" w14:textId="77777777" w:rsidR="00D02C57" w:rsidRPr="00601B12" w:rsidRDefault="00D02C57" w:rsidP="007266DE">
            <w:pPr>
              <w:ind w:left="426" w:right="-108" w:hanging="426"/>
              <w:rPr>
                <w:rFonts w:ascii="Arial" w:hAnsi="Arial" w:cs="Arial"/>
                <w:color w:val="000000"/>
                <w:u w:val="single"/>
              </w:rPr>
            </w:pPr>
            <w:r w:rsidRPr="00601B12">
              <w:rPr>
                <w:rFonts w:ascii="Arial" w:hAnsi="Arial" w:cs="Arial"/>
                <w:color w:val="000000"/>
                <w:sz w:val="22"/>
                <w:szCs w:val="22"/>
                <w:u w:val="single"/>
              </w:rPr>
              <w:t xml:space="preserve">Schroders </w:t>
            </w:r>
          </w:p>
          <w:p w14:paraId="6D1622EF" w14:textId="77777777" w:rsidR="00D02C57" w:rsidRPr="00601B12" w:rsidRDefault="00D02C57" w:rsidP="007266DE">
            <w:pPr>
              <w:ind w:left="426" w:right="-108" w:hanging="426"/>
              <w:rPr>
                <w:rFonts w:ascii="Arial" w:hAnsi="Arial" w:cs="Arial"/>
                <w:color w:val="000000"/>
              </w:rPr>
            </w:pPr>
            <w:r w:rsidRPr="00601B12">
              <w:rPr>
                <w:rFonts w:ascii="Arial" w:hAnsi="Arial" w:cs="Arial"/>
                <w:color w:val="000000"/>
                <w:sz w:val="22"/>
                <w:szCs w:val="22"/>
              </w:rPr>
              <w:t xml:space="preserve">31 Gresham Street, </w:t>
            </w:r>
          </w:p>
          <w:p w14:paraId="6D1622F0" w14:textId="77777777" w:rsidR="00D02C57" w:rsidRPr="00601B12" w:rsidRDefault="00D02C57" w:rsidP="007266DE">
            <w:pPr>
              <w:ind w:left="426" w:right="-108" w:hanging="426"/>
              <w:rPr>
                <w:rFonts w:ascii="Arial" w:hAnsi="Arial" w:cs="Arial"/>
                <w:color w:val="000000"/>
              </w:rPr>
            </w:pPr>
            <w:r w:rsidRPr="00601B12">
              <w:rPr>
                <w:rFonts w:ascii="Arial" w:hAnsi="Arial" w:cs="Arial"/>
                <w:color w:val="000000"/>
                <w:sz w:val="22"/>
                <w:szCs w:val="22"/>
              </w:rPr>
              <w:t>London, EC2V 7QA</w:t>
            </w:r>
          </w:p>
          <w:p w14:paraId="6D1622F1" w14:textId="77777777" w:rsidR="00D02C57" w:rsidRPr="00601B12" w:rsidRDefault="00D02C57" w:rsidP="007266DE">
            <w:pPr>
              <w:ind w:left="426" w:right="-108" w:hanging="426"/>
              <w:rPr>
                <w:rFonts w:ascii="Arial" w:hAnsi="Arial" w:cs="Arial"/>
                <w:color w:val="000000"/>
                <w:sz w:val="16"/>
                <w:szCs w:val="16"/>
                <w:highlight w:val="yellow"/>
                <w:u w:val="single"/>
              </w:rPr>
            </w:pPr>
          </w:p>
        </w:tc>
      </w:tr>
      <w:tr w:rsidR="00D02C57" w:rsidRPr="00601B12" w14:paraId="6D1622F5" w14:textId="77777777" w:rsidTr="007266DE">
        <w:trPr>
          <w:trHeight w:val="4"/>
        </w:trPr>
        <w:tc>
          <w:tcPr>
            <w:tcW w:w="4738" w:type="dxa"/>
            <w:tcBorders>
              <w:top w:val="nil"/>
              <w:left w:val="single" w:sz="4" w:space="0" w:color="auto"/>
              <w:bottom w:val="single" w:sz="4" w:space="0" w:color="auto"/>
              <w:right w:val="single" w:sz="4" w:space="0" w:color="auto"/>
            </w:tcBorders>
            <w:shd w:val="clear" w:color="auto" w:fill="auto"/>
            <w:noWrap/>
            <w:hideMark/>
          </w:tcPr>
          <w:p w14:paraId="6D1622F3" w14:textId="77777777" w:rsidR="00D02C57" w:rsidRPr="00601B12" w:rsidRDefault="00D02C57" w:rsidP="007266DE">
            <w:pPr>
              <w:ind w:left="426" w:hanging="426"/>
              <w:rPr>
                <w:rFonts w:ascii="Arial" w:hAnsi="Arial" w:cs="Arial"/>
                <w:b/>
                <w:bCs/>
                <w:color w:val="000000"/>
                <w:highlight w:val="yellow"/>
              </w:rPr>
            </w:pPr>
          </w:p>
        </w:tc>
        <w:tc>
          <w:tcPr>
            <w:tcW w:w="4138" w:type="dxa"/>
            <w:tcBorders>
              <w:top w:val="nil"/>
              <w:left w:val="single" w:sz="4" w:space="0" w:color="auto"/>
              <w:bottom w:val="single" w:sz="4" w:space="0" w:color="auto"/>
              <w:right w:val="single" w:sz="4" w:space="0" w:color="auto"/>
            </w:tcBorders>
            <w:shd w:val="clear" w:color="auto" w:fill="auto"/>
            <w:noWrap/>
            <w:hideMark/>
          </w:tcPr>
          <w:p w14:paraId="6D1622F4" w14:textId="77777777" w:rsidR="00D02C57" w:rsidRPr="00601B12" w:rsidRDefault="00D02C57" w:rsidP="007266DE">
            <w:pPr>
              <w:ind w:left="426" w:right="-108" w:hanging="426"/>
              <w:rPr>
                <w:rFonts w:ascii="Arial" w:hAnsi="Arial" w:cs="Arial"/>
                <w:color w:val="000000"/>
                <w:highlight w:val="yellow"/>
              </w:rPr>
            </w:pPr>
          </w:p>
        </w:tc>
      </w:tr>
      <w:tr w:rsidR="00D02C57" w:rsidRPr="00601B12" w14:paraId="6D1622FE" w14:textId="77777777" w:rsidTr="007266DE">
        <w:trPr>
          <w:trHeight w:val="63"/>
        </w:trPr>
        <w:tc>
          <w:tcPr>
            <w:tcW w:w="4738" w:type="dxa"/>
            <w:tcBorders>
              <w:top w:val="single" w:sz="4" w:space="0" w:color="auto"/>
              <w:left w:val="single" w:sz="4" w:space="0" w:color="auto"/>
              <w:bottom w:val="single" w:sz="4" w:space="0" w:color="auto"/>
              <w:right w:val="single" w:sz="4" w:space="0" w:color="auto"/>
            </w:tcBorders>
            <w:shd w:val="clear" w:color="auto" w:fill="auto"/>
            <w:noWrap/>
            <w:hideMark/>
          </w:tcPr>
          <w:p w14:paraId="6D1622F6" w14:textId="77777777" w:rsidR="00D02C57" w:rsidRPr="00601B12" w:rsidRDefault="00D02C57" w:rsidP="007266DE">
            <w:pPr>
              <w:rPr>
                <w:rFonts w:ascii="Arial" w:hAnsi="Arial" w:cs="Arial"/>
                <w:color w:val="000000"/>
                <w:u w:val="single"/>
              </w:rPr>
            </w:pPr>
            <w:proofErr w:type="spellStart"/>
            <w:r w:rsidRPr="00601B12">
              <w:rPr>
                <w:rFonts w:ascii="Arial" w:hAnsi="Arial" w:cs="Arial"/>
                <w:color w:val="000000"/>
                <w:sz w:val="22"/>
                <w:szCs w:val="22"/>
                <w:u w:val="single"/>
              </w:rPr>
              <w:t>Kempen</w:t>
            </w:r>
            <w:proofErr w:type="spellEnd"/>
            <w:r w:rsidRPr="00601B12">
              <w:rPr>
                <w:rFonts w:ascii="Arial" w:hAnsi="Arial" w:cs="Arial"/>
                <w:color w:val="000000"/>
                <w:sz w:val="22"/>
                <w:szCs w:val="22"/>
                <w:u w:val="single"/>
              </w:rPr>
              <w:t xml:space="preserve"> International</w:t>
            </w:r>
          </w:p>
          <w:p w14:paraId="6D1622F7" w14:textId="77777777" w:rsidR="00D02C57" w:rsidRPr="00601B12" w:rsidRDefault="00D02C57" w:rsidP="007266DE">
            <w:pPr>
              <w:ind w:left="426" w:hanging="426"/>
              <w:rPr>
                <w:rFonts w:ascii="Arial" w:hAnsi="Arial" w:cs="Arial"/>
                <w:color w:val="000000"/>
              </w:rPr>
            </w:pPr>
            <w:proofErr w:type="spellStart"/>
            <w:r w:rsidRPr="00601B12">
              <w:rPr>
                <w:rFonts w:ascii="Arial" w:hAnsi="Arial" w:cs="Arial"/>
                <w:color w:val="000000"/>
                <w:sz w:val="22"/>
                <w:szCs w:val="22"/>
                <w:lang w:val="en-US"/>
              </w:rPr>
              <w:t>Beethovenstraat</w:t>
            </w:r>
            <w:proofErr w:type="spellEnd"/>
            <w:r w:rsidRPr="00601B12">
              <w:rPr>
                <w:rFonts w:ascii="Arial" w:hAnsi="Arial" w:cs="Arial"/>
                <w:color w:val="000000"/>
                <w:sz w:val="22"/>
                <w:szCs w:val="22"/>
                <w:lang w:val="en-US"/>
              </w:rPr>
              <w:t xml:space="preserve"> 300, 1077 WZ Amsterdam</w:t>
            </w:r>
          </w:p>
          <w:p w14:paraId="6D1622F8" w14:textId="77777777" w:rsidR="00574E89" w:rsidRPr="00601B12" w:rsidRDefault="00D02C57" w:rsidP="007266DE">
            <w:pPr>
              <w:ind w:left="426" w:hanging="426"/>
              <w:rPr>
                <w:rFonts w:ascii="Arial" w:hAnsi="Arial" w:cs="Arial"/>
                <w:color w:val="000000"/>
                <w:lang w:val="en-US"/>
              </w:rPr>
            </w:pPr>
            <w:r w:rsidRPr="00601B12">
              <w:rPr>
                <w:rFonts w:ascii="Arial" w:hAnsi="Arial" w:cs="Arial"/>
                <w:color w:val="000000"/>
                <w:sz w:val="22"/>
                <w:szCs w:val="22"/>
                <w:lang w:val="en-US"/>
              </w:rPr>
              <w:t>PO Box 75666, 1070 AR Amsterdam</w:t>
            </w:r>
          </w:p>
          <w:p w14:paraId="6D1622F9" w14:textId="77777777" w:rsidR="003D6795" w:rsidRPr="00601B12" w:rsidRDefault="003D6795" w:rsidP="007266DE">
            <w:pPr>
              <w:ind w:left="426" w:hanging="426"/>
              <w:rPr>
                <w:rFonts w:ascii="Arial" w:hAnsi="Arial" w:cs="Arial"/>
                <w:color w:val="000000"/>
                <w:highlight w:val="yellow"/>
                <w:lang w:val="en-US"/>
              </w:rPr>
            </w:pPr>
          </w:p>
        </w:tc>
        <w:tc>
          <w:tcPr>
            <w:tcW w:w="4138" w:type="dxa"/>
            <w:tcBorders>
              <w:top w:val="single" w:sz="4" w:space="0" w:color="auto"/>
              <w:left w:val="single" w:sz="4" w:space="0" w:color="auto"/>
              <w:bottom w:val="single" w:sz="4" w:space="0" w:color="auto"/>
              <w:right w:val="single" w:sz="4" w:space="0" w:color="auto"/>
            </w:tcBorders>
            <w:shd w:val="clear" w:color="auto" w:fill="auto"/>
            <w:noWrap/>
            <w:hideMark/>
          </w:tcPr>
          <w:p w14:paraId="6D1622FA" w14:textId="77777777" w:rsidR="00D02C57" w:rsidRPr="00601B12" w:rsidRDefault="00D02C57" w:rsidP="007266DE">
            <w:pPr>
              <w:ind w:right="-108"/>
              <w:rPr>
                <w:rFonts w:ascii="Arial" w:hAnsi="Arial" w:cs="Arial"/>
                <w:color w:val="000000"/>
                <w:u w:val="single"/>
              </w:rPr>
            </w:pPr>
            <w:r w:rsidRPr="00601B12">
              <w:rPr>
                <w:rFonts w:ascii="Arial" w:hAnsi="Arial" w:cs="Arial"/>
                <w:color w:val="000000"/>
                <w:sz w:val="22"/>
                <w:szCs w:val="22"/>
                <w:u w:val="single"/>
              </w:rPr>
              <w:t>UBS</w:t>
            </w:r>
          </w:p>
          <w:p w14:paraId="6D1622FB" w14:textId="77777777" w:rsidR="003D6795" w:rsidRPr="00601B12" w:rsidRDefault="00D02C57" w:rsidP="007266DE">
            <w:pPr>
              <w:ind w:left="426" w:right="-108" w:hanging="426"/>
              <w:rPr>
                <w:rFonts w:ascii="Arial" w:hAnsi="Arial" w:cs="Arial"/>
                <w:color w:val="000000"/>
              </w:rPr>
            </w:pPr>
            <w:r w:rsidRPr="00601B12">
              <w:rPr>
                <w:rFonts w:ascii="Arial" w:hAnsi="Arial" w:cs="Arial"/>
                <w:color w:val="000000"/>
                <w:sz w:val="22"/>
                <w:szCs w:val="22"/>
              </w:rPr>
              <w:t xml:space="preserve">21 Lombard Street, </w:t>
            </w:r>
          </w:p>
          <w:p w14:paraId="6D1622FC" w14:textId="77777777" w:rsidR="00D02C57" w:rsidRPr="00601B12" w:rsidRDefault="00D02C57" w:rsidP="007266DE">
            <w:pPr>
              <w:ind w:left="426" w:right="-108" w:hanging="426"/>
              <w:rPr>
                <w:rFonts w:ascii="Arial" w:hAnsi="Arial" w:cs="Arial"/>
                <w:color w:val="000000"/>
              </w:rPr>
            </w:pPr>
            <w:r w:rsidRPr="00601B12">
              <w:rPr>
                <w:rFonts w:ascii="Arial" w:hAnsi="Arial" w:cs="Arial"/>
                <w:color w:val="000000"/>
                <w:sz w:val="22"/>
                <w:szCs w:val="22"/>
              </w:rPr>
              <w:t xml:space="preserve">London, EC3V 9AH, </w:t>
            </w:r>
          </w:p>
          <w:p w14:paraId="6D1622FD" w14:textId="77777777" w:rsidR="00D02C57" w:rsidRPr="00601B12" w:rsidRDefault="00D02C57" w:rsidP="007266DE">
            <w:pPr>
              <w:ind w:left="426" w:right="-108" w:hanging="426"/>
              <w:rPr>
                <w:rFonts w:ascii="Arial" w:hAnsi="Arial" w:cs="Arial"/>
                <w:color w:val="000000"/>
                <w:sz w:val="16"/>
                <w:szCs w:val="16"/>
                <w:u w:val="single"/>
              </w:rPr>
            </w:pPr>
          </w:p>
        </w:tc>
      </w:tr>
    </w:tbl>
    <w:p w14:paraId="6D162305" w14:textId="77777777" w:rsidR="00AB26ED" w:rsidRPr="00601B12" w:rsidRDefault="00AB26ED" w:rsidP="00414A6E">
      <w:pPr>
        <w:autoSpaceDE w:val="0"/>
        <w:autoSpaceDN w:val="0"/>
        <w:adjustRightInd w:val="0"/>
        <w:jc w:val="both"/>
        <w:rPr>
          <w:rFonts w:ascii="Arial" w:hAnsi="Arial" w:cs="Arial"/>
          <w:bCs/>
          <w:color w:val="000000"/>
        </w:rPr>
      </w:pPr>
    </w:p>
    <w:p w14:paraId="6D162307" w14:textId="1233C159" w:rsidR="005974AC" w:rsidRDefault="005974AC" w:rsidP="002922AE">
      <w:pPr>
        <w:autoSpaceDE w:val="0"/>
        <w:autoSpaceDN w:val="0"/>
        <w:adjustRightInd w:val="0"/>
        <w:ind w:left="425" w:hanging="425"/>
        <w:jc w:val="both"/>
        <w:rPr>
          <w:rFonts w:ascii="Arial" w:hAnsi="Arial" w:cs="Arial"/>
          <w:color w:val="000000"/>
          <w:sz w:val="22"/>
          <w:szCs w:val="22"/>
        </w:rPr>
      </w:pPr>
      <w:r w:rsidRPr="00601B12">
        <w:rPr>
          <w:rFonts w:ascii="Arial" w:hAnsi="Arial" w:cs="Arial"/>
          <w:bCs/>
          <w:color w:val="000000"/>
        </w:rPr>
        <w:t>4.</w:t>
      </w:r>
      <w:r w:rsidR="004146ED" w:rsidRPr="00601B12">
        <w:rPr>
          <w:rFonts w:ascii="Arial" w:hAnsi="Arial" w:cs="Arial"/>
          <w:bCs/>
          <w:color w:val="000000"/>
        </w:rPr>
        <w:t>2</w:t>
      </w:r>
      <w:r w:rsidRPr="00601B12">
        <w:rPr>
          <w:rFonts w:ascii="Arial" w:hAnsi="Arial" w:cs="Arial"/>
          <w:bCs/>
          <w:color w:val="000000"/>
        </w:rPr>
        <w:tab/>
      </w:r>
      <w:r w:rsidRPr="00601B12">
        <w:rPr>
          <w:rFonts w:ascii="Arial" w:eastAsiaTheme="minorHAnsi" w:hAnsi="Arial" w:cs="Arial"/>
          <w:lang w:eastAsia="en-US"/>
        </w:rPr>
        <w:t xml:space="preserve">The work of the Pension </w:t>
      </w:r>
      <w:r w:rsidR="00D576F8" w:rsidRPr="00601B12">
        <w:rPr>
          <w:rFonts w:ascii="Arial" w:eastAsiaTheme="minorHAnsi" w:hAnsi="Arial" w:cs="Arial"/>
          <w:lang w:eastAsia="en-US"/>
        </w:rPr>
        <w:t>Committee</w:t>
      </w:r>
      <w:r w:rsidRPr="00601B12">
        <w:rPr>
          <w:rFonts w:ascii="Arial" w:eastAsiaTheme="minorHAnsi" w:hAnsi="Arial" w:cs="Arial"/>
          <w:lang w:eastAsia="en-US"/>
        </w:rPr>
        <w:t xml:space="preserve"> is supported by </w:t>
      </w:r>
      <w:proofErr w:type="gramStart"/>
      <w:r w:rsidR="00D57E5D" w:rsidRPr="00601B12">
        <w:rPr>
          <w:rFonts w:ascii="Arial" w:eastAsiaTheme="minorHAnsi" w:hAnsi="Arial" w:cs="Arial"/>
          <w:lang w:eastAsia="en-US"/>
        </w:rPr>
        <w:t>a number of</w:t>
      </w:r>
      <w:proofErr w:type="gramEnd"/>
      <w:r w:rsidR="00D57E5D" w:rsidRPr="00601B12">
        <w:rPr>
          <w:rFonts w:ascii="Arial" w:eastAsiaTheme="minorHAnsi" w:hAnsi="Arial" w:cs="Arial"/>
          <w:lang w:eastAsia="en-US"/>
        </w:rPr>
        <w:t xml:space="preserve"> officers, advisors </w:t>
      </w:r>
      <w:r w:rsidRPr="00601B12">
        <w:rPr>
          <w:rFonts w:ascii="Arial" w:eastAsiaTheme="minorHAnsi" w:hAnsi="Arial" w:cs="Arial"/>
          <w:lang w:eastAsia="en-US"/>
        </w:rPr>
        <w:t>and external managers as set out below:</w:t>
      </w:r>
    </w:p>
    <w:p w14:paraId="668D2C6D" w14:textId="77777777" w:rsidR="002922AE" w:rsidRPr="00601B12" w:rsidRDefault="002922AE" w:rsidP="002922AE">
      <w:pPr>
        <w:autoSpaceDE w:val="0"/>
        <w:autoSpaceDN w:val="0"/>
        <w:adjustRightInd w:val="0"/>
        <w:ind w:left="425" w:hanging="425"/>
        <w:jc w:val="both"/>
        <w:rPr>
          <w:rFonts w:ascii="Arial" w:hAnsi="Arial" w:cs="Arial"/>
          <w:color w:val="000000"/>
          <w:sz w:val="22"/>
          <w:szCs w:val="22"/>
        </w:rPr>
      </w:pPr>
    </w:p>
    <w:p w14:paraId="6D162308" w14:textId="1CE92E87" w:rsidR="00641771" w:rsidRPr="001149ED" w:rsidRDefault="00641771" w:rsidP="007337FE">
      <w:pPr>
        <w:pStyle w:val="ListParagraph"/>
        <w:numPr>
          <w:ilvl w:val="0"/>
          <w:numId w:val="61"/>
        </w:numPr>
        <w:autoSpaceDE w:val="0"/>
        <w:autoSpaceDN w:val="0"/>
        <w:adjustRightInd w:val="0"/>
        <w:spacing w:after="0"/>
        <w:ind w:right="-165"/>
        <w:jc w:val="both"/>
        <w:rPr>
          <w:rFonts w:ascii="Arial" w:hAnsi="Arial" w:cs="Arial"/>
          <w:color w:val="000000"/>
        </w:rPr>
      </w:pPr>
      <w:r w:rsidRPr="001149ED">
        <w:rPr>
          <w:rFonts w:ascii="Arial" w:hAnsi="Arial" w:cs="Arial"/>
          <w:b/>
          <w:bCs/>
          <w:color w:val="000000"/>
        </w:rPr>
        <w:t>Actuary:</w:t>
      </w:r>
      <w:r w:rsidRPr="001149ED">
        <w:rPr>
          <w:rFonts w:ascii="Arial" w:hAnsi="Arial" w:cs="Arial"/>
          <w:b/>
          <w:bCs/>
          <w:color w:val="000000"/>
        </w:rPr>
        <w:tab/>
      </w:r>
      <w:r w:rsidR="0002637B" w:rsidRPr="001149ED">
        <w:rPr>
          <w:rFonts w:ascii="Arial" w:hAnsi="Arial" w:cs="Arial"/>
          <w:b/>
          <w:bCs/>
          <w:color w:val="000000"/>
        </w:rPr>
        <w:tab/>
      </w:r>
      <w:r w:rsidR="002922AE" w:rsidRPr="001149ED">
        <w:rPr>
          <w:rFonts w:ascii="Arial" w:hAnsi="Arial" w:cs="Arial"/>
          <w:color w:val="000000"/>
          <w:u w:val="single"/>
        </w:rPr>
        <w:t>Barnett Waddingham</w:t>
      </w:r>
      <w:r w:rsidRPr="001149ED">
        <w:rPr>
          <w:rFonts w:ascii="Arial" w:hAnsi="Arial" w:cs="Arial"/>
          <w:color w:val="000000"/>
        </w:rPr>
        <w:t xml:space="preserve"> (</w:t>
      </w:r>
      <w:r w:rsidR="001149ED" w:rsidRPr="001149ED">
        <w:rPr>
          <w:rFonts w:ascii="Arial" w:hAnsi="Arial" w:cs="Arial"/>
          <w:color w:val="000000"/>
        </w:rPr>
        <w:t>163 West George Street, Glasgow, G2 2JJ</w:t>
      </w:r>
      <w:r w:rsidR="00AB26ED" w:rsidRPr="001149ED">
        <w:rPr>
          <w:rFonts w:ascii="Arial" w:hAnsi="Arial" w:cs="Arial"/>
          <w:bCs/>
          <w:color w:val="000000"/>
        </w:rPr>
        <w:t>)</w:t>
      </w:r>
    </w:p>
    <w:p w14:paraId="6D162309" w14:textId="77777777" w:rsidR="00641771" w:rsidRPr="00601B12" w:rsidRDefault="00641771" w:rsidP="00006D81">
      <w:pPr>
        <w:pStyle w:val="ListParagraph"/>
        <w:autoSpaceDE w:val="0"/>
        <w:autoSpaceDN w:val="0"/>
        <w:adjustRightInd w:val="0"/>
        <w:spacing w:after="0"/>
        <w:ind w:left="851" w:right="-165" w:hanging="142"/>
        <w:jc w:val="both"/>
        <w:rPr>
          <w:rFonts w:ascii="Arial" w:hAnsi="Arial" w:cs="Arial"/>
          <w:color w:val="000000"/>
        </w:rPr>
      </w:pPr>
    </w:p>
    <w:p w14:paraId="6D16230A" w14:textId="38AAB381" w:rsidR="00641771" w:rsidRPr="00601B12" w:rsidRDefault="00641771" w:rsidP="007337FE">
      <w:pPr>
        <w:pStyle w:val="ListParagraph"/>
        <w:numPr>
          <w:ilvl w:val="0"/>
          <w:numId w:val="61"/>
        </w:numPr>
        <w:autoSpaceDE w:val="0"/>
        <w:autoSpaceDN w:val="0"/>
        <w:adjustRightInd w:val="0"/>
        <w:spacing w:after="0"/>
        <w:ind w:left="851" w:right="-165" w:hanging="142"/>
        <w:jc w:val="both"/>
        <w:rPr>
          <w:rFonts w:ascii="Arial" w:hAnsi="Arial" w:cs="Arial"/>
          <w:b/>
          <w:bCs/>
          <w:color w:val="000000"/>
        </w:rPr>
      </w:pPr>
      <w:r w:rsidRPr="00601B12">
        <w:rPr>
          <w:rFonts w:ascii="Arial" w:hAnsi="Arial" w:cs="Arial"/>
          <w:b/>
          <w:bCs/>
          <w:color w:val="000000"/>
        </w:rPr>
        <w:t>AVC</w:t>
      </w:r>
      <w:r w:rsidR="00A624EC" w:rsidRPr="00601B12">
        <w:rPr>
          <w:rFonts w:ascii="Arial" w:hAnsi="Arial" w:cs="Arial"/>
          <w:b/>
          <w:bCs/>
          <w:color w:val="000000"/>
        </w:rPr>
        <w:t xml:space="preserve"> Provider:</w:t>
      </w:r>
      <w:r w:rsidR="0002637B" w:rsidRPr="00601B12">
        <w:rPr>
          <w:rFonts w:ascii="Arial" w:hAnsi="Arial" w:cs="Arial"/>
          <w:b/>
          <w:bCs/>
          <w:color w:val="000000"/>
        </w:rPr>
        <w:tab/>
      </w:r>
      <w:r w:rsidR="00C41C82" w:rsidRPr="00601B12">
        <w:rPr>
          <w:rFonts w:ascii="Arial" w:hAnsi="Arial" w:cs="Arial"/>
          <w:color w:val="000000"/>
          <w:u w:val="single"/>
        </w:rPr>
        <w:t>Prudential PLC</w:t>
      </w:r>
      <w:r w:rsidR="005974AC" w:rsidRPr="00601B12">
        <w:rPr>
          <w:rFonts w:ascii="Arial" w:hAnsi="Arial" w:cs="Arial"/>
          <w:color w:val="000000"/>
        </w:rPr>
        <w:t xml:space="preserve"> </w:t>
      </w:r>
      <w:r w:rsidR="0079211C" w:rsidRPr="00601B12">
        <w:rPr>
          <w:rFonts w:ascii="Arial" w:hAnsi="Arial" w:cs="Arial"/>
          <w:color w:val="000000"/>
        </w:rPr>
        <w:t>(</w:t>
      </w:r>
      <w:r w:rsidR="00C41C82" w:rsidRPr="00601B12">
        <w:rPr>
          <w:rFonts w:ascii="Arial" w:hAnsi="Arial" w:cs="Arial"/>
          <w:color w:val="000000"/>
        </w:rPr>
        <w:t xml:space="preserve">Governor’s </w:t>
      </w:r>
      <w:r w:rsidR="001E6353" w:rsidRPr="00601B12">
        <w:rPr>
          <w:rFonts w:ascii="Arial" w:hAnsi="Arial" w:cs="Arial"/>
          <w:color w:val="000000"/>
        </w:rPr>
        <w:t>House,</w:t>
      </w:r>
      <w:r w:rsidR="00C41C82" w:rsidRPr="00601B12">
        <w:rPr>
          <w:rFonts w:ascii="Arial" w:hAnsi="Arial" w:cs="Arial"/>
          <w:color w:val="000000"/>
        </w:rPr>
        <w:t xml:space="preserve"> London, EC4R 0HH</w:t>
      </w:r>
      <w:r w:rsidR="0079211C" w:rsidRPr="00601B12">
        <w:rPr>
          <w:rFonts w:ascii="Arial" w:hAnsi="Arial" w:cs="Arial"/>
          <w:color w:val="000000"/>
        </w:rPr>
        <w:t>)</w:t>
      </w:r>
    </w:p>
    <w:p w14:paraId="6D16230B" w14:textId="77777777" w:rsidR="00641771" w:rsidRPr="00601B12" w:rsidRDefault="00641771" w:rsidP="00006D81">
      <w:pPr>
        <w:pStyle w:val="ListParagraph"/>
        <w:autoSpaceDE w:val="0"/>
        <w:autoSpaceDN w:val="0"/>
        <w:adjustRightInd w:val="0"/>
        <w:spacing w:after="0"/>
        <w:ind w:left="851" w:right="-165" w:hanging="142"/>
        <w:jc w:val="both"/>
        <w:rPr>
          <w:rFonts w:ascii="Arial" w:hAnsi="Arial" w:cs="Arial"/>
          <w:color w:val="000000"/>
        </w:rPr>
      </w:pPr>
    </w:p>
    <w:p w14:paraId="6D16230C" w14:textId="413500B8" w:rsidR="00641771" w:rsidRPr="00601B12" w:rsidRDefault="00641771" w:rsidP="007337FE">
      <w:pPr>
        <w:pStyle w:val="ListParagraph"/>
        <w:numPr>
          <w:ilvl w:val="0"/>
          <w:numId w:val="61"/>
        </w:numPr>
        <w:autoSpaceDE w:val="0"/>
        <w:autoSpaceDN w:val="0"/>
        <w:adjustRightInd w:val="0"/>
        <w:spacing w:after="0"/>
        <w:ind w:left="851" w:right="-165" w:hanging="142"/>
        <w:jc w:val="both"/>
        <w:rPr>
          <w:rFonts w:ascii="Arial" w:hAnsi="Arial" w:cs="Arial"/>
          <w:color w:val="000000"/>
        </w:rPr>
      </w:pPr>
      <w:r w:rsidRPr="00601B12">
        <w:rPr>
          <w:rFonts w:ascii="Arial" w:hAnsi="Arial" w:cs="Arial"/>
          <w:b/>
          <w:bCs/>
          <w:color w:val="000000"/>
        </w:rPr>
        <w:t xml:space="preserve">Auditor: </w:t>
      </w:r>
      <w:r w:rsidRPr="00601B12">
        <w:rPr>
          <w:rFonts w:ascii="Arial" w:hAnsi="Arial" w:cs="Arial"/>
          <w:color w:val="000000"/>
        </w:rPr>
        <w:tab/>
      </w:r>
      <w:r w:rsidRPr="00601B12">
        <w:rPr>
          <w:rFonts w:ascii="Arial" w:hAnsi="Arial" w:cs="Arial"/>
          <w:color w:val="000000"/>
        </w:rPr>
        <w:tab/>
      </w:r>
      <w:r w:rsidR="001149ED" w:rsidRPr="00601B12">
        <w:rPr>
          <w:rFonts w:ascii="Arial" w:hAnsi="Arial" w:cs="Arial"/>
          <w:color w:val="000000"/>
          <w:u w:val="single"/>
        </w:rPr>
        <w:t xml:space="preserve">BDO </w:t>
      </w:r>
      <w:r w:rsidR="001149ED" w:rsidRPr="00601B12">
        <w:rPr>
          <w:rFonts w:ascii="Arial" w:hAnsi="Arial" w:cs="Arial"/>
          <w:color w:val="000000"/>
        </w:rPr>
        <w:t>(</w:t>
      </w:r>
      <w:r w:rsidR="00543C29" w:rsidRPr="00601B12">
        <w:rPr>
          <w:rFonts w:ascii="Arial" w:hAnsi="Arial" w:cs="Arial"/>
          <w:color w:val="000000"/>
        </w:rPr>
        <w:t>55 Baker St, Marylebone, London W1U 7EU</w:t>
      </w:r>
      <w:r w:rsidRPr="00601B12">
        <w:rPr>
          <w:rFonts w:ascii="Arial" w:hAnsi="Arial" w:cs="Arial"/>
          <w:color w:val="000000"/>
        </w:rPr>
        <w:t>)</w:t>
      </w:r>
    </w:p>
    <w:p w14:paraId="6D16230D" w14:textId="77777777" w:rsidR="00A624EC" w:rsidRPr="00601B12" w:rsidRDefault="00A624EC" w:rsidP="00006D81">
      <w:pPr>
        <w:pStyle w:val="ListParagraph"/>
        <w:autoSpaceDE w:val="0"/>
        <w:autoSpaceDN w:val="0"/>
        <w:adjustRightInd w:val="0"/>
        <w:spacing w:after="0"/>
        <w:ind w:left="851" w:right="-165" w:hanging="142"/>
        <w:jc w:val="both"/>
        <w:rPr>
          <w:rFonts w:ascii="Arial" w:hAnsi="Arial" w:cs="Arial"/>
          <w:b/>
          <w:bCs/>
          <w:color w:val="000000"/>
        </w:rPr>
      </w:pPr>
    </w:p>
    <w:p w14:paraId="6D16230E" w14:textId="2B4802C1" w:rsidR="00A624EC" w:rsidRPr="001149ED" w:rsidRDefault="00C41C82" w:rsidP="007337FE">
      <w:pPr>
        <w:pStyle w:val="ListParagraph"/>
        <w:numPr>
          <w:ilvl w:val="0"/>
          <w:numId w:val="61"/>
        </w:numPr>
        <w:autoSpaceDE w:val="0"/>
        <w:autoSpaceDN w:val="0"/>
        <w:adjustRightInd w:val="0"/>
        <w:spacing w:after="0"/>
        <w:ind w:left="851" w:right="-165" w:hanging="142"/>
        <w:jc w:val="both"/>
        <w:rPr>
          <w:rFonts w:ascii="Arial" w:hAnsi="Arial" w:cs="Arial"/>
          <w:b/>
          <w:bCs/>
          <w:color w:val="000000"/>
        </w:rPr>
      </w:pPr>
      <w:r w:rsidRPr="00601B12">
        <w:rPr>
          <w:rFonts w:ascii="Arial" w:hAnsi="Arial" w:cs="Arial"/>
          <w:b/>
          <w:bCs/>
          <w:color w:val="000000"/>
        </w:rPr>
        <w:t>Custodian</w:t>
      </w:r>
      <w:r w:rsidR="00A624EC" w:rsidRPr="00601B12">
        <w:rPr>
          <w:rFonts w:ascii="Arial" w:hAnsi="Arial" w:cs="Arial"/>
          <w:b/>
          <w:bCs/>
          <w:color w:val="000000"/>
        </w:rPr>
        <w:t xml:space="preserve">: </w:t>
      </w:r>
      <w:r w:rsidR="00641771" w:rsidRPr="00601B12">
        <w:rPr>
          <w:rFonts w:ascii="Arial" w:hAnsi="Arial" w:cs="Arial"/>
          <w:b/>
          <w:bCs/>
          <w:color w:val="000000"/>
        </w:rPr>
        <w:tab/>
      </w:r>
      <w:r w:rsidR="00641771" w:rsidRPr="00601B12">
        <w:rPr>
          <w:rFonts w:ascii="Arial" w:hAnsi="Arial" w:cs="Arial"/>
          <w:b/>
          <w:bCs/>
          <w:color w:val="000000"/>
        </w:rPr>
        <w:tab/>
      </w:r>
      <w:r w:rsidR="00637DB1">
        <w:rPr>
          <w:rFonts w:ascii="Arial" w:hAnsi="Arial" w:cs="Arial"/>
          <w:bCs/>
          <w:color w:val="000000"/>
          <w:u w:val="single"/>
        </w:rPr>
        <w:t>Northern Trust</w:t>
      </w:r>
      <w:r w:rsidR="00A624EC" w:rsidRPr="00601B12">
        <w:rPr>
          <w:rFonts w:ascii="Arial" w:hAnsi="Arial" w:cs="Arial"/>
          <w:bCs/>
          <w:color w:val="000000"/>
        </w:rPr>
        <w:t xml:space="preserve"> </w:t>
      </w:r>
      <w:r w:rsidR="00A624EC" w:rsidRPr="00F42052">
        <w:rPr>
          <w:rFonts w:ascii="Arial" w:hAnsi="Arial" w:cs="Arial"/>
          <w:color w:val="000000"/>
        </w:rPr>
        <w:t>(</w:t>
      </w:r>
      <w:r w:rsidR="009212B5" w:rsidRPr="00F42052">
        <w:rPr>
          <w:rFonts w:ascii="Arial" w:hAnsi="Arial" w:cs="Arial"/>
          <w:color w:val="000000"/>
        </w:rPr>
        <w:t>50 Bank St,</w:t>
      </w:r>
      <w:r w:rsidR="00300B28" w:rsidRPr="00B8240C">
        <w:rPr>
          <w:rFonts w:ascii="Arial" w:hAnsi="Arial" w:cs="Arial"/>
          <w:color w:val="000000"/>
        </w:rPr>
        <w:t xml:space="preserve"> </w:t>
      </w:r>
      <w:r w:rsidR="009212B5" w:rsidRPr="00B8240C">
        <w:rPr>
          <w:rFonts w:ascii="Arial" w:hAnsi="Arial" w:cs="Arial"/>
          <w:color w:val="000000"/>
        </w:rPr>
        <w:t>Canary</w:t>
      </w:r>
      <w:r w:rsidR="00DB1C3B">
        <w:rPr>
          <w:rFonts w:ascii="Arial" w:hAnsi="Arial" w:cs="Arial"/>
          <w:color w:val="000000"/>
        </w:rPr>
        <w:t xml:space="preserve"> </w:t>
      </w:r>
      <w:r w:rsidR="009212B5" w:rsidRPr="00F42052">
        <w:rPr>
          <w:rFonts w:ascii="Arial" w:hAnsi="Arial" w:cs="Arial"/>
          <w:color w:val="000000"/>
        </w:rPr>
        <w:t>Wharf,</w:t>
      </w:r>
      <w:r w:rsidR="00300B28" w:rsidRPr="00F42052">
        <w:rPr>
          <w:rFonts w:ascii="Arial" w:hAnsi="Arial" w:cs="Arial"/>
          <w:color w:val="000000"/>
        </w:rPr>
        <w:t xml:space="preserve"> </w:t>
      </w:r>
      <w:r w:rsidR="009212B5" w:rsidRPr="00B8240C">
        <w:rPr>
          <w:rFonts w:ascii="Arial" w:hAnsi="Arial" w:cs="Arial"/>
          <w:color w:val="000000"/>
        </w:rPr>
        <w:t>London E14 5NT</w:t>
      </w:r>
      <w:r w:rsidR="00A624EC" w:rsidRPr="0076066D">
        <w:rPr>
          <w:rFonts w:ascii="Arial" w:hAnsi="Arial" w:cs="Arial"/>
          <w:color w:val="000000"/>
        </w:rPr>
        <w:t>)</w:t>
      </w:r>
    </w:p>
    <w:p w14:paraId="049E6415" w14:textId="77777777" w:rsidR="001149ED" w:rsidRPr="00601B12" w:rsidRDefault="001149ED" w:rsidP="001149ED">
      <w:pPr>
        <w:pStyle w:val="ListParagraph"/>
        <w:autoSpaceDE w:val="0"/>
        <w:autoSpaceDN w:val="0"/>
        <w:adjustRightInd w:val="0"/>
        <w:spacing w:after="0"/>
        <w:ind w:left="851" w:right="-165"/>
        <w:jc w:val="both"/>
        <w:rPr>
          <w:rFonts w:ascii="Arial" w:hAnsi="Arial" w:cs="Arial"/>
          <w:b/>
          <w:bCs/>
          <w:color w:val="000000"/>
        </w:rPr>
      </w:pPr>
    </w:p>
    <w:p w14:paraId="6D16230F" w14:textId="2495FE3B" w:rsidR="00C41C82" w:rsidRPr="00601B12" w:rsidRDefault="0079211C" w:rsidP="00006D81">
      <w:pPr>
        <w:autoSpaceDE w:val="0"/>
        <w:autoSpaceDN w:val="0"/>
        <w:adjustRightInd w:val="0"/>
        <w:ind w:left="851" w:right="-165" w:hanging="142"/>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Fund’s custodian is </w:t>
      </w:r>
      <w:r w:rsidR="00FD091D">
        <w:rPr>
          <w:rFonts w:ascii="Arial" w:hAnsi="Arial" w:cs="Arial"/>
          <w:color w:val="000000"/>
          <w:sz w:val="22"/>
          <w:szCs w:val="22"/>
        </w:rPr>
        <w:t>Northern Trust</w:t>
      </w:r>
      <w:r w:rsidR="00C41C82" w:rsidRPr="00601B12">
        <w:rPr>
          <w:rFonts w:ascii="Arial" w:hAnsi="Arial" w:cs="Arial"/>
          <w:color w:val="000000"/>
          <w:sz w:val="22"/>
          <w:szCs w:val="22"/>
        </w:rPr>
        <w:t xml:space="preserve"> Bank and Trust Company who provide safekeeping, settlement of trades, income </w:t>
      </w:r>
      <w:r w:rsidR="00635817" w:rsidRPr="00601B12">
        <w:rPr>
          <w:rFonts w:ascii="Arial" w:hAnsi="Arial" w:cs="Arial"/>
          <w:color w:val="000000"/>
          <w:sz w:val="22"/>
          <w:szCs w:val="22"/>
        </w:rPr>
        <w:t>collection and corporate actions data</w:t>
      </w:r>
      <w:r w:rsidR="00C41C82" w:rsidRPr="00601B12">
        <w:rPr>
          <w:rFonts w:ascii="Arial" w:hAnsi="Arial" w:cs="Arial"/>
          <w:color w:val="000000"/>
          <w:sz w:val="22"/>
          <w:szCs w:val="22"/>
        </w:rPr>
        <w:t>.</w:t>
      </w:r>
    </w:p>
    <w:p w14:paraId="6D162310" w14:textId="77777777" w:rsidR="00C41C82" w:rsidRPr="00601B12" w:rsidRDefault="0079211C" w:rsidP="00006D81">
      <w:pPr>
        <w:autoSpaceDE w:val="0"/>
        <w:autoSpaceDN w:val="0"/>
        <w:adjustRightInd w:val="0"/>
        <w:ind w:left="851" w:right="-165" w:hanging="142"/>
        <w:jc w:val="both"/>
        <w:rPr>
          <w:rFonts w:ascii="Arial" w:hAnsi="Arial" w:cs="Arial"/>
          <w:bCs/>
          <w:color w:val="000000"/>
          <w:sz w:val="22"/>
          <w:szCs w:val="22"/>
        </w:rPr>
      </w:pPr>
      <w:r w:rsidRPr="00601B12">
        <w:rPr>
          <w:rFonts w:ascii="Arial" w:hAnsi="Arial" w:cs="Arial"/>
          <w:bCs/>
          <w:color w:val="000000"/>
          <w:sz w:val="22"/>
          <w:szCs w:val="22"/>
        </w:rPr>
        <w:tab/>
      </w:r>
    </w:p>
    <w:p w14:paraId="6D162311" w14:textId="77777777" w:rsidR="0002637B" w:rsidRPr="00601B12" w:rsidRDefault="0002637B" w:rsidP="007337FE">
      <w:pPr>
        <w:pStyle w:val="ListParagraph"/>
        <w:numPr>
          <w:ilvl w:val="0"/>
          <w:numId w:val="61"/>
        </w:numPr>
        <w:autoSpaceDE w:val="0"/>
        <w:autoSpaceDN w:val="0"/>
        <w:adjustRightInd w:val="0"/>
        <w:spacing w:after="0" w:line="360" w:lineRule="auto"/>
        <w:ind w:left="851" w:right="-165" w:hanging="142"/>
        <w:jc w:val="both"/>
        <w:rPr>
          <w:rFonts w:ascii="Arial" w:hAnsi="Arial" w:cs="Arial"/>
          <w:color w:val="000000"/>
        </w:rPr>
      </w:pPr>
      <w:r w:rsidRPr="00601B12">
        <w:rPr>
          <w:rFonts w:ascii="Arial" w:hAnsi="Arial" w:cs="Arial"/>
          <w:b/>
          <w:bCs/>
          <w:color w:val="000000"/>
        </w:rPr>
        <w:t xml:space="preserve">Legal Advisors: </w:t>
      </w:r>
      <w:r w:rsidRPr="00601B12">
        <w:rPr>
          <w:rFonts w:ascii="Arial" w:hAnsi="Arial" w:cs="Arial"/>
          <w:b/>
          <w:bCs/>
          <w:color w:val="000000"/>
        </w:rPr>
        <w:tab/>
      </w:r>
      <w:r w:rsidR="00574E89" w:rsidRPr="00601B12">
        <w:rPr>
          <w:rFonts w:ascii="Arial" w:hAnsi="Arial" w:cs="Arial"/>
          <w:b/>
          <w:bCs/>
          <w:color w:val="000000"/>
        </w:rPr>
        <w:tab/>
        <w:t xml:space="preserve"> </w:t>
      </w:r>
      <w:r w:rsidR="00006D81" w:rsidRPr="00601B12">
        <w:rPr>
          <w:rFonts w:ascii="Arial" w:hAnsi="Arial" w:cs="Arial"/>
          <w:b/>
          <w:bCs/>
          <w:color w:val="000000"/>
        </w:rPr>
        <w:t xml:space="preserve">  </w:t>
      </w:r>
      <w:r w:rsidRPr="00601B12">
        <w:rPr>
          <w:rFonts w:ascii="Arial" w:hAnsi="Arial" w:cs="Arial"/>
          <w:color w:val="000000"/>
          <w:u w:val="single"/>
        </w:rPr>
        <w:t>Eversheds</w:t>
      </w:r>
      <w:r w:rsidRPr="00601B12">
        <w:rPr>
          <w:rFonts w:ascii="Arial" w:hAnsi="Arial" w:cs="Arial"/>
          <w:color w:val="000000"/>
        </w:rPr>
        <w:t xml:space="preserve"> (1 Wood St, London, London EC2V 7WS)</w:t>
      </w:r>
    </w:p>
    <w:p w14:paraId="6D162312" w14:textId="3A985B5D" w:rsidR="00A624EC" w:rsidRPr="00601B12" w:rsidRDefault="00C41C82" w:rsidP="007337FE">
      <w:pPr>
        <w:pStyle w:val="ListParagraph"/>
        <w:numPr>
          <w:ilvl w:val="0"/>
          <w:numId w:val="61"/>
        </w:numPr>
        <w:autoSpaceDE w:val="0"/>
        <w:autoSpaceDN w:val="0"/>
        <w:adjustRightInd w:val="0"/>
        <w:spacing w:after="0" w:line="360" w:lineRule="auto"/>
        <w:ind w:left="851" w:right="-165" w:hanging="142"/>
        <w:jc w:val="both"/>
        <w:rPr>
          <w:rFonts w:ascii="Arial" w:hAnsi="Arial" w:cs="Arial"/>
          <w:color w:val="000000"/>
        </w:rPr>
      </w:pPr>
      <w:r w:rsidRPr="00601B12">
        <w:rPr>
          <w:rFonts w:ascii="Arial" w:hAnsi="Arial" w:cs="Arial"/>
          <w:b/>
          <w:bCs/>
          <w:color w:val="000000"/>
        </w:rPr>
        <w:t>Investment Advisor</w:t>
      </w:r>
      <w:r w:rsidR="00A624EC" w:rsidRPr="00601B12">
        <w:rPr>
          <w:rFonts w:ascii="Arial" w:hAnsi="Arial" w:cs="Arial"/>
          <w:b/>
          <w:bCs/>
          <w:color w:val="000000"/>
        </w:rPr>
        <w:t xml:space="preserve">: </w:t>
      </w:r>
      <w:r w:rsidR="00641771" w:rsidRPr="00601B12">
        <w:rPr>
          <w:rFonts w:ascii="Arial" w:hAnsi="Arial" w:cs="Arial"/>
          <w:b/>
          <w:bCs/>
          <w:color w:val="000000"/>
        </w:rPr>
        <w:tab/>
        <w:t xml:space="preserve"> </w:t>
      </w:r>
      <w:r w:rsidR="00006D81" w:rsidRPr="00601B12">
        <w:rPr>
          <w:rFonts w:ascii="Arial" w:hAnsi="Arial" w:cs="Arial"/>
          <w:b/>
          <w:bCs/>
          <w:color w:val="000000"/>
        </w:rPr>
        <w:t xml:space="preserve"> </w:t>
      </w:r>
      <w:r w:rsidR="00006D81" w:rsidRPr="002922AE">
        <w:rPr>
          <w:rFonts w:ascii="Arial" w:hAnsi="Arial" w:cs="Arial"/>
          <w:color w:val="000000"/>
        </w:rPr>
        <w:t xml:space="preserve"> </w:t>
      </w:r>
      <w:r w:rsidR="002922AE" w:rsidRPr="001149ED">
        <w:rPr>
          <w:rFonts w:ascii="Arial" w:hAnsi="Arial" w:cs="Arial"/>
          <w:color w:val="000000"/>
          <w:u w:val="single"/>
        </w:rPr>
        <w:t>Hymans Robertson</w:t>
      </w:r>
      <w:r w:rsidR="002922AE">
        <w:rPr>
          <w:rFonts w:ascii="Arial" w:hAnsi="Arial" w:cs="Arial"/>
          <w:b/>
          <w:bCs/>
          <w:color w:val="000000"/>
        </w:rPr>
        <w:t xml:space="preserve"> </w:t>
      </w:r>
      <w:r w:rsidR="0079211C" w:rsidRPr="00601B12">
        <w:rPr>
          <w:rFonts w:ascii="Arial" w:hAnsi="Arial" w:cs="Arial"/>
          <w:color w:val="000000"/>
        </w:rPr>
        <w:t>(</w:t>
      </w:r>
      <w:r w:rsidR="002922AE" w:rsidRPr="00601B12">
        <w:rPr>
          <w:rFonts w:ascii="Arial" w:hAnsi="Arial" w:cs="Arial"/>
          <w:color w:val="000000"/>
        </w:rPr>
        <w:t>2</w:t>
      </w:r>
      <w:r w:rsidR="002922AE" w:rsidRPr="00601B12">
        <w:rPr>
          <w:rFonts w:ascii="Arial" w:hAnsi="Arial" w:cs="Arial"/>
          <w:bCs/>
          <w:color w:val="000000"/>
        </w:rPr>
        <w:t>0 Waterloo Street, Glasgow, G2 6DB</w:t>
      </w:r>
      <w:r w:rsidR="0079211C" w:rsidRPr="00601B12">
        <w:rPr>
          <w:rFonts w:ascii="Arial" w:hAnsi="Arial" w:cs="Arial"/>
          <w:color w:val="000000"/>
        </w:rPr>
        <w:t>)</w:t>
      </w:r>
    </w:p>
    <w:p w14:paraId="6D162313" w14:textId="77777777" w:rsidR="00A624EC" w:rsidRPr="00601B12" w:rsidRDefault="00D02C57" w:rsidP="007337FE">
      <w:pPr>
        <w:pStyle w:val="ListParagraph"/>
        <w:numPr>
          <w:ilvl w:val="0"/>
          <w:numId w:val="61"/>
        </w:numPr>
        <w:autoSpaceDE w:val="0"/>
        <w:autoSpaceDN w:val="0"/>
        <w:adjustRightInd w:val="0"/>
        <w:spacing w:after="0" w:line="360" w:lineRule="auto"/>
        <w:ind w:left="851" w:right="-165" w:hanging="142"/>
        <w:jc w:val="both"/>
        <w:rPr>
          <w:rFonts w:ascii="Arial" w:hAnsi="Arial" w:cs="Arial"/>
          <w:color w:val="000000"/>
        </w:rPr>
      </w:pPr>
      <w:r w:rsidRPr="00601B12">
        <w:rPr>
          <w:rFonts w:ascii="Arial" w:hAnsi="Arial" w:cs="Arial"/>
          <w:b/>
          <w:bCs/>
          <w:color w:val="000000"/>
        </w:rPr>
        <w:t>Independent Advisor</w:t>
      </w:r>
      <w:r w:rsidR="00A624EC" w:rsidRPr="00601B12">
        <w:rPr>
          <w:rFonts w:ascii="Arial" w:hAnsi="Arial" w:cs="Arial"/>
          <w:b/>
          <w:bCs/>
          <w:color w:val="000000"/>
        </w:rPr>
        <w:t xml:space="preserve">:  </w:t>
      </w:r>
      <w:r w:rsidR="00641771" w:rsidRPr="00601B12">
        <w:rPr>
          <w:rFonts w:ascii="Arial" w:hAnsi="Arial" w:cs="Arial"/>
          <w:b/>
          <w:bCs/>
          <w:color w:val="000000"/>
        </w:rPr>
        <w:tab/>
        <w:t xml:space="preserve"> </w:t>
      </w:r>
      <w:r w:rsidR="00006D81" w:rsidRPr="00601B12">
        <w:rPr>
          <w:rFonts w:ascii="Arial" w:hAnsi="Arial" w:cs="Arial"/>
          <w:b/>
          <w:bCs/>
          <w:color w:val="000000"/>
        </w:rPr>
        <w:t xml:space="preserve">  </w:t>
      </w:r>
      <w:r w:rsidR="00AB6242" w:rsidRPr="00601B12">
        <w:rPr>
          <w:rFonts w:ascii="Arial" w:hAnsi="Arial" w:cs="Arial"/>
          <w:color w:val="000000"/>
          <w:u w:val="single"/>
        </w:rPr>
        <w:t>John Raisin</w:t>
      </w:r>
      <w:r w:rsidR="00AB6242" w:rsidRPr="00601B12">
        <w:rPr>
          <w:rFonts w:ascii="Arial" w:hAnsi="Arial" w:cs="Arial"/>
          <w:color w:val="000000"/>
        </w:rPr>
        <w:t xml:space="preserve"> (130 Goldington Road, </w:t>
      </w:r>
      <w:r w:rsidR="00641771" w:rsidRPr="00601B12">
        <w:rPr>
          <w:rFonts w:ascii="Arial" w:hAnsi="Arial" w:cs="Arial"/>
          <w:color w:val="000000"/>
        </w:rPr>
        <w:t xml:space="preserve">Bedford, </w:t>
      </w:r>
      <w:r w:rsidR="00AB6242" w:rsidRPr="00601B12">
        <w:rPr>
          <w:rFonts w:ascii="Arial" w:hAnsi="Arial" w:cs="Arial"/>
          <w:color w:val="000000"/>
        </w:rPr>
        <w:t>MK40 3EA)</w:t>
      </w:r>
    </w:p>
    <w:p w14:paraId="6D162314" w14:textId="716A90F2" w:rsidR="00641771" w:rsidRPr="00601B12" w:rsidRDefault="00641771" w:rsidP="007337FE">
      <w:pPr>
        <w:pStyle w:val="ListParagraph"/>
        <w:numPr>
          <w:ilvl w:val="0"/>
          <w:numId w:val="61"/>
        </w:numPr>
        <w:autoSpaceDE w:val="0"/>
        <w:autoSpaceDN w:val="0"/>
        <w:adjustRightInd w:val="0"/>
        <w:spacing w:after="0" w:line="360" w:lineRule="auto"/>
        <w:ind w:left="851" w:right="-165" w:hanging="142"/>
        <w:jc w:val="both"/>
        <w:rPr>
          <w:rFonts w:ascii="Arial" w:hAnsi="Arial" w:cs="Arial"/>
          <w:color w:val="000000"/>
        </w:rPr>
      </w:pPr>
      <w:r w:rsidRPr="00601B12">
        <w:rPr>
          <w:rFonts w:ascii="Arial" w:hAnsi="Arial" w:cs="Arial"/>
          <w:b/>
          <w:bCs/>
          <w:color w:val="000000"/>
        </w:rPr>
        <w:t>Performance:</w:t>
      </w:r>
      <w:r w:rsidR="00006D81" w:rsidRPr="00601B12">
        <w:rPr>
          <w:rFonts w:ascii="Arial" w:hAnsi="Arial" w:cs="Arial"/>
          <w:b/>
          <w:bCs/>
          <w:color w:val="000000"/>
        </w:rPr>
        <w:t xml:space="preserve"> </w:t>
      </w:r>
      <w:r w:rsidR="001149ED">
        <w:rPr>
          <w:rFonts w:ascii="Arial" w:hAnsi="Arial" w:cs="Arial"/>
          <w:b/>
          <w:bCs/>
          <w:color w:val="000000"/>
        </w:rPr>
        <w:tab/>
      </w:r>
      <w:r w:rsidRPr="00601B12">
        <w:rPr>
          <w:rFonts w:ascii="Arial" w:hAnsi="Arial" w:cs="Arial"/>
          <w:color w:val="000000"/>
          <w:u w:val="single"/>
        </w:rPr>
        <w:t>WM Markets</w:t>
      </w:r>
      <w:r w:rsidRPr="00601B12">
        <w:rPr>
          <w:rFonts w:ascii="Arial" w:hAnsi="Arial" w:cs="Arial"/>
          <w:color w:val="000000"/>
        </w:rPr>
        <w:t xml:space="preserve"> (</w:t>
      </w:r>
      <w:r w:rsidRPr="00601B12">
        <w:rPr>
          <w:rFonts w:ascii="Arial" w:hAnsi="Arial" w:cs="Arial"/>
          <w:bCs/>
          <w:color w:val="000000"/>
        </w:rPr>
        <w:t>525 Ferry Road, Edinburgh, EH5 2AW)</w:t>
      </w:r>
    </w:p>
    <w:p w14:paraId="6D162315" w14:textId="13325E21" w:rsidR="00A624EC" w:rsidRPr="00601B12" w:rsidRDefault="0079211C" w:rsidP="007337FE">
      <w:pPr>
        <w:pStyle w:val="ListParagraph"/>
        <w:numPr>
          <w:ilvl w:val="0"/>
          <w:numId w:val="61"/>
        </w:numPr>
        <w:autoSpaceDE w:val="0"/>
        <w:autoSpaceDN w:val="0"/>
        <w:adjustRightInd w:val="0"/>
        <w:spacing w:after="0" w:line="360" w:lineRule="auto"/>
        <w:ind w:left="851" w:right="-165" w:hanging="142"/>
        <w:jc w:val="both"/>
        <w:rPr>
          <w:rFonts w:ascii="Arial" w:hAnsi="Arial" w:cs="Arial"/>
          <w:color w:val="000000"/>
        </w:rPr>
      </w:pPr>
      <w:r w:rsidRPr="00601B12">
        <w:rPr>
          <w:rFonts w:ascii="Arial" w:hAnsi="Arial" w:cs="Arial"/>
          <w:b/>
          <w:bCs/>
          <w:color w:val="000000"/>
        </w:rPr>
        <w:t>Subscription</w:t>
      </w:r>
      <w:r w:rsidR="001149ED">
        <w:rPr>
          <w:rFonts w:ascii="Arial" w:hAnsi="Arial" w:cs="Arial"/>
          <w:b/>
          <w:bCs/>
          <w:color w:val="000000"/>
        </w:rPr>
        <w:t>s</w:t>
      </w:r>
      <w:r w:rsidR="00641771" w:rsidRPr="00601B12">
        <w:rPr>
          <w:rFonts w:ascii="Arial" w:hAnsi="Arial" w:cs="Arial"/>
          <w:b/>
          <w:bCs/>
          <w:color w:val="000000"/>
        </w:rPr>
        <w:t xml:space="preserve">: </w:t>
      </w:r>
      <w:r w:rsidR="001149ED">
        <w:rPr>
          <w:rFonts w:ascii="Arial" w:hAnsi="Arial" w:cs="Arial"/>
          <w:b/>
          <w:bCs/>
          <w:color w:val="000000"/>
        </w:rPr>
        <w:tab/>
      </w:r>
      <w:r w:rsidRPr="00601B12">
        <w:rPr>
          <w:rFonts w:ascii="Arial" w:eastAsiaTheme="minorHAnsi" w:hAnsi="Arial" w:cs="Arial"/>
          <w:u w:val="single"/>
        </w:rPr>
        <w:t xml:space="preserve">Local Authority </w:t>
      </w:r>
      <w:r w:rsidR="00D57E5D" w:rsidRPr="00601B12">
        <w:rPr>
          <w:rFonts w:ascii="Arial" w:eastAsiaTheme="minorHAnsi" w:hAnsi="Arial" w:cs="Arial"/>
          <w:u w:val="single"/>
        </w:rPr>
        <w:t>Pension Fund Forum</w:t>
      </w:r>
      <w:r w:rsidR="00D57E5D" w:rsidRPr="00601B12">
        <w:rPr>
          <w:rFonts w:ascii="Arial" w:eastAsiaTheme="minorHAnsi" w:hAnsi="Arial" w:cs="Arial"/>
        </w:rPr>
        <w:t xml:space="preserve"> (LAPFF)</w:t>
      </w:r>
    </w:p>
    <w:p w14:paraId="6D162316" w14:textId="77777777" w:rsidR="00635817" w:rsidRPr="00601B12" w:rsidRDefault="0079211C" w:rsidP="00641771">
      <w:pPr>
        <w:autoSpaceDE w:val="0"/>
        <w:autoSpaceDN w:val="0"/>
        <w:adjustRightInd w:val="0"/>
        <w:ind w:left="426" w:hanging="426"/>
        <w:rPr>
          <w:rFonts w:ascii="Arial" w:hAnsi="Arial" w:cs="Arial"/>
          <w:b/>
          <w:bCs/>
          <w:color w:val="000000"/>
          <w:sz w:val="22"/>
          <w:szCs w:val="22"/>
        </w:rPr>
      </w:pPr>
      <w:r w:rsidRPr="00601B12">
        <w:rPr>
          <w:rFonts w:ascii="Arial" w:hAnsi="Arial" w:cs="Arial"/>
          <w:b/>
          <w:bCs/>
          <w:color w:val="000000"/>
          <w:sz w:val="22"/>
          <w:szCs w:val="22"/>
        </w:rPr>
        <w:tab/>
      </w:r>
    </w:p>
    <w:p w14:paraId="6D162317" w14:textId="77777777" w:rsidR="0091026A" w:rsidRPr="00601B12" w:rsidRDefault="00635817" w:rsidP="00641771">
      <w:pPr>
        <w:autoSpaceDE w:val="0"/>
        <w:autoSpaceDN w:val="0"/>
        <w:adjustRightInd w:val="0"/>
        <w:ind w:left="426" w:hanging="426"/>
        <w:rPr>
          <w:rFonts w:ascii="Arial" w:hAnsi="Arial" w:cs="Arial"/>
          <w:color w:val="000000"/>
          <w:sz w:val="22"/>
          <w:szCs w:val="22"/>
        </w:rPr>
      </w:pPr>
      <w:r w:rsidRPr="00601B12">
        <w:rPr>
          <w:rFonts w:ascii="Arial" w:hAnsi="Arial" w:cs="Arial"/>
          <w:b/>
          <w:bCs/>
          <w:color w:val="000000"/>
          <w:sz w:val="22"/>
          <w:szCs w:val="22"/>
        </w:rPr>
        <w:tab/>
      </w:r>
      <w:r w:rsidR="0091026A" w:rsidRPr="00601B12">
        <w:rPr>
          <w:rFonts w:ascii="Arial" w:hAnsi="Arial" w:cs="Arial"/>
          <w:b/>
          <w:bCs/>
          <w:color w:val="000000"/>
          <w:sz w:val="22"/>
          <w:szCs w:val="22"/>
        </w:rPr>
        <w:t xml:space="preserve">Officers: </w:t>
      </w:r>
      <w:r w:rsidR="0079211C" w:rsidRPr="00601B12">
        <w:rPr>
          <w:rFonts w:ascii="Arial" w:hAnsi="Arial" w:cs="Arial"/>
          <w:color w:val="000000"/>
          <w:sz w:val="22"/>
          <w:szCs w:val="22"/>
        </w:rPr>
        <w:tab/>
      </w:r>
      <w:r w:rsidR="0091026A" w:rsidRPr="00601B12">
        <w:rPr>
          <w:rFonts w:ascii="Arial" w:hAnsi="Arial" w:cs="Arial"/>
          <w:color w:val="000000"/>
          <w:sz w:val="22"/>
          <w:szCs w:val="22"/>
        </w:rPr>
        <w:t>The Following officers are responsible for the management of the Fund:</w:t>
      </w:r>
    </w:p>
    <w:p w14:paraId="6D162318" w14:textId="77777777" w:rsidR="0091026A" w:rsidRPr="00601B12" w:rsidRDefault="0091026A"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 xml:space="preserve"> </w:t>
      </w:r>
    </w:p>
    <w:p w14:paraId="6D162319" w14:textId="5940A291" w:rsidR="0091026A" w:rsidRPr="00485C27" w:rsidRDefault="0079211C"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866F47" w:rsidRPr="0076066D">
        <w:rPr>
          <w:rFonts w:ascii="Arial" w:hAnsi="Arial" w:cs="Arial"/>
          <w:color w:val="000000"/>
          <w:sz w:val="22"/>
          <w:szCs w:val="22"/>
        </w:rPr>
        <w:t>Philip Gregory</w:t>
      </w:r>
      <w:r w:rsidR="005974AC" w:rsidRPr="00485C27">
        <w:rPr>
          <w:rFonts w:ascii="Arial" w:hAnsi="Arial" w:cs="Arial"/>
          <w:color w:val="000000"/>
          <w:sz w:val="22"/>
          <w:szCs w:val="22"/>
        </w:rPr>
        <w:tab/>
      </w:r>
      <w:r w:rsidR="005974AC" w:rsidRPr="00485C27">
        <w:rPr>
          <w:rFonts w:ascii="Arial" w:hAnsi="Arial" w:cs="Arial"/>
          <w:color w:val="000000"/>
          <w:sz w:val="22"/>
          <w:szCs w:val="22"/>
        </w:rPr>
        <w:tab/>
      </w:r>
      <w:r w:rsidR="0060272C" w:rsidRPr="0076066D">
        <w:rPr>
          <w:rFonts w:ascii="Arial" w:hAnsi="Arial" w:cs="Arial"/>
          <w:color w:val="000000"/>
          <w:sz w:val="22"/>
          <w:szCs w:val="22"/>
        </w:rPr>
        <w:t>Finance Director</w:t>
      </w:r>
      <w:r w:rsidR="00CF4A1C" w:rsidRPr="006F5F68">
        <w:rPr>
          <w:rFonts w:ascii="Arial" w:hAnsi="Arial" w:cs="Arial"/>
          <w:color w:val="000000"/>
          <w:sz w:val="22"/>
          <w:szCs w:val="22"/>
        </w:rPr>
        <w:t xml:space="preserve"> </w:t>
      </w:r>
      <w:r w:rsidR="00006D81" w:rsidRPr="00B36602">
        <w:rPr>
          <w:rFonts w:ascii="Arial" w:hAnsi="Arial" w:cs="Arial"/>
          <w:color w:val="000000"/>
          <w:sz w:val="22"/>
          <w:szCs w:val="22"/>
        </w:rPr>
        <w:t>(section 151 officer)</w:t>
      </w:r>
    </w:p>
    <w:p w14:paraId="6D16231A" w14:textId="444075C3" w:rsidR="005974AC" w:rsidRPr="00601B12" w:rsidRDefault="0079211C" w:rsidP="00EF47C8">
      <w:pPr>
        <w:autoSpaceDE w:val="0"/>
        <w:autoSpaceDN w:val="0"/>
        <w:adjustRightInd w:val="0"/>
        <w:ind w:left="426" w:hanging="426"/>
        <w:jc w:val="both"/>
        <w:rPr>
          <w:rFonts w:ascii="Arial" w:hAnsi="Arial" w:cs="Arial"/>
          <w:color w:val="000000"/>
          <w:sz w:val="22"/>
          <w:szCs w:val="22"/>
        </w:rPr>
      </w:pPr>
      <w:r w:rsidRPr="00485C27">
        <w:rPr>
          <w:rFonts w:ascii="Arial" w:hAnsi="Arial" w:cs="Arial"/>
          <w:color w:val="000000"/>
          <w:sz w:val="22"/>
          <w:szCs w:val="22"/>
        </w:rPr>
        <w:tab/>
      </w:r>
      <w:r w:rsidR="005974AC" w:rsidRPr="00485C27">
        <w:rPr>
          <w:rFonts w:ascii="Arial" w:hAnsi="Arial" w:cs="Arial"/>
          <w:color w:val="000000"/>
          <w:sz w:val="22"/>
          <w:szCs w:val="22"/>
        </w:rPr>
        <w:t xml:space="preserve">Tel: </w:t>
      </w:r>
      <w:r w:rsidR="00CF4A1C" w:rsidRPr="00485C27">
        <w:rPr>
          <w:rFonts w:ascii="Arial" w:hAnsi="Arial" w:cs="Arial"/>
          <w:color w:val="000000"/>
          <w:sz w:val="22"/>
          <w:szCs w:val="22"/>
        </w:rPr>
        <w:t xml:space="preserve">020 8227 </w:t>
      </w:r>
      <w:r w:rsidR="00716E25" w:rsidRPr="0076066D">
        <w:rPr>
          <w:rFonts w:ascii="Arial" w:hAnsi="Arial" w:cs="Arial"/>
          <w:color w:val="000000"/>
          <w:sz w:val="22"/>
          <w:szCs w:val="22"/>
        </w:rPr>
        <w:t>5048</w:t>
      </w:r>
      <w:r w:rsidR="005974AC" w:rsidRPr="00485C27">
        <w:rPr>
          <w:rFonts w:ascii="Arial" w:hAnsi="Arial" w:cs="Arial"/>
          <w:color w:val="000000"/>
          <w:sz w:val="22"/>
          <w:szCs w:val="22"/>
        </w:rPr>
        <w:tab/>
        <w:t xml:space="preserve">Email: </w:t>
      </w:r>
      <w:hyperlink r:id="rId20" w:history="1">
        <w:r w:rsidR="00485C27" w:rsidRPr="0076066D">
          <w:rPr>
            <w:rStyle w:val="Hyperlink"/>
            <w:rFonts w:ascii="Arial" w:hAnsi="Arial" w:cs="Arial"/>
            <w:sz w:val="22"/>
            <w:szCs w:val="22"/>
          </w:rPr>
          <w:t>philip.gregory</w:t>
        </w:r>
        <w:r w:rsidR="00485C27" w:rsidRPr="00485C27">
          <w:rPr>
            <w:rStyle w:val="Hyperlink"/>
            <w:rFonts w:ascii="Arial" w:hAnsi="Arial" w:cs="Arial"/>
            <w:sz w:val="22"/>
            <w:szCs w:val="22"/>
          </w:rPr>
          <w:t>@lbbd.gov.uk</w:t>
        </w:r>
      </w:hyperlink>
    </w:p>
    <w:p w14:paraId="6D16231B" w14:textId="77777777" w:rsidR="00635817" w:rsidRPr="00601B12" w:rsidRDefault="00635817" w:rsidP="00AE241C">
      <w:pPr>
        <w:autoSpaceDE w:val="0"/>
        <w:autoSpaceDN w:val="0"/>
        <w:adjustRightInd w:val="0"/>
        <w:jc w:val="both"/>
        <w:rPr>
          <w:rFonts w:ascii="Arial" w:hAnsi="Arial" w:cs="Arial"/>
          <w:color w:val="000000"/>
          <w:sz w:val="22"/>
          <w:szCs w:val="22"/>
        </w:rPr>
      </w:pPr>
    </w:p>
    <w:p w14:paraId="6D16231C" w14:textId="77777777" w:rsidR="0091026A" w:rsidRPr="00601B12" w:rsidRDefault="0079211C"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91026A" w:rsidRPr="00601B12">
        <w:rPr>
          <w:rFonts w:ascii="Arial" w:hAnsi="Arial" w:cs="Arial"/>
          <w:color w:val="000000"/>
          <w:sz w:val="22"/>
          <w:szCs w:val="22"/>
        </w:rPr>
        <w:t xml:space="preserve">David Dickinson </w:t>
      </w:r>
      <w:r w:rsidR="005974AC" w:rsidRPr="00601B12">
        <w:rPr>
          <w:rFonts w:ascii="Arial" w:hAnsi="Arial" w:cs="Arial"/>
          <w:color w:val="000000"/>
          <w:sz w:val="22"/>
          <w:szCs w:val="22"/>
        </w:rPr>
        <w:tab/>
      </w:r>
      <w:r w:rsidR="00767E84" w:rsidRPr="00601B12">
        <w:rPr>
          <w:rFonts w:ascii="Arial" w:hAnsi="Arial" w:cs="Arial"/>
          <w:color w:val="000000"/>
          <w:sz w:val="22"/>
          <w:szCs w:val="22"/>
        </w:rPr>
        <w:tab/>
      </w:r>
      <w:r w:rsidR="00AE241C" w:rsidRPr="00601B12">
        <w:rPr>
          <w:rFonts w:ascii="Arial" w:hAnsi="Arial" w:cs="Arial"/>
          <w:color w:val="000000"/>
          <w:sz w:val="22"/>
          <w:szCs w:val="22"/>
        </w:rPr>
        <w:t>Investment Fund Manager</w:t>
      </w:r>
    </w:p>
    <w:p w14:paraId="24AF7F8B" w14:textId="1412628C" w:rsidR="00A50E85" w:rsidRPr="00601B12" w:rsidRDefault="0079211C" w:rsidP="00A50E85">
      <w:pPr>
        <w:autoSpaceDE w:val="0"/>
        <w:autoSpaceDN w:val="0"/>
        <w:adjustRightInd w:val="0"/>
        <w:ind w:left="426" w:hanging="426"/>
        <w:jc w:val="both"/>
        <w:rPr>
          <w:rFonts w:ascii="Arial" w:hAnsi="Arial" w:cs="Arial"/>
          <w:color w:val="0000FF"/>
          <w:sz w:val="22"/>
          <w:szCs w:val="22"/>
          <w:u w:val="single"/>
        </w:rPr>
      </w:pPr>
      <w:r w:rsidRPr="00601B12">
        <w:rPr>
          <w:rFonts w:ascii="Arial" w:hAnsi="Arial" w:cs="Arial"/>
          <w:color w:val="000000"/>
          <w:sz w:val="22"/>
          <w:szCs w:val="22"/>
        </w:rPr>
        <w:tab/>
      </w:r>
      <w:r w:rsidR="005974AC" w:rsidRPr="00601B12">
        <w:rPr>
          <w:rFonts w:ascii="Arial" w:hAnsi="Arial" w:cs="Arial"/>
          <w:color w:val="000000"/>
          <w:sz w:val="22"/>
          <w:szCs w:val="22"/>
        </w:rPr>
        <w:t xml:space="preserve">Tel: 020 8227 2722 </w:t>
      </w:r>
      <w:r w:rsidR="005974AC" w:rsidRPr="00601B12">
        <w:rPr>
          <w:rFonts w:ascii="Arial" w:hAnsi="Arial" w:cs="Arial"/>
          <w:color w:val="000000"/>
          <w:sz w:val="22"/>
          <w:szCs w:val="22"/>
        </w:rPr>
        <w:tab/>
        <w:t xml:space="preserve">Email: </w:t>
      </w:r>
      <w:hyperlink r:id="rId21" w:history="1">
        <w:r w:rsidR="002877FE" w:rsidRPr="00601B12">
          <w:rPr>
            <w:rStyle w:val="Hyperlink"/>
            <w:rFonts w:ascii="Arial" w:hAnsi="Arial" w:cs="Arial"/>
            <w:sz w:val="22"/>
            <w:szCs w:val="22"/>
          </w:rPr>
          <w:t>david.dickinson@lbbd.gov.uk</w:t>
        </w:r>
      </w:hyperlink>
    </w:p>
    <w:p w14:paraId="6D16231E" w14:textId="77777777" w:rsidR="004D7EFA" w:rsidRPr="00601B12" w:rsidRDefault="004D7EFA" w:rsidP="00A50E85">
      <w:pPr>
        <w:autoSpaceDE w:val="0"/>
        <w:autoSpaceDN w:val="0"/>
        <w:adjustRightInd w:val="0"/>
        <w:jc w:val="both"/>
        <w:rPr>
          <w:rFonts w:ascii="Arial" w:hAnsi="Arial" w:cs="Arial"/>
          <w:color w:val="000000"/>
          <w:sz w:val="22"/>
          <w:szCs w:val="22"/>
        </w:rPr>
      </w:pPr>
    </w:p>
    <w:p w14:paraId="6D16231F" w14:textId="77777777" w:rsidR="004D7EFA" w:rsidRPr="00601B12" w:rsidRDefault="0079211C"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4D7EFA" w:rsidRPr="00601B12">
        <w:rPr>
          <w:rFonts w:ascii="Arial" w:hAnsi="Arial" w:cs="Arial"/>
          <w:color w:val="000000"/>
          <w:sz w:val="22"/>
          <w:szCs w:val="22"/>
        </w:rPr>
        <w:t xml:space="preserve">Justine Spring </w:t>
      </w:r>
      <w:r w:rsidR="005974AC" w:rsidRPr="00601B12">
        <w:rPr>
          <w:rFonts w:ascii="Arial" w:hAnsi="Arial" w:cs="Arial"/>
          <w:color w:val="000000"/>
          <w:sz w:val="22"/>
          <w:szCs w:val="22"/>
        </w:rPr>
        <w:tab/>
      </w:r>
      <w:r w:rsidR="00767E84" w:rsidRPr="00601B12">
        <w:rPr>
          <w:rFonts w:ascii="Arial" w:hAnsi="Arial" w:cs="Arial"/>
          <w:color w:val="000000"/>
          <w:sz w:val="22"/>
          <w:szCs w:val="22"/>
        </w:rPr>
        <w:tab/>
      </w:r>
      <w:r w:rsidR="004D7EFA" w:rsidRPr="00601B12">
        <w:rPr>
          <w:rFonts w:ascii="Arial" w:hAnsi="Arial" w:cs="Arial"/>
          <w:color w:val="000000"/>
          <w:sz w:val="22"/>
          <w:szCs w:val="22"/>
        </w:rPr>
        <w:t>Pensions Manager</w:t>
      </w:r>
      <w:r w:rsidR="00AB26ED" w:rsidRPr="00601B12">
        <w:rPr>
          <w:rFonts w:ascii="Arial" w:hAnsi="Arial" w:cs="Arial"/>
          <w:color w:val="000000"/>
          <w:sz w:val="22"/>
          <w:szCs w:val="22"/>
        </w:rPr>
        <w:t xml:space="preserve"> (dealing with Teachers' Pensions)</w:t>
      </w:r>
    </w:p>
    <w:p w14:paraId="6D162320" w14:textId="205B4364" w:rsidR="004D7EFA" w:rsidRPr="00601B12" w:rsidRDefault="004D7EFA" w:rsidP="002877FE">
      <w:pPr>
        <w:autoSpaceDE w:val="0"/>
        <w:autoSpaceDN w:val="0"/>
        <w:adjustRightInd w:val="0"/>
        <w:ind w:firstLine="426"/>
        <w:jc w:val="both"/>
        <w:rPr>
          <w:rStyle w:val="Hyperlink"/>
          <w:rFonts w:ascii="Arial" w:hAnsi="Arial" w:cs="Arial"/>
          <w:sz w:val="22"/>
          <w:szCs w:val="22"/>
        </w:rPr>
      </w:pPr>
      <w:r w:rsidRPr="00E35F96">
        <w:rPr>
          <w:rFonts w:ascii="Arial" w:hAnsi="Arial" w:cs="Arial"/>
          <w:color w:val="000000"/>
          <w:sz w:val="22"/>
          <w:szCs w:val="22"/>
        </w:rPr>
        <w:t xml:space="preserve">Tel: 020 8227 2607 </w:t>
      </w:r>
      <w:r w:rsidR="005974AC" w:rsidRPr="00601B12">
        <w:rPr>
          <w:rFonts w:ascii="Arial" w:hAnsi="Arial" w:cs="Arial"/>
          <w:color w:val="000000"/>
          <w:sz w:val="22"/>
          <w:szCs w:val="22"/>
        </w:rPr>
        <w:tab/>
      </w:r>
      <w:r w:rsidRPr="00601B12">
        <w:rPr>
          <w:rFonts w:ascii="Arial" w:hAnsi="Arial" w:cs="Arial"/>
          <w:color w:val="000000"/>
          <w:sz w:val="22"/>
          <w:szCs w:val="22"/>
        </w:rPr>
        <w:t xml:space="preserve">Email: </w:t>
      </w:r>
      <w:hyperlink r:id="rId22" w:history="1">
        <w:r w:rsidR="002877FE" w:rsidRPr="00601B12">
          <w:rPr>
            <w:rStyle w:val="Hyperlink"/>
            <w:rFonts w:ascii="Arial" w:hAnsi="Arial" w:cs="Arial"/>
            <w:sz w:val="22"/>
            <w:szCs w:val="22"/>
          </w:rPr>
          <w:t>justine.spring@lbbd.gov.uk</w:t>
        </w:r>
      </w:hyperlink>
    </w:p>
    <w:p w14:paraId="68352573" w14:textId="59EA899D" w:rsidR="00A50E85" w:rsidRPr="00601B12" w:rsidRDefault="00A50E85" w:rsidP="002877FE">
      <w:pPr>
        <w:autoSpaceDE w:val="0"/>
        <w:autoSpaceDN w:val="0"/>
        <w:adjustRightInd w:val="0"/>
        <w:ind w:firstLine="426"/>
        <w:jc w:val="both"/>
        <w:rPr>
          <w:rStyle w:val="Hyperlink"/>
          <w:rFonts w:ascii="Arial" w:hAnsi="Arial" w:cs="Arial"/>
          <w:sz w:val="22"/>
          <w:szCs w:val="22"/>
        </w:rPr>
      </w:pPr>
    </w:p>
    <w:p w14:paraId="3CB540C5" w14:textId="4A4B5DFF" w:rsidR="00A50E85" w:rsidRPr="00E35F96" w:rsidRDefault="00A50E85" w:rsidP="00A50E85">
      <w:pPr>
        <w:autoSpaceDE w:val="0"/>
        <w:autoSpaceDN w:val="0"/>
        <w:adjustRightInd w:val="0"/>
        <w:ind w:left="426" w:hanging="426"/>
        <w:jc w:val="both"/>
        <w:rPr>
          <w:rFonts w:ascii="Arial" w:hAnsi="Arial" w:cs="Arial"/>
          <w:color w:val="000000"/>
        </w:rPr>
      </w:pPr>
      <w:r w:rsidRPr="00E35F96">
        <w:rPr>
          <w:rFonts w:ascii="Arial" w:hAnsi="Arial" w:cs="Arial"/>
          <w:color w:val="000000"/>
        </w:rPr>
        <w:t xml:space="preserve">     </w:t>
      </w:r>
      <w:r w:rsidR="00D12A85">
        <w:rPr>
          <w:rFonts w:ascii="Arial" w:hAnsi="Arial" w:cs="Arial"/>
          <w:color w:val="000000"/>
        </w:rPr>
        <w:t xml:space="preserve"> </w:t>
      </w:r>
      <w:r w:rsidRPr="00E35F96">
        <w:rPr>
          <w:rFonts w:ascii="Arial" w:hAnsi="Arial" w:cs="Arial"/>
          <w:color w:val="000000"/>
        </w:rPr>
        <w:t xml:space="preserve">Jesmine Anwar            </w:t>
      </w:r>
      <w:r w:rsidR="00D12A85">
        <w:rPr>
          <w:rFonts w:ascii="Arial" w:hAnsi="Arial" w:cs="Arial"/>
          <w:color w:val="000000"/>
        </w:rPr>
        <w:t xml:space="preserve"> </w:t>
      </w:r>
      <w:r w:rsidRPr="00E35F96">
        <w:rPr>
          <w:rFonts w:ascii="Arial" w:hAnsi="Arial" w:cs="Arial"/>
          <w:color w:val="000000"/>
        </w:rPr>
        <w:t xml:space="preserve">Pension Fund Accountant </w:t>
      </w:r>
    </w:p>
    <w:p w14:paraId="62DEC4F6" w14:textId="6D7F07E0" w:rsidR="00A50E85" w:rsidRPr="00E35F96" w:rsidRDefault="00A50E85" w:rsidP="00A50E85">
      <w:pPr>
        <w:autoSpaceDE w:val="0"/>
        <w:autoSpaceDN w:val="0"/>
        <w:adjustRightInd w:val="0"/>
        <w:ind w:left="426" w:hanging="426"/>
        <w:jc w:val="both"/>
        <w:rPr>
          <w:rFonts w:ascii="Arial" w:hAnsi="Arial" w:cs="Arial"/>
          <w:color w:val="000000"/>
        </w:rPr>
      </w:pPr>
      <w:r w:rsidRPr="00E35F96">
        <w:rPr>
          <w:rFonts w:ascii="Arial" w:hAnsi="Arial" w:cs="Arial"/>
          <w:color w:val="000000"/>
        </w:rPr>
        <w:t xml:space="preserve">      Tel: 020 8227 3763      Email: </w:t>
      </w:r>
      <w:hyperlink r:id="rId23" w:history="1">
        <w:r w:rsidRPr="00E35F96">
          <w:rPr>
            <w:rStyle w:val="Hyperlink"/>
            <w:rFonts w:ascii="Arial" w:hAnsi="Arial" w:cs="Arial"/>
          </w:rPr>
          <w:t>jesmine.anwar@lbbd.gov.uk</w:t>
        </w:r>
      </w:hyperlink>
    </w:p>
    <w:p w14:paraId="3ECF643A" w14:textId="77777777" w:rsidR="00A50E85" w:rsidRPr="00E35F96" w:rsidRDefault="00A50E85" w:rsidP="00A50E85">
      <w:pPr>
        <w:autoSpaceDE w:val="0"/>
        <w:autoSpaceDN w:val="0"/>
        <w:adjustRightInd w:val="0"/>
        <w:ind w:left="426" w:hanging="426"/>
        <w:jc w:val="both"/>
        <w:rPr>
          <w:rFonts w:ascii="Arial" w:hAnsi="Arial" w:cs="Arial"/>
          <w:color w:val="000000"/>
        </w:rPr>
      </w:pPr>
    </w:p>
    <w:p w14:paraId="6D162322" w14:textId="3018DEE9" w:rsidR="00AB26ED" w:rsidRPr="00601B12" w:rsidRDefault="00A50E85" w:rsidP="00A50E85">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       </w:t>
      </w:r>
      <w:r w:rsidR="00AB26ED" w:rsidRPr="00601B12">
        <w:rPr>
          <w:rFonts w:ascii="Arial" w:hAnsi="Arial" w:cs="Arial"/>
          <w:color w:val="000000"/>
          <w:sz w:val="22"/>
          <w:szCs w:val="22"/>
        </w:rPr>
        <w:t xml:space="preserve">Madhvi Dodia </w:t>
      </w:r>
      <w:r w:rsidR="00AB26ED" w:rsidRPr="00601B12">
        <w:rPr>
          <w:rFonts w:ascii="Arial" w:hAnsi="Arial" w:cs="Arial"/>
          <w:color w:val="000000"/>
          <w:sz w:val="22"/>
          <w:szCs w:val="22"/>
        </w:rPr>
        <w:tab/>
      </w:r>
      <w:r w:rsidRPr="00601B12">
        <w:rPr>
          <w:rFonts w:ascii="Arial" w:hAnsi="Arial" w:cs="Arial"/>
          <w:color w:val="000000"/>
          <w:sz w:val="22"/>
          <w:szCs w:val="22"/>
        </w:rPr>
        <w:t xml:space="preserve">            </w:t>
      </w:r>
      <w:r w:rsidR="00AB26ED" w:rsidRPr="00601B12">
        <w:rPr>
          <w:rFonts w:ascii="Arial" w:hAnsi="Arial" w:cs="Arial"/>
          <w:color w:val="000000"/>
          <w:sz w:val="22"/>
          <w:szCs w:val="22"/>
        </w:rPr>
        <w:t xml:space="preserve">Senior Pensions Officer </w:t>
      </w:r>
    </w:p>
    <w:p w14:paraId="6D162323" w14:textId="7C565456" w:rsidR="00AB26ED" w:rsidRPr="00601B12" w:rsidRDefault="00A50E85" w:rsidP="00A50E85">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       </w:t>
      </w:r>
      <w:r w:rsidR="00AB26ED" w:rsidRPr="00601B12">
        <w:rPr>
          <w:rFonts w:ascii="Arial" w:hAnsi="Arial" w:cs="Arial"/>
          <w:color w:val="000000"/>
          <w:sz w:val="22"/>
          <w:szCs w:val="22"/>
        </w:rPr>
        <w:t xml:space="preserve">Tel: 020 8227 2039 </w:t>
      </w:r>
      <w:r w:rsidR="00AB26ED" w:rsidRPr="00601B12">
        <w:rPr>
          <w:rFonts w:ascii="Arial" w:hAnsi="Arial" w:cs="Arial"/>
          <w:color w:val="000000"/>
          <w:sz w:val="22"/>
          <w:szCs w:val="22"/>
        </w:rPr>
        <w:tab/>
        <w:t xml:space="preserve">Email: </w:t>
      </w:r>
      <w:hyperlink r:id="rId24" w:history="1">
        <w:r w:rsidR="00AB26ED" w:rsidRPr="00601B12">
          <w:rPr>
            <w:rStyle w:val="Hyperlink"/>
            <w:rFonts w:ascii="Arial" w:hAnsi="Arial" w:cs="Arial"/>
            <w:sz w:val="22"/>
            <w:szCs w:val="22"/>
          </w:rPr>
          <w:t>madhvi.dodia@lbbd.gov.uk</w:t>
        </w:r>
      </w:hyperlink>
    </w:p>
    <w:p w14:paraId="6D162324" w14:textId="77777777" w:rsidR="004D7EFA" w:rsidRPr="00601B12" w:rsidRDefault="004D7EFA" w:rsidP="00AB26ED">
      <w:pPr>
        <w:autoSpaceDE w:val="0"/>
        <w:autoSpaceDN w:val="0"/>
        <w:adjustRightInd w:val="0"/>
        <w:jc w:val="both"/>
        <w:rPr>
          <w:rFonts w:ascii="Arial" w:hAnsi="Arial" w:cs="Arial"/>
          <w:color w:val="000000"/>
          <w:sz w:val="22"/>
          <w:szCs w:val="22"/>
        </w:rPr>
      </w:pPr>
    </w:p>
    <w:p w14:paraId="6D162325" w14:textId="04D9CBBD" w:rsidR="004D7EFA" w:rsidRPr="00601B12" w:rsidRDefault="0079211C"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98515D">
        <w:rPr>
          <w:rFonts w:ascii="Arial" w:hAnsi="Arial" w:cs="Arial"/>
          <w:color w:val="000000"/>
          <w:sz w:val="22"/>
          <w:szCs w:val="22"/>
        </w:rPr>
        <w:t>Jake Campbell</w:t>
      </w:r>
      <w:r w:rsidR="005974AC" w:rsidRPr="00601B12">
        <w:rPr>
          <w:rFonts w:ascii="Arial" w:hAnsi="Arial" w:cs="Arial"/>
          <w:color w:val="000000"/>
          <w:sz w:val="22"/>
          <w:szCs w:val="22"/>
        </w:rPr>
        <w:tab/>
      </w:r>
      <w:r w:rsidR="005974AC" w:rsidRPr="00601B12">
        <w:rPr>
          <w:rFonts w:ascii="Arial" w:hAnsi="Arial" w:cs="Arial"/>
          <w:color w:val="000000"/>
          <w:sz w:val="22"/>
          <w:szCs w:val="22"/>
        </w:rPr>
        <w:tab/>
      </w:r>
      <w:r w:rsidR="004D7EFA" w:rsidRPr="00601B12">
        <w:rPr>
          <w:rFonts w:ascii="Arial" w:hAnsi="Arial" w:cs="Arial"/>
          <w:color w:val="000000"/>
          <w:sz w:val="22"/>
          <w:szCs w:val="22"/>
        </w:rPr>
        <w:t xml:space="preserve">Pensions Officer (Dealing with surnames beginning A - </w:t>
      </w:r>
      <w:r w:rsidR="00AB26ED" w:rsidRPr="00601B12">
        <w:rPr>
          <w:rFonts w:ascii="Arial" w:hAnsi="Arial" w:cs="Arial"/>
          <w:color w:val="000000"/>
          <w:sz w:val="22"/>
          <w:szCs w:val="22"/>
        </w:rPr>
        <w:t>F</w:t>
      </w:r>
      <w:r w:rsidR="004D7EFA" w:rsidRPr="00601B12">
        <w:rPr>
          <w:rFonts w:ascii="Arial" w:hAnsi="Arial" w:cs="Arial"/>
          <w:color w:val="000000"/>
          <w:sz w:val="22"/>
          <w:szCs w:val="22"/>
        </w:rPr>
        <w:t>)</w:t>
      </w:r>
    </w:p>
    <w:p w14:paraId="6D162326" w14:textId="0B4D30BF" w:rsidR="004D7EFA" w:rsidRPr="00601B12" w:rsidRDefault="0079211C" w:rsidP="00EF47C8">
      <w:pPr>
        <w:autoSpaceDE w:val="0"/>
        <w:autoSpaceDN w:val="0"/>
        <w:adjustRightInd w:val="0"/>
        <w:ind w:left="426" w:hanging="426"/>
        <w:jc w:val="both"/>
        <w:rPr>
          <w:rStyle w:val="Hyperlink"/>
          <w:rFonts w:ascii="Arial" w:hAnsi="Arial" w:cs="Arial"/>
          <w:sz w:val="22"/>
          <w:szCs w:val="22"/>
        </w:rPr>
      </w:pPr>
      <w:r w:rsidRPr="00E35F96">
        <w:rPr>
          <w:rFonts w:ascii="Arial" w:hAnsi="Arial" w:cs="Arial"/>
          <w:color w:val="000000"/>
          <w:sz w:val="22"/>
          <w:szCs w:val="22"/>
        </w:rPr>
        <w:tab/>
      </w:r>
      <w:r w:rsidR="00AB6242" w:rsidRPr="00601B12">
        <w:rPr>
          <w:rFonts w:ascii="Arial" w:hAnsi="Arial" w:cs="Arial"/>
          <w:color w:val="000000"/>
          <w:sz w:val="22"/>
          <w:szCs w:val="22"/>
        </w:rPr>
        <w:t>Tel: 020 8</w:t>
      </w:r>
      <w:r w:rsidR="00D8678C">
        <w:rPr>
          <w:rFonts w:ascii="Arial" w:hAnsi="Arial" w:cs="Arial"/>
          <w:color w:val="000000"/>
          <w:sz w:val="22"/>
          <w:szCs w:val="22"/>
        </w:rPr>
        <w:t>057</w:t>
      </w:r>
      <w:r w:rsidR="00AB6242" w:rsidRPr="00601B12">
        <w:rPr>
          <w:rFonts w:ascii="Arial" w:hAnsi="Arial" w:cs="Arial"/>
          <w:color w:val="000000"/>
          <w:sz w:val="22"/>
          <w:szCs w:val="22"/>
        </w:rPr>
        <w:t xml:space="preserve"> </w:t>
      </w:r>
      <w:r w:rsidR="00AA5228">
        <w:rPr>
          <w:rFonts w:ascii="Arial" w:hAnsi="Arial" w:cs="Arial"/>
          <w:color w:val="000000"/>
          <w:sz w:val="22"/>
          <w:szCs w:val="22"/>
        </w:rPr>
        <w:t>4280</w:t>
      </w:r>
      <w:r w:rsidR="004D7EFA" w:rsidRPr="00601B12">
        <w:rPr>
          <w:rFonts w:ascii="Arial" w:hAnsi="Arial" w:cs="Arial"/>
          <w:color w:val="000000"/>
          <w:sz w:val="22"/>
          <w:szCs w:val="22"/>
        </w:rPr>
        <w:t xml:space="preserve"> </w:t>
      </w:r>
      <w:r w:rsidR="005974AC" w:rsidRPr="00601B12">
        <w:rPr>
          <w:rFonts w:ascii="Arial" w:hAnsi="Arial" w:cs="Arial"/>
          <w:color w:val="000000"/>
          <w:sz w:val="22"/>
          <w:szCs w:val="22"/>
        </w:rPr>
        <w:tab/>
      </w:r>
      <w:r w:rsidR="004D7EFA" w:rsidRPr="00601B12">
        <w:rPr>
          <w:rFonts w:ascii="Arial" w:hAnsi="Arial" w:cs="Arial"/>
          <w:color w:val="000000"/>
          <w:sz w:val="22"/>
          <w:szCs w:val="22"/>
        </w:rPr>
        <w:t xml:space="preserve">Email: </w:t>
      </w:r>
      <w:hyperlink r:id="rId25" w:history="1">
        <w:r w:rsidR="00D8678C" w:rsidRPr="00F12453">
          <w:rPr>
            <w:rStyle w:val="Hyperlink"/>
            <w:rFonts w:ascii="Arial" w:hAnsi="Arial" w:cs="Arial"/>
            <w:sz w:val="22"/>
            <w:szCs w:val="22"/>
          </w:rPr>
          <w:t>jake.campbell@lbbd.gov.uk</w:t>
        </w:r>
      </w:hyperlink>
    </w:p>
    <w:p w14:paraId="6D162327" w14:textId="77777777" w:rsidR="00AB26ED" w:rsidRPr="00601B12" w:rsidRDefault="00AB26ED" w:rsidP="00EF47C8">
      <w:pPr>
        <w:autoSpaceDE w:val="0"/>
        <w:autoSpaceDN w:val="0"/>
        <w:adjustRightInd w:val="0"/>
        <w:ind w:left="426" w:hanging="426"/>
        <w:jc w:val="both"/>
        <w:rPr>
          <w:rFonts w:ascii="Arial" w:hAnsi="Arial" w:cs="Arial"/>
          <w:color w:val="000000"/>
          <w:sz w:val="22"/>
          <w:szCs w:val="22"/>
        </w:rPr>
      </w:pPr>
    </w:p>
    <w:p w14:paraId="6D162328" w14:textId="77777777" w:rsidR="00AB26ED" w:rsidRPr="00601B12" w:rsidRDefault="00AB26ED" w:rsidP="00AB26ED">
      <w:pPr>
        <w:autoSpaceDE w:val="0"/>
        <w:autoSpaceDN w:val="0"/>
        <w:adjustRightInd w:val="0"/>
        <w:ind w:left="426"/>
        <w:jc w:val="both"/>
        <w:rPr>
          <w:rFonts w:ascii="Arial" w:hAnsi="Arial" w:cs="Arial"/>
          <w:color w:val="000000"/>
          <w:sz w:val="22"/>
          <w:szCs w:val="22"/>
        </w:rPr>
      </w:pPr>
      <w:r w:rsidRPr="00601B12">
        <w:rPr>
          <w:rFonts w:ascii="Arial" w:hAnsi="Arial" w:cs="Arial"/>
          <w:color w:val="000000"/>
          <w:sz w:val="22"/>
          <w:szCs w:val="22"/>
        </w:rPr>
        <w:t>Shelagh Clark</w:t>
      </w:r>
      <w:r w:rsidRPr="00601B12">
        <w:rPr>
          <w:rFonts w:ascii="Arial" w:hAnsi="Arial" w:cs="Arial"/>
          <w:color w:val="000000"/>
          <w:sz w:val="22"/>
          <w:szCs w:val="22"/>
        </w:rPr>
        <w:tab/>
      </w:r>
      <w:r w:rsidRPr="00601B12">
        <w:rPr>
          <w:rFonts w:ascii="Arial" w:hAnsi="Arial" w:cs="Arial"/>
          <w:color w:val="000000"/>
          <w:sz w:val="22"/>
          <w:szCs w:val="22"/>
        </w:rPr>
        <w:tab/>
        <w:t>Pensions Officer (Dealing with surnames beginning G - M)</w:t>
      </w:r>
    </w:p>
    <w:p w14:paraId="6D162329" w14:textId="77777777" w:rsidR="00AB26ED" w:rsidRPr="00601B12" w:rsidRDefault="00AB26ED" w:rsidP="00AB26ED">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t>Tel: 020 8227 3463</w:t>
      </w:r>
      <w:r w:rsidRPr="00601B12">
        <w:rPr>
          <w:rFonts w:ascii="Arial" w:hAnsi="Arial" w:cs="Arial"/>
          <w:color w:val="000000"/>
          <w:sz w:val="22"/>
          <w:szCs w:val="22"/>
        </w:rPr>
        <w:tab/>
        <w:t xml:space="preserve">Email: </w:t>
      </w:r>
      <w:hyperlink r:id="rId26" w:history="1">
        <w:r w:rsidR="00980602" w:rsidRPr="00601B12">
          <w:rPr>
            <w:rStyle w:val="Hyperlink"/>
            <w:rFonts w:ascii="Arial" w:hAnsi="Arial" w:cs="Arial"/>
            <w:sz w:val="22"/>
            <w:szCs w:val="22"/>
          </w:rPr>
          <w:t>shelagh.clark@lbbd.gov.uk</w:t>
        </w:r>
      </w:hyperlink>
    </w:p>
    <w:p w14:paraId="6D16232A" w14:textId="77777777" w:rsidR="004D7EFA" w:rsidRPr="00601B12" w:rsidRDefault="004D7EFA" w:rsidP="00EF47C8">
      <w:pPr>
        <w:autoSpaceDE w:val="0"/>
        <w:autoSpaceDN w:val="0"/>
        <w:adjustRightInd w:val="0"/>
        <w:ind w:left="426" w:hanging="426"/>
        <w:jc w:val="both"/>
        <w:rPr>
          <w:rFonts w:ascii="Arial" w:hAnsi="Arial" w:cs="Arial"/>
          <w:color w:val="000000"/>
          <w:sz w:val="22"/>
          <w:szCs w:val="22"/>
        </w:rPr>
      </w:pPr>
    </w:p>
    <w:p w14:paraId="6D16232B" w14:textId="77F280A5" w:rsidR="004D7EFA" w:rsidRPr="00C201E6" w:rsidRDefault="0079211C"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4D7EFA" w:rsidRPr="006F5F68">
        <w:rPr>
          <w:rFonts w:ascii="Arial" w:hAnsi="Arial" w:cs="Arial"/>
          <w:color w:val="000000"/>
          <w:sz w:val="22"/>
          <w:szCs w:val="22"/>
        </w:rPr>
        <w:t xml:space="preserve">Kinny </w:t>
      </w:r>
      <w:r w:rsidR="00CF0677" w:rsidRPr="0076066D">
        <w:rPr>
          <w:rFonts w:ascii="Arial" w:hAnsi="Arial" w:cs="Arial"/>
          <w:color w:val="000000"/>
          <w:sz w:val="22"/>
          <w:szCs w:val="22"/>
        </w:rPr>
        <w:t>Chauhan</w:t>
      </w:r>
      <w:r w:rsidR="004D7EFA" w:rsidRPr="00C201E6">
        <w:rPr>
          <w:rFonts w:ascii="Arial" w:hAnsi="Arial" w:cs="Arial"/>
          <w:color w:val="000000"/>
          <w:sz w:val="22"/>
          <w:szCs w:val="22"/>
        </w:rPr>
        <w:t xml:space="preserve"> </w:t>
      </w:r>
      <w:r w:rsidR="005974AC" w:rsidRPr="00C201E6">
        <w:rPr>
          <w:rFonts w:ascii="Arial" w:hAnsi="Arial" w:cs="Arial"/>
          <w:color w:val="000000"/>
          <w:sz w:val="22"/>
          <w:szCs w:val="22"/>
        </w:rPr>
        <w:tab/>
      </w:r>
      <w:r w:rsidR="005974AC" w:rsidRPr="00C201E6">
        <w:rPr>
          <w:rFonts w:ascii="Arial" w:hAnsi="Arial" w:cs="Arial"/>
          <w:color w:val="000000"/>
          <w:sz w:val="22"/>
          <w:szCs w:val="22"/>
        </w:rPr>
        <w:tab/>
      </w:r>
      <w:r w:rsidR="004D7EFA" w:rsidRPr="00C201E6">
        <w:rPr>
          <w:rFonts w:ascii="Arial" w:hAnsi="Arial" w:cs="Arial"/>
          <w:color w:val="000000"/>
          <w:sz w:val="22"/>
          <w:szCs w:val="22"/>
        </w:rPr>
        <w:t xml:space="preserve">Pensions Officer (Dealing with surnames beginning </w:t>
      </w:r>
      <w:r w:rsidR="00AB26ED" w:rsidRPr="00C201E6">
        <w:rPr>
          <w:rFonts w:ascii="Arial" w:hAnsi="Arial" w:cs="Arial"/>
          <w:color w:val="000000"/>
          <w:sz w:val="22"/>
          <w:szCs w:val="22"/>
        </w:rPr>
        <w:t>N</w:t>
      </w:r>
      <w:r w:rsidR="004D7EFA" w:rsidRPr="00C201E6">
        <w:rPr>
          <w:rFonts w:ascii="Arial" w:hAnsi="Arial" w:cs="Arial"/>
          <w:color w:val="000000"/>
          <w:sz w:val="22"/>
          <w:szCs w:val="22"/>
        </w:rPr>
        <w:t xml:space="preserve"> - </w:t>
      </w:r>
      <w:r w:rsidR="00AB26ED" w:rsidRPr="00C201E6">
        <w:rPr>
          <w:rFonts w:ascii="Arial" w:hAnsi="Arial" w:cs="Arial"/>
          <w:color w:val="000000"/>
          <w:sz w:val="22"/>
          <w:szCs w:val="22"/>
        </w:rPr>
        <w:t>Z</w:t>
      </w:r>
      <w:r w:rsidR="004D7EFA" w:rsidRPr="00C201E6">
        <w:rPr>
          <w:rFonts w:ascii="Arial" w:hAnsi="Arial" w:cs="Arial"/>
          <w:color w:val="000000"/>
          <w:sz w:val="22"/>
          <w:szCs w:val="22"/>
        </w:rPr>
        <w:t>)</w:t>
      </w:r>
    </w:p>
    <w:p w14:paraId="6D16232C" w14:textId="2D3E2CBC" w:rsidR="004D7EFA" w:rsidRPr="00601B12" w:rsidRDefault="0079211C" w:rsidP="00EF47C8">
      <w:pPr>
        <w:autoSpaceDE w:val="0"/>
        <w:autoSpaceDN w:val="0"/>
        <w:adjustRightInd w:val="0"/>
        <w:ind w:left="426" w:hanging="426"/>
        <w:jc w:val="both"/>
        <w:rPr>
          <w:rFonts w:ascii="Arial" w:hAnsi="Arial" w:cs="Arial"/>
          <w:color w:val="000000"/>
          <w:sz w:val="22"/>
          <w:szCs w:val="22"/>
        </w:rPr>
      </w:pPr>
      <w:r w:rsidRPr="00C201E6">
        <w:rPr>
          <w:rFonts w:ascii="Arial" w:hAnsi="Arial" w:cs="Arial"/>
          <w:color w:val="000000"/>
          <w:sz w:val="22"/>
          <w:szCs w:val="22"/>
        </w:rPr>
        <w:tab/>
      </w:r>
      <w:r w:rsidR="004D7EFA" w:rsidRPr="00C201E6">
        <w:rPr>
          <w:rFonts w:ascii="Arial" w:hAnsi="Arial" w:cs="Arial"/>
          <w:color w:val="000000"/>
          <w:sz w:val="22"/>
          <w:szCs w:val="22"/>
        </w:rPr>
        <w:t xml:space="preserve">Tel: 020 8227 2296 </w:t>
      </w:r>
      <w:r w:rsidR="005974AC" w:rsidRPr="00C201E6">
        <w:rPr>
          <w:rFonts w:ascii="Arial" w:hAnsi="Arial" w:cs="Arial"/>
          <w:color w:val="000000"/>
          <w:sz w:val="22"/>
          <w:szCs w:val="22"/>
        </w:rPr>
        <w:tab/>
      </w:r>
      <w:r w:rsidR="004D7EFA" w:rsidRPr="00C201E6">
        <w:rPr>
          <w:rFonts w:ascii="Arial" w:hAnsi="Arial" w:cs="Arial"/>
          <w:color w:val="000000"/>
          <w:sz w:val="22"/>
          <w:szCs w:val="22"/>
        </w:rPr>
        <w:t xml:space="preserve">Email: </w:t>
      </w:r>
      <w:hyperlink r:id="rId27" w:history="1">
        <w:r w:rsidR="00C201E6" w:rsidRPr="00C201E6">
          <w:rPr>
            <w:rStyle w:val="Hyperlink"/>
            <w:rFonts w:ascii="Arial" w:hAnsi="Arial" w:cs="Arial"/>
            <w:sz w:val="22"/>
            <w:szCs w:val="22"/>
          </w:rPr>
          <w:t>kinny.</w:t>
        </w:r>
        <w:r w:rsidR="00C201E6" w:rsidRPr="0076066D">
          <w:rPr>
            <w:rStyle w:val="Hyperlink"/>
            <w:rFonts w:ascii="Arial" w:hAnsi="Arial" w:cs="Arial"/>
            <w:sz w:val="22"/>
            <w:szCs w:val="22"/>
          </w:rPr>
          <w:t>chauhan</w:t>
        </w:r>
        <w:r w:rsidR="00C201E6" w:rsidRPr="00C201E6">
          <w:rPr>
            <w:rStyle w:val="Hyperlink"/>
            <w:rFonts w:ascii="Arial" w:hAnsi="Arial" w:cs="Arial"/>
            <w:sz w:val="22"/>
            <w:szCs w:val="22"/>
          </w:rPr>
          <w:t>@lbbd.gov.uk</w:t>
        </w:r>
      </w:hyperlink>
    </w:p>
    <w:p w14:paraId="6D16232D" w14:textId="77777777" w:rsidR="004D7EFA" w:rsidRPr="00601B12" w:rsidRDefault="004D7EFA" w:rsidP="00EF47C8">
      <w:pPr>
        <w:autoSpaceDE w:val="0"/>
        <w:autoSpaceDN w:val="0"/>
        <w:adjustRightInd w:val="0"/>
        <w:ind w:left="426" w:hanging="426"/>
        <w:jc w:val="both"/>
        <w:rPr>
          <w:rFonts w:ascii="Arial" w:hAnsi="Arial" w:cs="Arial"/>
          <w:color w:val="000000"/>
          <w:sz w:val="22"/>
          <w:szCs w:val="22"/>
        </w:rPr>
      </w:pPr>
    </w:p>
    <w:p w14:paraId="6D16232E" w14:textId="77777777" w:rsidR="00CF4A1C" w:rsidRPr="00601B12" w:rsidRDefault="00CF4A1C" w:rsidP="00CF4A1C">
      <w:pPr>
        <w:autoSpaceDE w:val="0"/>
        <w:autoSpaceDN w:val="0"/>
        <w:adjustRightInd w:val="0"/>
        <w:ind w:left="426" w:hanging="426"/>
        <w:jc w:val="both"/>
        <w:rPr>
          <w:rFonts w:ascii="Arial" w:hAnsi="Arial" w:cs="Arial"/>
          <w:color w:val="000000"/>
          <w:sz w:val="22"/>
          <w:szCs w:val="22"/>
        </w:rPr>
      </w:pPr>
    </w:p>
    <w:p w14:paraId="6D16232F" w14:textId="77777777" w:rsidR="00AE241C" w:rsidRPr="00601B12" w:rsidRDefault="00AE241C" w:rsidP="00C41C82">
      <w:pPr>
        <w:autoSpaceDE w:val="0"/>
        <w:autoSpaceDN w:val="0"/>
        <w:adjustRightInd w:val="0"/>
        <w:ind w:left="426" w:hanging="426"/>
        <w:jc w:val="both"/>
        <w:rPr>
          <w:rFonts w:ascii="Arial" w:hAnsi="Arial" w:cs="Arial"/>
          <w:b/>
          <w:bCs/>
          <w:color w:val="FF0000"/>
          <w:sz w:val="28"/>
          <w:szCs w:val="28"/>
        </w:rPr>
      </w:pPr>
    </w:p>
    <w:p w14:paraId="6D162330" w14:textId="77777777" w:rsidR="00414A6E" w:rsidRPr="00601B12" w:rsidRDefault="00414A6E">
      <w:pPr>
        <w:spacing w:after="200" w:line="276" w:lineRule="auto"/>
        <w:rPr>
          <w:rFonts w:ascii="Arial" w:hAnsi="Arial" w:cs="Arial"/>
          <w:b/>
          <w:bCs/>
          <w:color w:val="FF0000"/>
          <w:sz w:val="28"/>
          <w:szCs w:val="28"/>
        </w:rPr>
      </w:pPr>
      <w:r w:rsidRPr="00601B12">
        <w:rPr>
          <w:rFonts w:ascii="Arial" w:hAnsi="Arial" w:cs="Arial"/>
          <w:b/>
          <w:bCs/>
          <w:color w:val="FF0000"/>
          <w:sz w:val="28"/>
          <w:szCs w:val="28"/>
        </w:rPr>
        <w:br w:type="page"/>
      </w:r>
    </w:p>
    <w:p w14:paraId="6D162331" w14:textId="77777777" w:rsidR="00C41C82" w:rsidRPr="00601B12" w:rsidRDefault="00EE48E9" w:rsidP="00C41C82">
      <w:pPr>
        <w:autoSpaceDE w:val="0"/>
        <w:autoSpaceDN w:val="0"/>
        <w:adjustRightInd w:val="0"/>
        <w:ind w:left="426" w:hanging="426"/>
        <w:jc w:val="both"/>
        <w:rPr>
          <w:rFonts w:ascii="Arial" w:hAnsi="Arial" w:cs="Arial"/>
          <w:b/>
          <w:bCs/>
          <w:color w:val="FF0000"/>
          <w:sz w:val="28"/>
          <w:szCs w:val="28"/>
        </w:rPr>
      </w:pPr>
      <w:r w:rsidRPr="00601B12">
        <w:rPr>
          <w:rFonts w:ascii="Arial" w:hAnsi="Arial" w:cs="Arial"/>
          <w:b/>
          <w:bCs/>
          <w:color w:val="FF0000"/>
          <w:sz w:val="28"/>
          <w:szCs w:val="28"/>
        </w:rPr>
        <w:t>5</w:t>
      </w:r>
      <w:r w:rsidR="00C41C82" w:rsidRPr="00601B12">
        <w:rPr>
          <w:rFonts w:ascii="Arial" w:hAnsi="Arial" w:cs="Arial"/>
          <w:b/>
          <w:bCs/>
          <w:color w:val="FF0000"/>
          <w:sz w:val="28"/>
          <w:szCs w:val="28"/>
        </w:rPr>
        <w:t>.</w:t>
      </w:r>
      <w:r w:rsidR="00C41C82" w:rsidRPr="00601B12">
        <w:rPr>
          <w:rFonts w:ascii="Arial" w:hAnsi="Arial" w:cs="Arial"/>
          <w:b/>
          <w:bCs/>
          <w:color w:val="FF0000"/>
          <w:sz w:val="28"/>
          <w:szCs w:val="28"/>
        </w:rPr>
        <w:tab/>
        <w:t>Investment Policy, Performance and Developments</w:t>
      </w:r>
    </w:p>
    <w:p w14:paraId="6D162332" w14:textId="77777777" w:rsidR="00C41C82" w:rsidRPr="00601B12" w:rsidRDefault="00C41C82" w:rsidP="00C41C82">
      <w:pPr>
        <w:autoSpaceDE w:val="0"/>
        <w:autoSpaceDN w:val="0"/>
        <w:adjustRightInd w:val="0"/>
        <w:jc w:val="both"/>
        <w:rPr>
          <w:rFonts w:ascii="Arial" w:hAnsi="Arial" w:cs="Arial"/>
          <w:b/>
          <w:bCs/>
          <w:color w:val="A60021"/>
        </w:rPr>
      </w:pPr>
    </w:p>
    <w:p w14:paraId="6D162333" w14:textId="77777777" w:rsidR="00C41C82" w:rsidRPr="00601B12" w:rsidRDefault="00EE48E9" w:rsidP="004146ED">
      <w:pPr>
        <w:autoSpaceDE w:val="0"/>
        <w:autoSpaceDN w:val="0"/>
        <w:adjustRightInd w:val="0"/>
        <w:ind w:left="426" w:hanging="426"/>
        <w:jc w:val="both"/>
        <w:rPr>
          <w:rFonts w:ascii="Arial" w:hAnsi="Arial" w:cs="Arial"/>
          <w:b/>
          <w:bCs/>
          <w:color w:val="0070C0"/>
          <w:sz w:val="22"/>
          <w:szCs w:val="22"/>
        </w:rPr>
      </w:pPr>
      <w:r w:rsidRPr="00601B12">
        <w:rPr>
          <w:rFonts w:ascii="Arial" w:hAnsi="Arial" w:cs="Arial"/>
          <w:b/>
          <w:bCs/>
          <w:color w:val="0070C0"/>
          <w:sz w:val="22"/>
          <w:szCs w:val="22"/>
        </w:rPr>
        <w:t>5</w:t>
      </w:r>
      <w:r w:rsidR="00C41C82" w:rsidRPr="00601B12">
        <w:rPr>
          <w:rFonts w:ascii="Arial" w:hAnsi="Arial" w:cs="Arial"/>
          <w:b/>
          <w:bCs/>
          <w:color w:val="0070C0"/>
          <w:sz w:val="22"/>
          <w:szCs w:val="22"/>
        </w:rPr>
        <w:t>.1</w:t>
      </w:r>
      <w:r w:rsidR="00C41C82" w:rsidRPr="00601B12">
        <w:rPr>
          <w:rFonts w:ascii="Arial" w:hAnsi="Arial" w:cs="Arial"/>
          <w:b/>
          <w:bCs/>
          <w:color w:val="0070C0"/>
          <w:sz w:val="22"/>
          <w:szCs w:val="22"/>
        </w:rPr>
        <w:tab/>
        <w:t>Powers of Investment</w:t>
      </w:r>
    </w:p>
    <w:p w14:paraId="6D162334" w14:textId="77777777" w:rsidR="00C41C82" w:rsidRPr="00601B12" w:rsidRDefault="00C41C82" w:rsidP="004146ED">
      <w:pPr>
        <w:autoSpaceDE w:val="0"/>
        <w:autoSpaceDN w:val="0"/>
        <w:adjustRightInd w:val="0"/>
        <w:ind w:left="426" w:hanging="426"/>
        <w:jc w:val="both"/>
        <w:rPr>
          <w:rFonts w:ascii="Arial" w:hAnsi="Arial" w:cs="Arial"/>
          <w:b/>
          <w:bCs/>
          <w:sz w:val="22"/>
          <w:szCs w:val="22"/>
        </w:rPr>
      </w:pPr>
    </w:p>
    <w:p w14:paraId="6D162335" w14:textId="77777777" w:rsidR="00C41C82" w:rsidRPr="00601B12" w:rsidRDefault="004146ED" w:rsidP="004146ED">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The principal powers to invest are contained in the Local Government Pension Scheme (Management and Investment of Funds) Regulations 1998 (as amended) and require an Administering Authority to invest any Fund money that is not needed immediately to make payments from the Fund.</w:t>
      </w:r>
    </w:p>
    <w:p w14:paraId="6D162336" w14:textId="77777777" w:rsidR="00C41C82" w:rsidRPr="00601B12" w:rsidRDefault="00C41C82" w:rsidP="004146ED">
      <w:pPr>
        <w:autoSpaceDE w:val="0"/>
        <w:autoSpaceDN w:val="0"/>
        <w:adjustRightInd w:val="0"/>
        <w:ind w:left="426" w:hanging="426"/>
        <w:jc w:val="both"/>
        <w:rPr>
          <w:rFonts w:ascii="Arial" w:hAnsi="Arial" w:cs="Arial"/>
          <w:color w:val="000000"/>
          <w:sz w:val="22"/>
          <w:szCs w:val="22"/>
        </w:rPr>
      </w:pPr>
    </w:p>
    <w:p w14:paraId="6D162337" w14:textId="77777777" w:rsidR="00C41C82" w:rsidRPr="00601B12" w:rsidRDefault="00EE48E9" w:rsidP="004146ED">
      <w:pPr>
        <w:autoSpaceDE w:val="0"/>
        <w:autoSpaceDN w:val="0"/>
        <w:adjustRightInd w:val="0"/>
        <w:ind w:left="426" w:hanging="426"/>
        <w:jc w:val="both"/>
        <w:rPr>
          <w:rFonts w:ascii="Arial" w:hAnsi="Arial" w:cs="Arial"/>
          <w:b/>
          <w:bCs/>
          <w:color w:val="0070C0"/>
          <w:sz w:val="22"/>
          <w:szCs w:val="22"/>
        </w:rPr>
      </w:pPr>
      <w:r w:rsidRPr="00601B12">
        <w:rPr>
          <w:rFonts w:ascii="Arial" w:hAnsi="Arial" w:cs="Arial"/>
          <w:b/>
          <w:color w:val="0070C0"/>
          <w:sz w:val="22"/>
          <w:szCs w:val="22"/>
        </w:rPr>
        <w:t>5</w:t>
      </w:r>
      <w:r w:rsidR="00C41C82" w:rsidRPr="00601B12">
        <w:rPr>
          <w:rFonts w:ascii="Arial" w:hAnsi="Arial" w:cs="Arial"/>
          <w:b/>
          <w:color w:val="0070C0"/>
          <w:sz w:val="22"/>
          <w:szCs w:val="22"/>
        </w:rPr>
        <w:t>.2</w:t>
      </w:r>
      <w:r w:rsidR="00C41C82" w:rsidRPr="00601B12">
        <w:rPr>
          <w:rFonts w:ascii="Arial" w:hAnsi="Arial" w:cs="Arial"/>
          <w:b/>
          <w:color w:val="0070C0"/>
          <w:sz w:val="22"/>
          <w:szCs w:val="22"/>
        </w:rPr>
        <w:tab/>
      </w:r>
      <w:r w:rsidR="00C41C82" w:rsidRPr="00601B12">
        <w:rPr>
          <w:rFonts w:ascii="Arial" w:hAnsi="Arial" w:cs="Arial"/>
          <w:b/>
          <w:bCs/>
          <w:color w:val="0070C0"/>
          <w:sz w:val="22"/>
          <w:szCs w:val="22"/>
        </w:rPr>
        <w:t>Investment Strategy</w:t>
      </w:r>
    </w:p>
    <w:p w14:paraId="6D162338" w14:textId="77777777" w:rsidR="00C41C82" w:rsidRPr="00601B12" w:rsidRDefault="00C41C82" w:rsidP="004146ED">
      <w:pPr>
        <w:autoSpaceDE w:val="0"/>
        <w:autoSpaceDN w:val="0"/>
        <w:adjustRightInd w:val="0"/>
        <w:ind w:left="426" w:hanging="426"/>
        <w:jc w:val="both"/>
        <w:rPr>
          <w:rFonts w:ascii="Arial" w:hAnsi="Arial" w:cs="Arial"/>
          <w:b/>
          <w:bCs/>
          <w:color w:val="000000"/>
          <w:sz w:val="22"/>
          <w:szCs w:val="22"/>
        </w:rPr>
      </w:pPr>
    </w:p>
    <w:p w14:paraId="6D162339" w14:textId="77777777" w:rsidR="00C41C82" w:rsidRPr="00601B12" w:rsidRDefault="004146ED" w:rsidP="004146ED">
      <w:pPr>
        <w:autoSpaceDE w:val="0"/>
        <w:autoSpaceDN w:val="0"/>
        <w:adjustRightInd w:val="0"/>
        <w:ind w:left="426" w:hanging="426"/>
        <w:jc w:val="both"/>
        <w:rPr>
          <w:rFonts w:ascii="Arial" w:hAnsi="Arial" w:cs="Arial"/>
          <w:b/>
          <w:bCs/>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Council, as Administering Authority, is responsible for setting the overall investment strategy of the Fund and monitoring the performance of its investments. This task is carried out by the Pension </w:t>
      </w:r>
      <w:r w:rsidR="00D576F8" w:rsidRPr="00601B12">
        <w:rPr>
          <w:rFonts w:ascii="Arial" w:hAnsi="Arial" w:cs="Arial"/>
          <w:color w:val="000000"/>
          <w:sz w:val="22"/>
          <w:szCs w:val="22"/>
        </w:rPr>
        <w:t>Committee</w:t>
      </w:r>
      <w:r w:rsidR="00C41C82" w:rsidRPr="00601B12">
        <w:rPr>
          <w:rFonts w:ascii="Arial" w:hAnsi="Arial" w:cs="Arial"/>
          <w:color w:val="000000"/>
          <w:sz w:val="22"/>
          <w:szCs w:val="22"/>
        </w:rPr>
        <w:t xml:space="preserve"> on behalf of the Fund. </w:t>
      </w:r>
    </w:p>
    <w:p w14:paraId="6D16233A" w14:textId="77777777" w:rsidR="00C41C82" w:rsidRPr="00601B12" w:rsidRDefault="00C41C82" w:rsidP="004146ED">
      <w:pPr>
        <w:autoSpaceDE w:val="0"/>
        <w:autoSpaceDN w:val="0"/>
        <w:adjustRightInd w:val="0"/>
        <w:ind w:left="426" w:hanging="426"/>
        <w:jc w:val="both"/>
        <w:rPr>
          <w:rFonts w:ascii="Arial" w:hAnsi="Arial" w:cs="Arial"/>
          <w:b/>
          <w:bCs/>
          <w:color w:val="000000"/>
          <w:sz w:val="22"/>
          <w:szCs w:val="22"/>
        </w:rPr>
      </w:pPr>
    </w:p>
    <w:p w14:paraId="6D16233B" w14:textId="77777777" w:rsidR="00006D81" w:rsidRPr="00601B12" w:rsidRDefault="004146ED" w:rsidP="004146ED">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investment strategy is usually set for the </w:t>
      </w:r>
      <w:r w:rsidR="005F10F7" w:rsidRPr="00601B12">
        <w:rPr>
          <w:rFonts w:ascii="Arial" w:hAnsi="Arial" w:cs="Arial"/>
          <w:color w:val="000000"/>
          <w:sz w:val="22"/>
          <w:szCs w:val="22"/>
        </w:rPr>
        <w:t>long-term but</w:t>
      </w:r>
      <w:r w:rsidR="00C41C82" w:rsidRPr="00601B12">
        <w:rPr>
          <w:rFonts w:ascii="Arial" w:hAnsi="Arial" w:cs="Arial"/>
          <w:color w:val="000000"/>
          <w:sz w:val="22"/>
          <w:szCs w:val="22"/>
        </w:rPr>
        <w:t xml:space="preserve"> reviewed periodically by the </w:t>
      </w:r>
      <w:r w:rsidR="00D576F8" w:rsidRPr="00601B12">
        <w:rPr>
          <w:rFonts w:ascii="Arial" w:hAnsi="Arial" w:cs="Arial"/>
          <w:color w:val="000000"/>
          <w:sz w:val="22"/>
          <w:szCs w:val="22"/>
        </w:rPr>
        <w:t>Committee</w:t>
      </w:r>
      <w:r w:rsidR="00C41C82" w:rsidRPr="00601B12">
        <w:rPr>
          <w:rFonts w:ascii="Arial" w:hAnsi="Arial" w:cs="Arial"/>
          <w:color w:val="000000"/>
          <w:sz w:val="22"/>
          <w:szCs w:val="22"/>
        </w:rPr>
        <w:t xml:space="preserve"> to ensure that it remains appropriate to the Fund’s liability profile. </w:t>
      </w:r>
    </w:p>
    <w:p w14:paraId="6D16233C" w14:textId="77777777" w:rsidR="00006D81" w:rsidRPr="00601B12" w:rsidRDefault="00006D81" w:rsidP="004146ED">
      <w:pPr>
        <w:autoSpaceDE w:val="0"/>
        <w:autoSpaceDN w:val="0"/>
        <w:adjustRightInd w:val="0"/>
        <w:ind w:left="426" w:hanging="426"/>
        <w:jc w:val="both"/>
        <w:rPr>
          <w:rFonts w:ascii="Arial" w:hAnsi="Arial" w:cs="Arial"/>
          <w:color w:val="000000"/>
          <w:sz w:val="22"/>
          <w:szCs w:val="22"/>
        </w:rPr>
      </w:pPr>
    </w:p>
    <w:p w14:paraId="6D16233D" w14:textId="5EF10622" w:rsidR="00006D81" w:rsidRPr="00601B12" w:rsidRDefault="00006D81" w:rsidP="00006D81">
      <w:pPr>
        <w:autoSpaceDE w:val="0"/>
        <w:autoSpaceDN w:val="0"/>
        <w:adjustRightInd w:val="0"/>
        <w:ind w:left="426"/>
        <w:jc w:val="both"/>
        <w:rPr>
          <w:rFonts w:ascii="Arial" w:hAnsi="Arial" w:cs="Arial"/>
          <w:color w:val="000000"/>
          <w:sz w:val="22"/>
          <w:szCs w:val="22"/>
        </w:rPr>
      </w:pPr>
      <w:r w:rsidRPr="00601B12">
        <w:rPr>
          <w:rFonts w:ascii="Arial" w:hAnsi="Arial" w:cs="Arial"/>
          <w:color w:val="000000"/>
          <w:sz w:val="22"/>
          <w:szCs w:val="22"/>
        </w:rPr>
        <w:t>For 2017/18, the LGPS (Management and Investment of Funds) Regulations 2016, require</w:t>
      </w:r>
      <w:r w:rsidR="0023496D" w:rsidRPr="00601B12">
        <w:rPr>
          <w:rFonts w:ascii="Arial" w:hAnsi="Arial" w:cs="Arial"/>
          <w:color w:val="000000"/>
          <w:sz w:val="22"/>
          <w:szCs w:val="22"/>
        </w:rPr>
        <w:t>d</w:t>
      </w:r>
      <w:r w:rsidRPr="00601B12">
        <w:rPr>
          <w:rFonts w:ascii="Arial" w:hAnsi="Arial" w:cs="Arial"/>
          <w:color w:val="000000"/>
          <w:sz w:val="22"/>
          <w:szCs w:val="22"/>
        </w:rPr>
        <w:t xml:space="preserve"> the Fund to publish an Investment Strategy Statement (ISS), which replace</w:t>
      </w:r>
      <w:r w:rsidR="0023496D" w:rsidRPr="00601B12">
        <w:rPr>
          <w:rFonts w:ascii="Arial" w:hAnsi="Arial" w:cs="Arial"/>
          <w:color w:val="000000"/>
          <w:sz w:val="22"/>
          <w:szCs w:val="22"/>
        </w:rPr>
        <w:t>d</w:t>
      </w:r>
      <w:r w:rsidRPr="00601B12">
        <w:rPr>
          <w:rFonts w:ascii="Arial" w:hAnsi="Arial" w:cs="Arial"/>
          <w:color w:val="000000"/>
          <w:sz w:val="22"/>
          <w:szCs w:val="22"/>
        </w:rPr>
        <w:t xml:space="preserve"> the Statement of Investment Principles.</w:t>
      </w:r>
    </w:p>
    <w:p w14:paraId="6D16233E" w14:textId="77777777" w:rsidR="00006D81" w:rsidRPr="00601B12" w:rsidRDefault="00006D81" w:rsidP="00006D81">
      <w:pPr>
        <w:autoSpaceDE w:val="0"/>
        <w:autoSpaceDN w:val="0"/>
        <w:adjustRightInd w:val="0"/>
        <w:ind w:left="426" w:hanging="426"/>
        <w:jc w:val="both"/>
        <w:rPr>
          <w:rFonts w:ascii="Arial" w:hAnsi="Arial" w:cs="Arial"/>
          <w:color w:val="000000"/>
          <w:sz w:val="22"/>
          <w:szCs w:val="22"/>
        </w:rPr>
      </w:pPr>
    </w:p>
    <w:p w14:paraId="6D16233F" w14:textId="77777777" w:rsidR="00006D81" w:rsidRPr="00601B12" w:rsidRDefault="00006D81" w:rsidP="00006D81">
      <w:pPr>
        <w:autoSpaceDE w:val="0"/>
        <w:autoSpaceDN w:val="0"/>
        <w:adjustRightInd w:val="0"/>
        <w:ind w:left="426"/>
        <w:jc w:val="both"/>
        <w:rPr>
          <w:rFonts w:ascii="Arial" w:hAnsi="Arial" w:cs="Arial"/>
          <w:color w:val="000000"/>
          <w:sz w:val="22"/>
          <w:szCs w:val="22"/>
        </w:rPr>
      </w:pPr>
      <w:r w:rsidRPr="00601B12">
        <w:rPr>
          <w:rFonts w:ascii="Arial" w:hAnsi="Arial" w:cs="Arial"/>
          <w:color w:val="000000"/>
          <w:sz w:val="22"/>
          <w:szCs w:val="22"/>
        </w:rPr>
        <w:t>The ISS addresses each of the objectives included in the 2016 Regulations, namely:</w:t>
      </w:r>
    </w:p>
    <w:p w14:paraId="6D162340" w14:textId="77777777" w:rsidR="00006D81" w:rsidRPr="00601B12" w:rsidRDefault="00006D81" w:rsidP="00006D81">
      <w:pPr>
        <w:autoSpaceDE w:val="0"/>
        <w:autoSpaceDN w:val="0"/>
        <w:adjustRightInd w:val="0"/>
        <w:ind w:left="426"/>
        <w:jc w:val="both"/>
        <w:rPr>
          <w:rFonts w:ascii="Arial" w:hAnsi="Arial" w:cs="Arial"/>
          <w:color w:val="000000"/>
          <w:sz w:val="22"/>
          <w:szCs w:val="22"/>
        </w:rPr>
      </w:pPr>
    </w:p>
    <w:p w14:paraId="6D162341" w14:textId="5F853698" w:rsidR="00006D81" w:rsidRPr="00601B12" w:rsidRDefault="00006D81" w:rsidP="007337FE">
      <w:pPr>
        <w:pStyle w:val="ListParagraph"/>
        <w:numPr>
          <w:ilvl w:val="0"/>
          <w:numId w:val="92"/>
        </w:numPr>
        <w:autoSpaceDE w:val="0"/>
        <w:autoSpaceDN w:val="0"/>
        <w:adjustRightInd w:val="0"/>
        <w:spacing w:after="0" w:line="300" w:lineRule="auto"/>
        <w:ind w:left="788" w:hanging="221"/>
        <w:jc w:val="both"/>
        <w:rPr>
          <w:rFonts w:ascii="Arial" w:hAnsi="Arial" w:cs="Arial"/>
          <w:color w:val="000000"/>
        </w:rPr>
      </w:pPr>
      <w:r w:rsidRPr="00601B12">
        <w:rPr>
          <w:rFonts w:ascii="Arial" w:hAnsi="Arial" w:cs="Arial"/>
          <w:color w:val="000000"/>
        </w:rPr>
        <w:t>The Fund</w:t>
      </w:r>
      <w:r w:rsidR="003F7E6B" w:rsidRPr="00601B12">
        <w:rPr>
          <w:rFonts w:ascii="Arial" w:hAnsi="Arial" w:cs="Arial"/>
          <w:color w:val="000000"/>
        </w:rPr>
        <w:t>’s</w:t>
      </w:r>
      <w:r w:rsidRPr="00601B12">
        <w:rPr>
          <w:rFonts w:ascii="Arial" w:hAnsi="Arial" w:cs="Arial"/>
          <w:color w:val="000000"/>
        </w:rPr>
        <w:t xml:space="preserve"> requirement to invest fund money in a wide range of </w:t>
      </w:r>
      <w:proofErr w:type="gramStart"/>
      <w:r w:rsidRPr="00601B12">
        <w:rPr>
          <w:rFonts w:ascii="Arial" w:hAnsi="Arial" w:cs="Arial"/>
          <w:color w:val="000000"/>
        </w:rPr>
        <w:t>instruments;</w:t>
      </w:r>
      <w:proofErr w:type="gramEnd"/>
    </w:p>
    <w:p w14:paraId="6D162342" w14:textId="77777777" w:rsidR="00006D81" w:rsidRPr="00601B12" w:rsidRDefault="00006D81" w:rsidP="007337FE">
      <w:pPr>
        <w:pStyle w:val="ListParagraph"/>
        <w:numPr>
          <w:ilvl w:val="0"/>
          <w:numId w:val="92"/>
        </w:numPr>
        <w:autoSpaceDE w:val="0"/>
        <w:autoSpaceDN w:val="0"/>
        <w:adjustRightInd w:val="0"/>
        <w:spacing w:after="0" w:line="300" w:lineRule="auto"/>
        <w:ind w:left="788" w:hanging="221"/>
        <w:jc w:val="both"/>
        <w:rPr>
          <w:rFonts w:ascii="Arial" w:hAnsi="Arial" w:cs="Arial"/>
          <w:color w:val="000000"/>
        </w:rPr>
      </w:pPr>
      <w:r w:rsidRPr="00601B12">
        <w:rPr>
          <w:rFonts w:ascii="Arial" w:hAnsi="Arial" w:cs="Arial"/>
          <w:color w:val="000000"/>
        </w:rPr>
        <w:t xml:space="preserve">The Fund’s assessment of the suitability of investments and types of </w:t>
      </w:r>
      <w:proofErr w:type="gramStart"/>
      <w:r w:rsidRPr="00601B12">
        <w:rPr>
          <w:rFonts w:ascii="Arial" w:hAnsi="Arial" w:cs="Arial"/>
          <w:color w:val="000000"/>
        </w:rPr>
        <w:t>investment;</w:t>
      </w:r>
      <w:proofErr w:type="gramEnd"/>
    </w:p>
    <w:p w14:paraId="6D162343" w14:textId="77777777" w:rsidR="00006D81" w:rsidRPr="00601B12" w:rsidRDefault="00006D81" w:rsidP="007337FE">
      <w:pPr>
        <w:pStyle w:val="ListParagraph"/>
        <w:numPr>
          <w:ilvl w:val="0"/>
          <w:numId w:val="92"/>
        </w:numPr>
        <w:autoSpaceDE w:val="0"/>
        <w:autoSpaceDN w:val="0"/>
        <w:adjustRightInd w:val="0"/>
        <w:spacing w:after="0" w:line="300" w:lineRule="auto"/>
        <w:ind w:left="788" w:hanging="221"/>
        <w:jc w:val="both"/>
        <w:rPr>
          <w:rFonts w:ascii="Arial" w:hAnsi="Arial" w:cs="Arial"/>
          <w:color w:val="000000"/>
        </w:rPr>
      </w:pPr>
      <w:r w:rsidRPr="00601B12">
        <w:rPr>
          <w:rFonts w:ascii="Arial" w:hAnsi="Arial" w:cs="Arial"/>
          <w:color w:val="000000"/>
        </w:rPr>
        <w:t>The Fund’s approach to risk</w:t>
      </w:r>
      <w:r w:rsidR="00EE7443" w:rsidRPr="00601B12">
        <w:rPr>
          <w:rFonts w:ascii="Arial" w:hAnsi="Arial" w:cs="Arial"/>
          <w:color w:val="000000"/>
        </w:rPr>
        <w:t xml:space="preserve"> and</w:t>
      </w:r>
      <w:r w:rsidRPr="00601B12">
        <w:rPr>
          <w:rFonts w:ascii="Arial" w:hAnsi="Arial" w:cs="Arial"/>
          <w:color w:val="000000"/>
        </w:rPr>
        <w:t xml:space="preserve"> the ways in which risks are measured and </w:t>
      </w:r>
      <w:proofErr w:type="gramStart"/>
      <w:r w:rsidRPr="00601B12">
        <w:rPr>
          <w:rFonts w:ascii="Arial" w:hAnsi="Arial" w:cs="Arial"/>
          <w:color w:val="000000"/>
        </w:rPr>
        <w:t>managed</w:t>
      </w:r>
      <w:r w:rsidR="00EE7443" w:rsidRPr="00601B12">
        <w:rPr>
          <w:rFonts w:ascii="Arial" w:hAnsi="Arial" w:cs="Arial"/>
          <w:color w:val="000000"/>
        </w:rPr>
        <w:t>;</w:t>
      </w:r>
      <w:proofErr w:type="gramEnd"/>
    </w:p>
    <w:p w14:paraId="6D162344" w14:textId="77777777" w:rsidR="00006D81" w:rsidRPr="00601B12" w:rsidRDefault="00006D81" w:rsidP="007337FE">
      <w:pPr>
        <w:pStyle w:val="ListParagraph"/>
        <w:numPr>
          <w:ilvl w:val="0"/>
          <w:numId w:val="92"/>
        </w:numPr>
        <w:autoSpaceDE w:val="0"/>
        <w:autoSpaceDN w:val="0"/>
        <w:adjustRightInd w:val="0"/>
        <w:spacing w:after="0" w:line="300" w:lineRule="auto"/>
        <w:ind w:left="788" w:hanging="221"/>
        <w:jc w:val="both"/>
        <w:rPr>
          <w:rFonts w:ascii="Arial" w:hAnsi="Arial" w:cs="Arial"/>
          <w:color w:val="000000"/>
        </w:rPr>
      </w:pPr>
      <w:r w:rsidRPr="00601B12">
        <w:rPr>
          <w:rFonts w:ascii="Arial" w:hAnsi="Arial" w:cs="Arial"/>
          <w:color w:val="000000"/>
        </w:rPr>
        <w:t xml:space="preserve">The </w:t>
      </w:r>
      <w:r w:rsidR="00EE7443" w:rsidRPr="00601B12">
        <w:rPr>
          <w:rFonts w:ascii="Arial" w:hAnsi="Arial" w:cs="Arial"/>
          <w:color w:val="000000"/>
        </w:rPr>
        <w:t>Fund</w:t>
      </w:r>
      <w:r w:rsidRPr="00601B12">
        <w:rPr>
          <w:rFonts w:ascii="Arial" w:hAnsi="Arial" w:cs="Arial"/>
          <w:color w:val="000000"/>
        </w:rPr>
        <w:t>’s approach to pooling investments</w:t>
      </w:r>
      <w:r w:rsidR="00EE7443" w:rsidRPr="00601B12">
        <w:rPr>
          <w:rFonts w:ascii="Arial" w:hAnsi="Arial" w:cs="Arial"/>
          <w:color w:val="000000"/>
        </w:rPr>
        <w:t xml:space="preserve"> and </w:t>
      </w:r>
      <w:r w:rsidRPr="00601B12">
        <w:rPr>
          <w:rFonts w:ascii="Arial" w:hAnsi="Arial" w:cs="Arial"/>
          <w:color w:val="000000"/>
        </w:rPr>
        <w:t xml:space="preserve">use of collective investment </w:t>
      </w:r>
      <w:proofErr w:type="gramStart"/>
      <w:r w:rsidRPr="00601B12">
        <w:rPr>
          <w:rFonts w:ascii="Arial" w:hAnsi="Arial" w:cs="Arial"/>
          <w:color w:val="000000"/>
        </w:rPr>
        <w:t>vehicles</w:t>
      </w:r>
      <w:r w:rsidR="00EE7443" w:rsidRPr="00601B12">
        <w:rPr>
          <w:rFonts w:ascii="Arial" w:hAnsi="Arial" w:cs="Arial"/>
          <w:color w:val="000000"/>
        </w:rPr>
        <w:t>;</w:t>
      </w:r>
      <w:proofErr w:type="gramEnd"/>
    </w:p>
    <w:p w14:paraId="6D162345" w14:textId="77777777" w:rsidR="00EE7443" w:rsidRPr="00601B12" w:rsidRDefault="00006D81" w:rsidP="007337FE">
      <w:pPr>
        <w:pStyle w:val="ListParagraph"/>
        <w:numPr>
          <w:ilvl w:val="0"/>
          <w:numId w:val="92"/>
        </w:numPr>
        <w:autoSpaceDE w:val="0"/>
        <w:autoSpaceDN w:val="0"/>
        <w:adjustRightInd w:val="0"/>
        <w:spacing w:after="0" w:line="300" w:lineRule="auto"/>
        <w:ind w:left="788" w:hanging="221"/>
        <w:jc w:val="both"/>
        <w:rPr>
          <w:rFonts w:ascii="Arial" w:hAnsi="Arial" w:cs="Arial"/>
          <w:color w:val="000000"/>
        </w:rPr>
      </w:pPr>
      <w:r w:rsidRPr="00601B12">
        <w:rPr>
          <w:rFonts w:ascii="Arial" w:hAnsi="Arial" w:cs="Arial"/>
          <w:color w:val="000000"/>
        </w:rPr>
        <w:t xml:space="preserve">The </w:t>
      </w:r>
      <w:r w:rsidR="00EE7443" w:rsidRPr="00601B12">
        <w:rPr>
          <w:rFonts w:ascii="Arial" w:hAnsi="Arial" w:cs="Arial"/>
          <w:color w:val="000000"/>
        </w:rPr>
        <w:t>Fund</w:t>
      </w:r>
      <w:r w:rsidRPr="00601B12">
        <w:rPr>
          <w:rFonts w:ascii="Arial" w:hAnsi="Arial" w:cs="Arial"/>
          <w:color w:val="000000"/>
        </w:rPr>
        <w:t xml:space="preserve">’s policy on how social, </w:t>
      </w:r>
      <w:proofErr w:type="gramStart"/>
      <w:r w:rsidRPr="00601B12">
        <w:rPr>
          <w:rFonts w:ascii="Arial" w:hAnsi="Arial" w:cs="Arial"/>
          <w:color w:val="000000"/>
        </w:rPr>
        <w:t>environmental</w:t>
      </w:r>
      <w:proofErr w:type="gramEnd"/>
      <w:r w:rsidRPr="00601B12">
        <w:rPr>
          <w:rFonts w:ascii="Arial" w:hAnsi="Arial" w:cs="Arial"/>
          <w:color w:val="000000"/>
        </w:rPr>
        <w:t xml:space="preserve"> or corporate governance considerations are </w:t>
      </w:r>
      <w:r w:rsidR="00EE7443" w:rsidRPr="00601B12">
        <w:rPr>
          <w:rFonts w:ascii="Arial" w:hAnsi="Arial" w:cs="Arial"/>
          <w:color w:val="000000"/>
        </w:rPr>
        <w:t>considered</w:t>
      </w:r>
      <w:r w:rsidRPr="00601B12">
        <w:rPr>
          <w:rFonts w:ascii="Arial" w:hAnsi="Arial" w:cs="Arial"/>
          <w:color w:val="000000"/>
        </w:rPr>
        <w:t xml:space="preserve"> in the selection, non-selection, retention and realisation of investments.</w:t>
      </w:r>
      <w:r w:rsidR="00EE7443" w:rsidRPr="00601B12">
        <w:rPr>
          <w:rFonts w:ascii="Arial" w:hAnsi="Arial" w:cs="Arial"/>
          <w:color w:val="000000"/>
        </w:rPr>
        <w:t xml:space="preserve"> </w:t>
      </w:r>
    </w:p>
    <w:p w14:paraId="6D162346" w14:textId="77777777" w:rsidR="00EE7443" w:rsidRPr="00601B12" w:rsidRDefault="00EE7443" w:rsidP="00EE7443">
      <w:pPr>
        <w:autoSpaceDE w:val="0"/>
        <w:autoSpaceDN w:val="0"/>
        <w:adjustRightInd w:val="0"/>
        <w:ind w:left="567"/>
        <w:jc w:val="both"/>
        <w:rPr>
          <w:rFonts w:ascii="Arial" w:hAnsi="Arial" w:cs="Arial"/>
          <w:color w:val="000000"/>
        </w:rPr>
      </w:pPr>
    </w:p>
    <w:p w14:paraId="6D162347" w14:textId="148C42CF" w:rsidR="00C41C82" w:rsidRPr="00601B12" w:rsidRDefault="00C41C82" w:rsidP="00EE7443">
      <w:pPr>
        <w:autoSpaceDE w:val="0"/>
        <w:autoSpaceDN w:val="0"/>
        <w:adjustRightInd w:val="0"/>
        <w:ind w:left="567"/>
        <w:jc w:val="both"/>
        <w:rPr>
          <w:rFonts w:ascii="Arial" w:hAnsi="Arial" w:cs="Arial"/>
          <w:color w:val="000000"/>
          <w:sz w:val="22"/>
          <w:szCs w:val="22"/>
        </w:rPr>
      </w:pPr>
      <w:r w:rsidRPr="00601B12">
        <w:rPr>
          <w:rFonts w:ascii="Arial" w:hAnsi="Arial" w:cs="Arial"/>
          <w:color w:val="000000"/>
          <w:sz w:val="22"/>
          <w:szCs w:val="22"/>
        </w:rPr>
        <w:t>The</w:t>
      </w:r>
      <w:r w:rsidR="00EE7443" w:rsidRPr="00601B12">
        <w:rPr>
          <w:rFonts w:ascii="Arial" w:hAnsi="Arial" w:cs="Arial"/>
          <w:color w:val="000000"/>
          <w:sz w:val="22"/>
          <w:szCs w:val="22"/>
        </w:rPr>
        <w:t xml:space="preserve"> </w:t>
      </w:r>
      <w:r w:rsidRPr="00601B12">
        <w:rPr>
          <w:rFonts w:ascii="Arial" w:hAnsi="Arial" w:cs="Arial"/>
          <w:color w:val="000000"/>
          <w:sz w:val="22"/>
          <w:szCs w:val="22"/>
        </w:rPr>
        <w:t>Fund</w:t>
      </w:r>
      <w:r w:rsidR="00EE7443" w:rsidRPr="00601B12">
        <w:rPr>
          <w:rFonts w:ascii="Arial" w:hAnsi="Arial" w:cs="Arial"/>
          <w:color w:val="000000"/>
          <w:sz w:val="22"/>
          <w:szCs w:val="22"/>
        </w:rPr>
        <w:t>’s</w:t>
      </w:r>
      <w:r w:rsidRPr="00601B12">
        <w:rPr>
          <w:rFonts w:ascii="Arial" w:hAnsi="Arial" w:cs="Arial"/>
          <w:color w:val="000000"/>
          <w:sz w:val="22"/>
          <w:szCs w:val="22"/>
        </w:rPr>
        <w:t xml:space="preserve"> </w:t>
      </w:r>
      <w:r w:rsidR="005F10F7" w:rsidRPr="00601B12">
        <w:rPr>
          <w:rFonts w:ascii="Arial" w:hAnsi="Arial" w:cs="Arial"/>
          <w:color w:val="000000"/>
          <w:sz w:val="22"/>
          <w:szCs w:val="22"/>
        </w:rPr>
        <w:t>ISS</w:t>
      </w:r>
      <w:r w:rsidRPr="00601B12">
        <w:rPr>
          <w:rFonts w:ascii="Arial" w:hAnsi="Arial" w:cs="Arial"/>
          <w:color w:val="000000"/>
          <w:sz w:val="22"/>
          <w:szCs w:val="22"/>
        </w:rPr>
        <w:t xml:space="preserve"> can be found in Appendix </w:t>
      </w:r>
      <w:r w:rsidR="00DE4CA5">
        <w:rPr>
          <w:rFonts w:ascii="Arial" w:hAnsi="Arial" w:cs="Arial"/>
          <w:color w:val="000000"/>
          <w:sz w:val="22"/>
          <w:szCs w:val="22"/>
        </w:rPr>
        <w:t>4</w:t>
      </w:r>
      <w:r w:rsidRPr="00601B12">
        <w:rPr>
          <w:rFonts w:ascii="Arial" w:hAnsi="Arial" w:cs="Arial"/>
          <w:color w:val="000000"/>
          <w:sz w:val="22"/>
          <w:szCs w:val="22"/>
        </w:rPr>
        <w:t xml:space="preserve"> of this report.</w:t>
      </w:r>
    </w:p>
    <w:p w14:paraId="6D162348" w14:textId="77777777" w:rsidR="00C41C82" w:rsidRPr="00601B12" w:rsidRDefault="00C41C82" w:rsidP="004146ED">
      <w:pPr>
        <w:autoSpaceDE w:val="0"/>
        <w:autoSpaceDN w:val="0"/>
        <w:adjustRightInd w:val="0"/>
        <w:ind w:left="426" w:hanging="426"/>
        <w:jc w:val="both"/>
        <w:rPr>
          <w:rFonts w:ascii="Arial" w:hAnsi="Arial" w:cs="Arial"/>
          <w:color w:val="0070C0"/>
          <w:sz w:val="22"/>
          <w:szCs w:val="22"/>
        </w:rPr>
      </w:pPr>
    </w:p>
    <w:p w14:paraId="6D162349" w14:textId="77777777" w:rsidR="00EE7443" w:rsidRPr="00601B12" w:rsidRDefault="00EE7443" w:rsidP="00EE7443">
      <w:pPr>
        <w:pStyle w:val="ListParagraph"/>
        <w:autoSpaceDE w:val="0"/>
        <w:autoSpaceDN w:val="0"/>
        <w:adjustRightInd w:val="0"/>
        <w:spacing w:after="0" w:line="240" w:lineRule="auto"/>
        <w:ind w:left="426" w:hanging="426"/>
        <w:jc w:val="both"/>
        <w:rPr>
          <w:rFonts w:ascii="Arial" w:hAnsi="Arial" w:cs="Arial"/>
          <w:b/>
          <w:bCs/>
          <w:color w:val="0070C0"/>
        </w:rPr>
      </w:pPr>
      <w:r w:rsidRPr="00601B12">
        <w:rPr>
          <w:rFonts w:ascii="Arial" w:hAnsi="Arial" w:cs="Arial"/>
          <w:b/>
          <w:bCs/>
          <w:color w:val="0070C0"/>
        </w:rPr>
        <w:t>5.3</w:t>
      </w:r>
      <w:r w:rsidRPr="00601B12">
        <w:rPr>
          <w:rFonts w:ascii="Arial" w:hAnsi="Arial" w:cs="Arial"/>
          <w:b/>
          <w:bCs/>
          <w:color w:val="0070C0"/>
        </w:rPr>
        <w:tab/>
        <w:t xml:space="preserve">Monitoring the Investment Managers </w:t>
      </w:r>
    </w:p>
    <w:p w14:paraId="6D16234A" w14:textId="77777777" w:rsidR="00EE7443" w:rsidRPr="00601B12" w:rsidRDefault="00EE7443" w:rsidP="00EE7443">
      <w:pPr>
        <w:autoSpaceDE w:val="0"/>
        <w:autoSpaceDN w:val="0"/>
        <w:adjustRightInd w:val="0"/>
        <w:ind w:left="426" w:hanging="426"/>
        <w:jc w:val="both"/>
        <w:rPr>
          <w:rFonts w:ascii="Arial" w:hAnsi="Arial" w:cs="Arial"/>
          <w:b/>
          <w:bCs/>
          <w:color w:val="000000"/>
          <w:sz w:val="22"/>
          <w:szCs w:val="22"/>
        </w:rPr>
      </w:pPr>
    </w:p>
    <w:p w14:paraId="6D16234B" w14:textId="364276A7" w:rsidR="00EE7443" w:rsidRPr="00601B12" w:rsidRDefault="00EE7443" w:rsidP="00EE7443">
      <w:pPr>
        <w:autoSpaceDE w:val="0"/>
        <w:autoSpaceDN w:val="0"/>
        <w:adjustRightInd w:val="0"/>
        <w:ind w:left="426" w:hanging="426"/>
        <w:jc w:val="both"/>
        <w:rPr>
          <w:rFonts w:ascii="Arial" w:hAnsi="Arial" w:cs="Arial"/>
          <w:b/>
          <w:bCs/>
          <w:color w:val="000000"/>
          <w:sz w:val="22"/>
          <w:szCs w:val="22"/>
        </w:rPr>
      </w:pPr>
      <w:r w:rsidRPr="00601B12">
        <w:rPr>
          <w:rFonts w:ascii="Arial" w:hAnsi="Arial" w:cs="Arial"/>
          <w:bCs/>
          <w:color w:val="000000"/>
          <w:sz w:val="22"/>
          <w:szCs w:val="22"/>
        </w:rPr>
        <w:tab/>
        <w:t xml:space="preserve">Investment manager performance is measured by </w:t>
      </w:r>
      <w:r w:rsidR="00502C2B">
        <w:rPr>
          <w:rFonts w:ascii="Arial" w:hAnsi="Arial" w:cs="Arial"/>
          <w:bCs/>
          <w:color w:val="000000"/>
          <w:sz w:val="22"/>
          <w:szCs w:val="22"/>
        </w:rPr>
        <w:t>Northern Trust</w:t>
      </w:r>
      <w:r w:rsidRPr="00601B12">
        <w:rPr>
          <w:rFonts w:ascii="Arial" w:hAnsi="Arial" w:cs="Arial"/>
          <w:bCs/>
          <w:color w:val="000000"/>
          <w:sz w:val="22"/>
          <w:szCs w:val="22"/>
        </w:rPr>
        <w:t>. A summary of their report is included within the quarterly performance report taken to each Committee meeting. Council officers meet the investment managers regularly to review their investment performance.</w:t>
      </w:r>
    </w:p>
    <w:p w14:paraId="6D16234C" w14:textId="77777777" w:rsidR="00EE7443" w:rsidRPr="00601B12" w:rsidRDefault="00EE7443" w:rsidP="004146ED">
      <w:pPr>
        <w:autoSpaceDE w:val="0"/>
        <w:autoSpaceDN w:val="0"/>
        <w:adjustRightInd w:val="0"/>
        <w:ind w:left="426" w:hanging="426"/>
        <w:jc w:val="both"/>
        <w:rPr>
          <w:rFonts w:ascii="Arial" w:hAnsi="Arial" w:cs="Arial"/>
          <w:b/>
          <w:color w:val="0070C0"/>
          <w:sz w:val="22"/>
          <w:szCs w:val="22"/>
        </w:rPr>
      </w:pPr>
    </w:p>
    <w:p w14:paraId="6D16234D" w14:textId="77777777" w:rsidR="00C41C82" w:rsidRPr="00601B12" w:rsidRDefault="00EE48E9" w:rsidP="004146ED">
      <w:pPr>
        <w:autoSpaceDE w:val="0"/>
        <w:autoSpaceDN w:val="0"/>
        <w:adjustRightInd w:val="0"/>
        <w:ind w:left="426" w:hanging="426"/>
        <w:jc w:val="both"/>
        <w:rPr>
          <w:rFonts w:ascii="Arial" w:hAnsi="Arial" w:cs="Arial"/>
          <w:b/>
          <w:bCs/>
          <w:color w:val="0070C0"/>
          <w:sz w:val="22"/>
          <w:szCs w:val="22"/>
        </w:rPr>
      </w:pPr>
      <w:r w:rsidRPr="00601B12">
        <w:rPr>
          <w:rFonts w:ascii="Arial" w:hAnsi="Arial" w:cs="Arial"/>
          <w:b/>
          <w:color w:val="0070C0"/>
          <w:sz w:val="22"/>
          <w:szCs w:val="22"/>
        </w:rPr>
        <w:t>5</w:t>
      </w:r>
      <w:r w:rsidR="00C41C82" w:rsidRPr="00601B12">
        <w:rPr>
          <w:rFonts w:ascii="Arial" w:hAnsi="Arial" w:cs="Arial"/>
          <w:b/>
          <w:color w:val="0070C0"/>
          <w:sz w:val="22"/>
          <w:szCs w:val="22"/>
        </w:rPr>
        <w:t>.</w:t>
      </w:r>
      <w:r w:rsidR="00EE7443" w:rsidRPr="00601B12">
        <w:rPr>
          <w:rFonts w:ascii="Arial" w:hAnsi="Arial" w:cs="Arial"/>
          <w:b/>
          <w:color w:val="0070C0"/>
          <w:sz w:val="22"/>
          <w:szCs w:val="22"/>
        </w:rPr>
        <w:t>4</w:t>
      </w:r>
      <w:r w:rsidR="00C41C82" w:rsidRPr="00601B12">
        <w:rPr>
          <w:rFonts w:ascii="Arial" w:hAnsi="Arial" w:cs="Arial"/>
          <w:b/>
          <w:color w:val="0070C0"/>
          <w:sz w:val="22"/>
          <w:szCs w:val="22"/>
        </w:rPr>
        <w:tab/>
      </w:r>
      <w:r w:rsidR="00C41C82" w:rsidRPr="00601B12">
        <w:rPr>
          <w:rFonts w:ascii="Arial" w:hAnsi="Arial" w:cs="Arial"/>
          <w:b/>
          <w:bCs/>
          <w:color w:val="0070C0"/>
          <w:sz w:val="22"/>
          <w:szCs w:val="22"/>
        </w:rPr>
        <w:t>Asset Allocation and Structure</w:t>
      </w:r>
    </w:p>
    <w:p w14:paraId="6D16234E" w14:textId="77777777" w:rsidR="00C41C82" w:rsidRPr="00601B12" w:rsidRDefault="00C41C82" w:rsidP="004146ED">
      <w:pPr>
        <w:autoSpaceDE w:val="0"/>
        <w:autoSpaceDN w:val="0"/>
        <w:adjustRightInd w:val="0"/>
        <w:ind w:left="426" w:hanging="426"/>
        <w:jc w:val="both"/>
        <w:rPr>
          <w:rFonts w:ascii="Arial" w:hAnsi="Arial" w:cs="Arial"/>
          <w:b/>
          <w:bCs/>
          <w:color w:val="000000"/>
          <w:sz w:val="22"/>
          <w:szCs w:val="22"/>
        </w:rPr>
      </w:pPr>
    </w:p>
    <w:p w14:paraId="6D16234F" w14:textId="3E698FCB" w:rsidR="00486215" w:rsidRPr="00601B12" w:rsidRDefault="004146ED" w:rsidP="004146ED">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The investment portfolio is weighted towards equities together with holdings in property</w:t>
      </w:r>
      <w:r w:rsidR="00486215" w:rsidRPr="00601B12">
        <w:rPr>
          <w:rFonts w:ascii="Arial" w:hAnsi="Arial" w:cs="Arial"/>
          <w:color w:val="000000"/>
          <w:sz w:val="22"/>
          <w:szCs w:val="22"/>
        </w:rPr>
        <w:t xml:space="preserve">, </w:t>
      </w:r>
      <w:r w:rsidR="00C41C82" w:rsidRPr="00601B12">
        <w:rPr>
          <w:rFonts w:ascii="Arial" w:hAnsi="Arial" w:cs="Arial"/>
          <w:color w:val="000000"/>
          <w:sz w:val="22"/>
          <w:szCs w:val="22"/>
        </w:rPr>
        <w:t>bonds</w:t>
      </w:r>
      <w:r w:rsidR="00486215" w:rsidRPr="00601B12">
        <w:rPr>
          <w:rFonts w:ascii="Arial" w:hAnsi="Arial" w:cs="Arial"/>
          <w:color w:val="000000"/>
          <w:sz w:val="22"/>
          <w:szCs w:val="22"/>
        </w:rPr>
        <w:t xml:space="preserve">, </w:t>
      </w:r>
      <w:proofErr w:type="gramStart"/>
      <w:r w:rsidR="00486215" w:rsidRPr="00601B12">
        <w:rPr>
          <w:rFonts w:ascii="Arial" w:hAnsi="Arial" w:cs="Arial"/>
          <w:color w:val="000000"/>
          <w:sz w:val="22"/>
          <w:szCs w:val="22"/>
        </w:rPr>
        <w:t>infrastructure</w:t>
      </w:r>
      <w:proofErr w:type="gramEnd"/>
      <w:r w:rsidR="00486215" w:rsidRPr="00601B12">
        <w:rPr>
          <w:rFonts w:ascii="Arial" w:hAnsi="Arial" w:cs="Arial"/>
          <w:color w:val="000000"/>
          <w:sz w:val="22"/>
          <w:szCs w:val="22"/>
        </w:rPr>
        <w:t xml:space="preserve"> and absolute return mandates</w:t>
      </w:r>
      <w:r w:rsidR="00C41C82" w:rsidRPr="00601B12">
        <w:rPr>
          <w:rFonts w:ascii="Arial" w:hAnsi="Arial" w:cs="Arial"/>
          <w:color w:val="000000"/>
          <w:sz w:val="22"/>
          <w:szCs w:val="22"/>
        </w:rPr>
        <w:t xml:space="preserve">. The risk of holding substantial equity investments is mitigated by investing in different markets across the world in many different sectors and stocks. The Fund investments are allocated to </w:t>
      </w:r>
      <w:r w:rsidR="00486215" w:rsidRPr="00601B12">
        <w:rPr>
          <w:rFonts w:ascii="Arial" w:hAnsi="Arial" w:cs="Arial"/>
          <w:color w:val="000000"/>
          <w:sz w:val="22"/>
          <w:szCs w:val="22"/>
        </w:rPr>
        <w:t>eleven</w:t>
      </w:r>
      <w:r w:rsidR="00C41C82" w:rsidRPr="00601B12">
        <w:rPr>
          <w:rFonts w:ascii="Arial" w:hAnsi="Arial" w:cs="Arial"/>
          <w:color w:val="000000"/>
          <w:sz w:val="22"/>
          <w:szCs w:val="22"/>
        </w:rPr>
        <w:t xml:space="preserve"> fund managers and within different investment types to further diversify risk. </w:t>
      </w:r>
    </w:p>
    <w:p w14:paraId="72BE4013" w14:textId="3785CFD7" w:rsidR="001D0D93" w:rsidRPr="00E35F96" w:rsidRDefault="001D0D93" w:rsidP="00E35F96">
      <w:pPr>
        <w:autoSpaceDE w:val="0"/>
        <w:autoSpaceDN w:val="0"/>
        <w:adjustRightInd w:val="0"/>
        <w:jc w:val="both"/>
        <w:rPr>
          <w:rFonts w:ascii="Arial" w:hAnsi="Arial" w:cs="Arial"/>
          <w:color w:val="000000"/>
        </w:rPr>
      </w:pPr>
    </w:p>
    <w:p w14:paraId="6D162350" w14:textId="77777777" w:rsidR="00486215" w:rsidRPr="00601B12" w:rsidRDefault="00486215" w:rsidP="004146ED">
      <w:pPr>
        <w:autoSpaceDE w:val="0"/>
        <w:autoSpaceDN w:val="0"/>
        <w:adjustRightInd w:val="0"/>
        <w:ind w:left="426" w:hanging="426"/>
        <w:jc w:val="both"/>
        <w:rPr>
          <w:rFonts w:ascii="Arial" w:hAnsi="Arial" w:cs="Arial"/>
          <w:color w:val="000000"/>
          <w:sz w:val="22"/>
          <w:szCs w:val="22"/>
        </w:rPr>
      </w:pPr>
    </w:p>
    <w:p w14:paraId="6D162352" w14:textId="77777777" w:rsidR="00EE7443" w:rsidRPr="00601B12" w:rsidRDefault="00EE7443" w:rsidP="00E35F96">
      <w:pPr>
        <w:autoSpaceDE w:val="0"/>
        <w:autoSpaceDN w:val="0"/>
        <w:adjustRightInd w:val="0"/>
        <w:jc w:val="both"/>
        <w:rPr>
          <w:rFonts w:ascii="Arial" w:hAnsi="Arial" w:cs="Arial"/>
          <w:color w:val="000000"/>
          <w:sz w:val="22"/>
          <w:szCs w:val="22"/>
        </w:rPr>
      </w:pPr>
    </w:p>
    <w:p w14:paraId="6D162353" w14:textId="77777777" w:rsidR="00C41C82" w:rsidRPr="00601B12" w:rsidRDefault="004146ED" w:rsidP="004146ED">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Table </w:t>
      </w:r>
      <w:r w:rsidR="00767E84" w:rsidRPr="00601B12">
        <w:rPr>
          <w:rFonts w:ascii="Arial" w:hAnsi="Arial" w:cs="Arial"/>
          <w:color w:val="000000"/>
          <w:sz w:val="22"/>
          <w:szCs w:val="22"/>
        </w:rPr>
        <w:t>4</w:t>
      </w:r>
      <w:r w:rsidR="00C41C82" w:rsidRPr="00601B12">
        <w:rPr>
          <w:rFonts w:ascii="Arial" w:hAnsi="Arial" w:cs="Arial"/>
          <w:color w:val="000000"/>
          <w:sz w:val="22"/>
          <w:szCs w:val="22"/>
        </w:rPr>
        <w:t xml:space="preserve"> shows the Fund’s investment portfolio by type</w:t>
      </w:r>
      <w:r w:rsidR="00486215" w:rsidRPr="00601B12">
        <w:rPr>
          <w:rFonts w:ascii="Arial" w:hAnsi="Arial" w:cs="Arial"/>
          <w:color w:val="000000"/>
          <w:sz w:val="22"/>
          <w:szCs w:val="22"/>
        </w:rPr>
        <w:t>, weighting and benchmark:</w:t>
      </w:r>
    </w:p>
    <w:p w14:paraId="6D162354" w14:textId="77777777" w:rsidR="00486215" w:rsidRPr="00601B12" w:rsidRDefault="004146ED" w:rsidP="0091026A">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ab/>
      </w:r>
    </w:p>
    <w:p w14:paraId="6D162355" w14:textId="6EFAA2E5" w:rsidR="00C41C82" w:rsidRPr="00601B12" w:rsidRDefault="00486215" w:rsidP="004146ED">
      <w:pPr>
        <w:autoSpaceDE w:val="0"/>
        <w:autoSpaceDN w:val="0"/>
        <w:adjustRightInd w:val="0"/>
        <w:ind w:left="426"/>
        <w:rPr>
          <w:rFonts w:ascii="Arial" w:hAnsi="Arial" w:cs="Arial"/>
          <w:b/>
          <w:color w:val="000000"/>
          <w:sz w:val="22"/>
          <w:szCs w:val="22"/>
        </w:rPr>
      </w:pPr>
      <w:r w:rsidRPr="00601B12">
        <w:rPr>
          <w:rFonts w:ascii="Arial" w:hAnsi="Arial" w:cs="Arial"/>
          <w:b/>
          <w:color w:val="000000"/>
          <w:sz w:val="22"/>
          <w:szCs w:val="22"/>
        </w:rPr>
        <w:t xml:space="preserve">Table </w:t>
      </w:r>
      <w:r w:rsidR="00767E84" w:rsidRPr="00601B12">
        <w:rPr>
          <w:rFonts w:ascii="Arial" w:hAnsi="Arial" w:cs="Arial"/>
          <w:b/>
          <w:color w:val="000000"/>
          <w:sz w:val="22"/>
          <w:szCs w:val="22"/>
        </w:rPr>
        <w:t>4</w:t>
      </w:r>
      <w:r w:rsidRPr="00601B12">
        <w:rPr>
          <w:rFonts w:ascii="Arial" w:hAnsi="Arial" w:cs="Arial"/>
          <w:b/>
          <w:color w:val="000000"/>
          <w:sz w:val="22"/>
          <w:szCs w:val="22"/>
        </w:rPr>
        <w:t>: Fund Asset Allocation an</w:t>
      </w:r>
      <w:r w:rsidR="001E5613" w:rsidRPr="00601B12">
        <w:rPr>
          <w:rFonts w:ascii="Arial" w:hAnsi="Arial" w:cs="Arial"/>
          <w:b/>
          <w:color w:val="000000"/>
          <w:sz w:val="22"/>
          <w:szCs w:val="22"/>
        </w:rPr>
        <w:t xml:space="preserve">d Benchmarks as </w:t>
      </w:r>
      <w:proofErr w:type="gramStart"/>
      <w:r w:rsidR="001E5613" w:rsidRPr="00601B12">
        <w:rPr>
          <w:rFonts w:ascii="Arial" w:hAnsi="Arial" w:cs="Arial"/>
          <w:b/>
          <w:color w:val="000000"/>
          <w:sz w:val="22"/>
          <w:szCs w:val="22"/>
        </w:rPr>
        <w:t>at</w:t>
      </w:r>
      <w:proofErr w:type="gramEnd"/>
      <w:r w:rsidR="001E5613" w:rsidRPr="00601B12">
        <w:rPr>
          <w:rFonts w:ascii="Arial" w:hAnsi="Arial" w:cs="Arial"/>
          <w:b/>
          <w:color w:val="000000"/>
          <w:sz w:val="22"/>
          <w:szCs w:val="22"/>
        </w:rPr>
        <w:t xml:space="preserve"> </w:t>
      </w:r>
      <w:r w:rsidR="00453250">
        <w:rPr>
          <w:rFonts w:ascii="Arial" w:hAnsi="Arial" w:cs="Arial"/>
          <w:b/>
          <w:color w:val="000000"/>
          <w:sz w:val="22"/>
          <w:szCs w:val="22"/>
        </w:rPr>
        <w:t>31 March 202</w:t>
      </w:r>
      <w:r w:rsidR="00A36AA2">
        <w:rPr>
          <w:rFonts w:ascii="Arial" w:hAnsi="Arial" w:cs="Arial"/>
          <w:b/>
          <w:color w:val="000000"/>
          <w:sz w:val="22"/>
          <w:szCs w:val="22"/>
        </w:rPr>
        <w:t>2</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134"/>
        <w:gridCol w:w="1423"/>
        <w:gridCol w:w="3018"/>
      </w:tblGrid>
      <w:tr w:rsidR="004714DF" w:rsidRPr="00601B12" w14:paraId="6D16235A" w14:textId="77777777" w:rsidTr="0076066D">
        <w:trPr>
          <w:trHeight w:val="274"/>
          <w:jc w:val="center"/>
        </w:trPr>
        <w:tc>
          <w:tcPr>
            <w:tcW w:w="3969" w:type="dxa"/>
            <w:shd w:val="clear" w:color="auto" w:fill="FF0000"/>
            <w:vAlign w:val="center"/>
          </w:tcPr>
          <w:p w14:paraId="6D162356" w14:textId="77777777" w:rsidR="00AB6242" w:rsidRPr="00601B12" w:rsidRDefault="00AB6242" w:rsidP="00EE7443">
            <w:pPr>
              <w:autoSpaceDE w:val="0"/>
              <w:autoSpaceDN w:val="0"/>
              <w:adjustRightInd w:val="0"/>
              <w:ind w:right="-250"/>
              <w:jc w:val="center"/>
              <w:rPr>
                <w:rFonts w:ascii="Arial" w:hAnsi="Arial" w:cs="Arial"/>
                <w:b/>
                <w:bCs/>
                <w:color w:val="FFFFFF" w:themeColor="background1"/>
              </w:rPr>
            </w:pPr>
            <w:r w:rsidRPr="00601B12">
              <w:rPr>
                <w:rFonts w:ascii="Arial" w:hAnsi="Arial" w:cs="Arial"/>
                <w:b/>
                <w:bCs/>
                <w:color w:val="FFFFFF" w:themeColor="background1"/>
                <w:sz w:val="22"/>
                <w:szCs w:val="22"/>
              </w:rPr>
              <w:t>Investment Manager</w:t>
            </w:r>
          </w:p>
        </w:tc>
        <w:tc>
          <w:tcPr>
            <w:tcW w:w="1134" w:type="dxa"/>
            <w:shd w:val="clear" w:color="auto" w:fill="FF0000"/>
            <w:vAlign w:val="center"/>
          </w:tcPr>
          <w:p w14:paraId="6D162357" w14:textId="77777777" w:rsidR="00AB6242" w:rsidRPr="00601B12" w:rsidRDefault="00AB6242" w:rsidP="00AB6242">
            <w:pPr>
              <w:autoSpaceDE w:val="0"/>
              <w:autoSpaceDN w:val="0"/>
              <w:adjustRightInd w:val="0"/>
              <w:jc w:val="center"/>
              <w:rPr>
                <w:rFonts w:ascii="Arial" w:hAnsi="Arial" w:cs="Arial"/>
                <w:b/>
                <w:color w:val="FFFFFF" w:themeColor="background1"/>
              </w:rPr>
            </w:pPr>
            <w:r w:rsidRPr="00601B12">
              <w:rPr>
                <w:rFonts w:ascii="Arial" w:hAnsi="Arial" w:cs="Arial"/>
                <w:b/>
                <w:color w:val="FFFFFF" w:themeColor="background1"/>
                <w:sz w:val="22"/>
                <w:szCs w:val="22"/>
              </w:rPr>
              <w:t>Mandate</w:t>
            </w:r>
          </w:p>
        </w:tc>
        <w:tc>
          <w:tcPr>
            <w:tcW w:w="1423" w:type="dxa"/>
            <w:shd w:val="clear" w:color="auto" w:fill="FF0000"/>
          </w:tcPr>
          <w:p w14:paraId="6D162358" w14:textId="77777777" w:rsidR="008D2849" w:rsidRPr="00601B12" w:rsidRDefault="00AB6242" w:rsidP="00EE7443">
            <w:pPr>
              <w:autoSpaceDE w:val="0"/>
              <w:autoSpaceDN w:val="0"/>
              <w:adjustRightInd w:val="0"/>
              <w:jc w:val="center"/>
              <w:rPr>
                <w:rFonts w:ascii="Arial" w:hAnsi="Arial" w:cs="Arial"/>
                <w:b/>
                <w:color w:val="FFFFFF" w:themeColor="background1"/>
              </w:rPr>
            </w:pPr>
            <w:r w:rsidRPr="00601B12">
              <w:rPr>
                <w:rFonts w:ascii="Arial" w:hAnsi="Arial" w:cs="Arial"/>
                <w:b/>
                <w:color w:val="FFFFFF" w:themeColor="background1"/>
                <w:sz w:val="22"/>
                <w:szCs w:val="22"/>
              </w:rPr>
              <w:t>Asset Allocation</w:t>
            </w:r>
            <w:r w:rsidR="00EE7443" w:rsidRPr="00601B12">
              <w:rPr>
                <w:rFonts w:ascii="Arial" w:hAnsi="Arial" w:cs="Arial"/>
                <w:b/>
                <w:color w:val="FFFFFF" w:themeColor="background1"/>
                <w:sz w:val="22"/>
                <w:szCs w:val="22"/>
              </w:rPr>
              <w:t xml:space="preserve"> (%)</w:t>
            </w:r>
          </w:p>
        </w:tc>
        <w:tc>
          <w:tcPr>
            <w:tcW w:w="3018" w:type="dxa"/>
            <w:shd w:val="clear" w:color="auto" w:fill="FF0000"/>
            <w:vAlign w:val="center"/>
          </w:tcPr>
          <w:p w14:paraId="6D162359" w14:textId="77777777" w:rsidR="00AB6242" w:rsidRPr="00601B12" w:rsidRDefault="00AB6242" w:rsidP="00AB6242">
            <w:pPr>
              <w:autoSpaceDE w:val="0"/>
              <w:autoSpaceDN w:val="0"/>
              <w:adjustRightInd w:val="0"/>
              <w:jc w:val="center"/>
              <w:rPr>
                <w:rFonts w:ascii="Arial" w:hAnsi="Arial" w:cs="Arial"/>
                <w:b/>
                <w:color w:val="FFFFFF" w:themeColor="background1"/>
              </w:rPr>
            </w:pPr>
            <w:r w:rsidRPr="00601B12">
              <w:rPr>
                <w:rFonts w:ascii="Arial" w:hAnsi="Arial" w:cs="Arial"/>
                <w:b/>
                <w:color w:val="FFFFFF" w:themeColor="background1"/>
                <w:sz w:val="22"/>
                <w:szCs w:val="22"/>
              </w:rPr>
              <w:t>Investment Area</w:t>
            </w:r>
          </w:p>
        </w:tc>
      </w:tr>
      <w:tr w:rsidR="004714DF" w:rsidRPr="00601B12" w14:paraId="6D16235F" w14:textId="77777777" w:rsidTr="0076066D">
        <w:trPr>
          <w:trHeight w:val="226"/>
          <w:jc w:val="center"/>
        </w:trPr>
        <w:tc>
          <w:tcPr>
            <w:tcW w:w="3969" w:type="dxa"/>
            <w:vAlign w:val="bottom"/>
          </w:tcPr>
          <w:p w14:paraId="6D16235B" w14:textId="254D4827" w:rsidR="001906A8" w:rsidRPr="001906A8" w:rsidRDefault="001906A8" w:rsidP="0066684B">
            <w:pPr>
              <w:ind w:right="-108"/>
              <w:rPr>
                <w:rFonts w:ascii="Arial" w:hAnsi="Arial" w:cs="Arial"/>
                <w:color w:val="000000"/>
                <w:sz w:val="22"/>
                <w:szCs w:val="22"/>
              </w:rPr>
            </w:pPr>
            <w:proofErr w:type="spellStart"/>
            <w:r>
              <w:rPr>
                <w:rFonts w:ascii="Arial" w:hAnsi="Arial" w:cs="Arial"/>
                <w:color w:val="000000"/>
                <w:sz w:val="22"/>
                <w:szCs w:val="22"/>
              </w:rPr>
              <w:t>Abrd</w:t>
            </w:r>
            <w:r w:rsidR="00520326">
              <w:rPr>
                <w:rFonts w:ascii="Arial" w:hAnsi="Arial" w:cs="Arial"/>
                <w:color w:val="000000"/>
                <w:sz w:val="22"/>
                <w:szCs w:val="22"/>
              </w:rPr>
              <w:t>n</w:t>
            </w:r>
            <w:proofErr w:type="spellEnd"/>
            <w:r w:rsidR="00520326">
              <w:rPr>
                <w:rFonts w:ascii="Arial" w:hAnsi="Arial" w:cs="Arial"/>
                <w:color w:val="000000"/>
                <w:sz w:val="22"/>
                <w:szCs w:val="22"/>
              </w:rPr>
              <w:t xml:space="preserve"> </w:t>
            </w:r>
          </w:p>
        </w:tc>
        <w:tc>
          <w:tcPr>
            <w:tcW w:w="1134" w:type="dxa"/>
            <w:vAlign w:val="bottom"/>
          </w:tcPr>
          <w:p w14:paraId="6D16235C" w14:textId="2072D909" w:rsidR="0066684B" w:rsidRPr="00601B12" w:rsidRDefault="0066684B" w:rsidP="0066684B">
            <w:pPr>
              <w:jc w:val="center"/>
              <w:rPr>
                <w:rFonts w:ascii="Arial" w:hAnsi="Arial" w:cs="Arial"/>
                <w:color w:val="000000"/>
              </w:rPr>
            </w:pPr>
            <w:r w:rsidRPr="00601B12">
              <w:rPr>
                <w:rFonts w:ascii="Arial" w:hAnsi="Arial" w:cs="Arial"/>
                <w:color w:val="000000"/>
                <w:sz w:val="22"/>
                <w:szCs w:val="22"/>
              </w:rPr>
              <w:t>Active</w:t>
            </w:r>
          </w:p>
        </w:tc>
        <w:tc>
          <w:tcPr>
            <w:tcW w:w="1423" w:type="dxa"/>
          </w:tcPr>
          <w:p w14:paraId="6D16235D" w14:textId="039B948A" w:rsidR="0066684B" w:rsidRPr="00601B12" w:rsidRDefault="00A976E3" w:rsidP="0066684B">
            <w:pPr>
              <w:jc w:val="center"/>
              <w:rPr>
                <w:rFonts w:ascii="Arial" w:hAnsi="Arial" w:cs="Arial"/>
                <w:color w:val="000000"/>
                <w:sz w:val="22"/>
                <w:szCs w:val="22"/>
              </w:rPr>
            </w:pPr>
            <w:r>
              <w:rPr>
                <w:rFonts w:ascii="Arial" w:hAnsi="Arial" w:cs="Arial"/>
                <w:color w:val="000000"/>
                <w:sz w:val="22"/>
                <w:szCs w:val="22"/>
              </w:rPr>
              <w:t>10.7%</w:t>
            </w:r>
          </w:p>
        </w:tc>
        <w:tc>
          <w:tcPr>
            <w:tcW w:w="3018" w:type="dxa"/>
            <w:vAlign w:val="bottom"/>
          </w:tcPr>
          <w:p w14:paraId="6D16235E" w14:textId="30AC6B37" w:rsidR="0066684B" w:rsidRPr="00601B12" w:rsidRDefault="0066684B" w:rsidP="0066684B">
            <w:pPr>
              <w:rPr>
                <w:rFonts w:ascii="Arial" w:hAnsi="Arial" w:cs="Arial"/>
                <w:color w:val="000000"/>
              </w:rPr>
            </w:pPr>
            <w:r w:rsidRPr="00601B12">
              <w:rPr>
                <w:rFonts w:ascii="Arial" w:hAnsi="Arial" w:cs="Arial"/>
                <w:color w:val="000000"/>
                <w:sz w:val="22"/>
                <w:szCs w:val="22"/>
              </w:rPr>
              <w:t>Diversified Alternatives</w:t>
            </w:r>
          </w:p>
        </w:tc>
      </w:tr>
      <w:tr w:rsidR="004714DF" w:rsidRPr="00601B12" w14:paraId="6D162364" w14:textId="77777777" w:rsidTr="0076066D">
        <w:trPr>
          <w:trHeight w:val="226"/>
          <w:jc w:val="center"/>
        </w:trPr>
        <w:tc>
          <w:tcPr>
            <w:tcW w:w="3969" w:type="dxa"/>
            <w:vAlign w:val="bottom"/>
          </w:tcPr>
          <w:p w14:paraId="6D162360" w14:textId="6199E86E" w:rsidR="0066684B" w:rsidRPr="00601B12" w:rsidRDefault="0066684B" w:rsidP="0066684B">
            <w:pPr>
              <w:rPr>
                <w:rFonts w:ascii="Arial" w:hAnsi="Arial" w:cs="Arial"/>
                <w:color w:val="000000"/>
              </w:rPr>
            </w:pPr>
            <w:r w:rsidRPr="00601B12">
              <w:rPr>
                <w:rFonts w:ascii="Arial" w:hAnsi="Arial" w:cs="Arial"/>
                <w:color w:val="000000"/>
                <w:sz w:val="22"/>
                <w:szCs w:val="22"/>
              </w:rPr>
              <w:t>BlackRock</w:t>
            </w:r>
          </w:p>
        </w:tc>
        <w:tc>
          <w:tcPr>
            <w:tcW w:w="1134" w:type="dxa"/>
            <w:vAlign w:val="bottom"/>
          </w:tcPr>
          <w:p w14:paraId="6D162361" w14:textId="6876C0CA" w:rsidR="0066684B" w:rsidRPr="00601B12" w:rsidRDefault="0066684B" w:rsidP="0066684B">
            <w:pPr>
              <w:jc w:val="center"/>
              <w:rPr>
                <w:rFonts w:ascii="Arial" w:hAnsi="Arial" w:cs="Arial"/>
                <w:color w:val="000000"/>
              </w:rPr>
            </w:pPr>
            <w:r w:rsidRPr="00601B12">
              <w:rPr>
                <w:rFonts w:ascii="Arial" w:hAnsi="Arial" w:cs="Arial"/>
                <w:color w:val="000000"/>
                <w:sz w:val="22"/>
                <w:szCs w:val="22"/>
              </w:rPr>
              <w:t>Active</w:t>
            </w:r>
          </w:p>
        </w:tc>
        <w:tc>
          <w:tcPr>
            <w:tcW w:w="1423" w:type="dxa"/>
          </w:tcPr>
          <w:p w14:paraId="6D162362" w14:textId="78047341" w:rsidR="0066684B" w:rsidRPr="00601B12" w:rsidRDefault="005F73F9" w:rsidP="0066684B">
            <w:pPr>
              <w:jc w:val="center"/>
              <w:rPr>
                <w:rFonts w:ascii="Arial" w:hAnsi="Arial" w:cs="Arial"/>
                <w:color w:val="000000"/>
                <w:sz w:val="22"/>
                <w:szCs w:val="22"/>
              </w:rPr>
            </w:pPr>
            <w:r>
              <w:rPr>
                <w:rFonts w:ascii="Arial" w:hAnsi="Arial" w:cs="Arial"/>
                <w:color w:val="000000"/>
                <w:sz w:val="22"/>
                <w:szCs w:val="22"/>
              </w:rPr>
              <w:t>4.3%</w:t>
            </w:r>
          </w:p>
        </w:tc>
        <w:tc>
          <w:tcPr>
            <w:tcW w:w="3018" w:type="dxa"/>
            <w:vAlign w:val="bottom"/>
          </w:tcPr>
          <w:p w14:paraId="6D162363" w14:textId="54DCF6C5" w:rsidR="0066684B" w:rsidRPr="00601B12" w:rsidRDefault="0066684B" w:rsidP="0066684B">
            <w:pPr>
              <w:rPr>
                <w:rFonts w:ascii="Arial" w:hAnsi="Arial" w:cs="Arial"/>
                <w:color w:val="000000"/>
              </w:rPr>
            </w:pPr>
            <w:r w:rsidRPr="00601B12">
              <w:rPr>
                <w:rFonts w:ascii="Arial" w:hAnsi="Arial" w:cs="Arial"/>
                <w:color w:val="000000"/>
                <w:sz w:val="22"/>
                <w:szCs w:val="22"/>
              </w:rPr>
              <w:t>Property Investments (UK)</w:t>
            </w:r>
          </w:p>
        </w:tc>
      </w:tr>
      <w:tr w:rsidR="004714DF" w:rsidRPr="00601B12" w14:paraId="6D162369" w14:textId="77777777" w:rsidTr="0076066D">
        <w:trPr>
          <w:trHeight w:val="226"/>
          <w:jc w:val="center"/>
        </w:trPr>
        <w:tc>
          <w:tcPr>
            <w:tcW w:w="3969" w:type="dxa"/>
            <w:tcBorders>
              <w:top w:val="single" w:sz="4" w:space="0" w:color="auto"/>
              <w:left w:val="single" w:sz="4" w:space="0" w:color="auto"/>
              <w:bottom w:val="single" w:sz="4" w:space="0" w:color="auto"/>
              <w:right w:val="single" w:sz="4" w:space="0" w:color="auto"/>
            </w:tcBorders>
            <w:vAlign w:val="bottom"/>
          </w:tcPr>
          <w:p w14:paraId="6D162365" w14:textId="13F640D5" w:rsidR="000B6E10" w:rsidRPr="00601B12" w:rsidRDefault="00C64A1B" w:rsidP="000B6E10">
            <w:pPr>
              <w:rPr>
                <w:rFonts w:ascii="Arial" w:hAnsi="Arial" w:cs="Arial"/>
                <w:color w:val="000000"/>
              </w:rPr>
            </w:pPr>
            <w:r>
              <w:rPr>
                <w:rFonts w:ascii="Arial" w:hAnsi="Arial" w:cs="Arial"/>
                <w:color w:val="000000"/>
                <w:sz w:val="22"/>
                <w:szCs w:val="22"/>
              </w:rPr>
              <w:t>Insight</w:t>
            </w:r>
          </w:p>
        </w:tc>
        <w:tc>
          <w:tcPr>
            <w:tcW w:w="1134" w:type="dxa"/>
            <w:tcBorders>
              <w:top w:val="single" w:sz="4" w:space="0" w:color="auto"/>
              <w:left w:val="single" w:sz="4" w:space="0" w:color="auto"/>
              <w:bottom w:val="single" w:sz="4" w:space="0" w:color="auto"/>
              <w:right w:val="single" w:sz="4" w:space="0" w:color="auto"/>
            </w:tcBorders>
            <w:vAlign w:val="bottom"/>
          </w:tcPr>
          <w:p w14:paraId="6D162366" w14:textId="12317F63" w:rsidR="000B6E10" w:rsidRPr="00601B12" w:rsidRDefault="000B6E10" w:rsidP="000B6E10">
            <w:pPr>
              <w:jc w:val="center"/>
              <w:rPr>
                <w:rFonts w:ascii="Arial" w:hAnsi="Arial" w:cs="Arial"/>
                <w:color w:val="000000"/>
              </w:rPr>
            </w:pPr>
            <w:r w:rsidRPr="00601B12">
              <w:rPr>
                <w:rFonts w:ascii="Arial" w:hAnsi="Arial" w:cs="Arial"/>
                <w:color w:val="000000"/>
                <w:sz w:val="22"/>
                <w:szCs w:val="22"/>
              </w:rPr>
              <w:t>Active</w:t>
            </w:r>
          </w:p>
        </w:tc>
        <w:tc>
          <w:tcPr>
            <w:tcW w:w="1423" w:type="dxa"/>
            <w:tcBorders>
              <w:top w:val="single" w:sz="4" w:space="0" w:color="auto"/>
              <w:left w:val="single" w:sz="4" w:space="0" w:color="auto"/>
              <w:bottom w:val="single" w:sz="4" w:space="0" w:color="auto"/>
              <w:right w:val="single" w:sz="4" w:space="0" w:color="auto"/>
            </w:tcBorders>
            <w:vAlign w:val="bottom"/>
          </w:tcPr>
          <w:p w14:paraId="6D162367" w14:textId="178271F9" w:rsidR="000B6E10" w:rsidRPr="00601B12" w:rsidRDefault="00C64A1B" w:rsidP="000B6E10">
            <w:pPr>
              <w:jc w:val="center"/>
              <w:rPr>
                <w:rFonts w:ascii="Arial" w:hAnsi="Arial" w:cs="Arial"/>
                <w:color w:val="000000"/>
                <w:sz w:val="22"/>
                <w:szCs w:val="22"/>
              </w:rPr>
            </w:pPr>
            <w:r>
              <w:rPr>
                <w:rFonts w:ascii="Arial" w:hAnsi="Arial" w:cs="Arial"/>
                <w:color w:val="000000"/>
                <w:sz w:val="22"/>
                <w:szCs w:val="22"/>
              </w:rPr>
              <w:t>4.8%</w:t>
            </w:r>
          </w:p>
        </w:tc>
        <w:tc>
          <w:tcPr>
            <w:tcW w:w="3018" w:type="dxa"/>
            <w:tcBorders>
              <w:top w:val="single" w:sz="4" w:space="0" w:color="auto"/>
              <w:left w:val="single" w:sz="4" w:space="0" w:color="auto"/>
              <w:bottom w:val="single" w:sz="4" w:space="0" w:color="auto"/>
              <w:right w:val="single" w:sz="4" w:space="0" w:color="auto"/>
            </w:tcBorders>
            <w:vAlign w:val="bottom"/>
          </w:tcPr>
          <w:p w14:paraId="6D162368" w14:textId="1DFA8966" w:rsidR="000B6E10" w:rsidRPr="00601B12" w:rsidRDefault="000B6E10" w:rsidP="000B6E10">
            <w:pPr>
              <w:rPr>
                <w:rFonts w:ascii="Arial" w:hAnsi="Arial" w:cs="Arial"/>
                <w:color w:val="000000"/>
              </w:rPr>
            </w:pPr>
            <w:r w:rsidRPr="00601B12">
              <w:rPr>
                <w:rFonts w:ascii="Arial" w:hAnsi="Arial" w:cs="Arial"/>
                <w:color w:val="000000"/>
                <w:sz w:val="22"/>
                <w:szCs w:val="22"/>
              </w:rPr>
              <w:t xml:space="preserve">Global Credit </w:t>
            </w:r>
          </w:p>
        </w:tc>
      </w:tr>
      <w:tr w:rsidR="004714DF" w:rsidRPr="00601B12" w14:paraId="6D16236E" w14:textId="77777777" w:rsidTr="0076066D">
        <w:trPr>
          <w:trHeight w:val="226"/>
          <w:jc w:val="center"/>
        </w:trPr>
        <w:tc>
          <w:tcPr>
            <w:tcW w:w="3969" w:type="dxa"/>
            <w:vAlign w:val="bottom"/>
          </w:tcPr>
          <w:p w14:paraId="6D16236A" w14:textId="2F75D550" w:rsidR="000B6E10" w:rsidRPr="00601B12" w:rsidRDefault="000B6E10" w:rsidP="000B6E10">
            <w:pPr>
              <w:rPr>
                <w:rFonts w:ascii="Arial" w:hAnsi="Arial" w:cs="Arial"/>
                <w:color w:val="000000"/>
              </w:rPr>
            </w:pPr>
            <w:r w:rsidRPr="00601B12">
              <w:rPr>
                <w:rFonts w:ascii="Arial" w:hAnsi="Arial" w:cs="Arial"/>
                <w:color w:val="000000"/>
                <w:sz w:val="22"/>
                <w:szCs w:val="22"/>
              </w:rPr>
              <w:t>Hermes</w:t>
            </w:r>
          </w:p>
        </w:tc>
        <w:tc>
          <w:tcPr>
            <w:tcW w:w="1134" w:type="dxa"/>
            <w:vAlign w:val="bottom"/>
          </w:tcPr>
          <w:p w14:paraId="6D16236B" w14:textId="56852DEF" w:rsidR="000B6E10" w:rsidRPr="00601B12" w:rsidRDefault="000B6E10" w:rsidP="000B6E10">
            <w:pPr>
              <w:jc w:val="center"/>
              <w:rPr>
                <w:rFonts w:ascii="Arial" w:hAnsi="Arial" w:cs="Arial"/>
                <w:color w:val="000000"/>
              </w:rPr>
            </w:pPr>
            <w:r w:rsidRPr="00601B12">
              <w:rPr>
                <w:rFonts w:ascii="Arial" w:hAnsi="Arial" w:cs="Arial"/>
                <w:color w:val="000000"/>
                <w:sz w:val="22"/>
                <w:szCs w:val="22"/>
              </w:rPr>
              <w:t>Active</w:t>
            </w:r>
          </w:p>
        </w:tc>
        <w:tc>
          <w:tcPr>
            <w:tcW w:w="1423" w:type="dxa"/>
            <w:vAlign w:val="bottom"/>
          </w:tcPr>
          <w:p w14:paraId="6D16236C" w14:textId="459BA2F6" w:rsidR="000B6E10" w:rsidRPr="00601B12" w:rsidRDefault="00FC0D3C" w:rsidP="000B6E10">
            <w:pPr>
              <w:jc w:val="center"/>
              <w:rPr>
                <w:rFonts w:ascii="Arial" w:hAnsi="Arial" w:cs="Arial"/>
                <w:color w:val="000000"/>
                <w:sz w:val="22"/>
                <w:szCs w:val="22"/>
              </w:rPr>
            </w:pPr>
            <w:r>
              <w:rPr>
                <w:rFonts w:ascii="Arial" w:hAnsi="Arial" w:cs="Arial"/>
                <w:color w:val="000000"/>
                <w:sz w:val="22"/>
                <w:szCs w:val="22"/>
              </w:rPr>
              <w:t>7.5%</w:t>
            </w:r>
          </w:p>
        </w:tc>
        <w:tc>
          <w:tcPr>
            <w:tcW w:w="3018" w:type="dxa"/>
            <w:vAlign w:val="bottom"/>
          </w:tcPr>
          <w:p w14:paraId="6D16236D" w14:textId="0C76F8CA" w:rsidR="000B6E10" w:rsidRPr="00601B12" w:rsidRDefault="000B6E10" w:rsidP="000B6E10">
            <w:pPr>
              <w:rPr>
                <w:rFonts w:ascii="Arial" w:hAnsi="Arial" w:cs="Arial"/>
                <w:color w:val="000000"/>
              </w:rPr>
            </w:pPr>
            <w:r w:rsidRPr="00601B12">
              <w:rPr>
                <w:rFonts w:ascii="Arial" w:hAnsi="Arial" w:cs="Arial"/>
                <w:color w:val="000000"/>
                <w:sz w:val="22"/>
                <w:szCs w:val="22"/>
              </w:rPr>
              <w:t>Infrastructure (LLP)</w:t>
            </w:r>
          </w:p>
        </w:tc>
      </w:tr>
      <w:tr w:rsidR="004714DF" w:rsidRPr="00601B12" w14:paraId="6D162373" w14:textId="77777777" w:rsidTr="0076066D">
        <w:trPr>
          <w:trHeight w:val="226"/>
          <w:jc w:val="center"/>
        </w:trPr>
        <w:tc>
          <w:tcPr>
            <w:tcW w:w="3969" w:type="dxa"/>
            <w:vAlign w:val="bottom"/>
          </w:tcPr>
          <w:p w14:paraId="6D16236F" w14:textId="4B332025" w:rsidR="000B6E10" w:rsidRPr="00601B12" w:rsidRDefault="000B6E10" w:rsidP="000B6E10">
            <w:pPr>
              <w:rPr>
                <w:rFonts w:ascii="Arial" w:hAnsi="Arial" w:cs="Arial"/>
                <w:color w:val="000000"/>
              </w:rPr>
            </w:pPr>
            <w:proofErr w:type="spellStart"/>
            <w:r w:rsidRPr="00601B12">
              <w:rPr>
                <w:rFonts w:ascii="Arial" w:hAnsi="Arial" w:cs="Arial"/>
                <w:color w:val="000000"/>
                <w:sz w:val="22"/>
                <w:szCs w:val="22"/>
              </w:rPr>
              <w:t>Kempen</w:t>
            </w:r>
            <w:proofErr w:type="spellEnd"/>
          </w:p>
        </w:tc>
        <w:tc>
          <w:tcPr>
            <w:tcW w:w="1134" w:type="dxa"/>
            <w:vAlign w:val="bottom"/>
          </w:tcPr>
          <w:p w14:paraId="6D162370" w14:textId="0364FF37" w:rsidR="000B6E10" w:rsidRPr="00601B12" w:rsidRDefault="000B6E10" w:rsidP="000B6E10">
            <w:pPr>
              <w:jc w:val="center"/>
              <w:rPr>
                <w:rFonts w:ascii="Arial" w:hAnsi="Arial" w:cs="Arial"/>
                <w:color w:val="000000"/>
              </w:rPr>
            </w:pPr>
            <w:r w:rsidRPr="00601B12">
              <w:rPr>
                <w:rFonts w:ascii="Arial" w:hAnsi="Arial" w:cs="Arial"/>
                <w:color w:val="000000"/>
                <w:sz w:val="22"/>
                <w:szCs w:val="22"/>
              </w:rPr>
              <w:t>Active</w:t>
            </w:r>
          </w:p>
        </w:tc>
        <w:tc>
          <w:tcPr>
            <w:tcW w:w="1423" w:type="dxa"/>
            <w:vAlign w:val="bottom"/>
          </w:tcPr>
          <w:p w14:paraId="6D162371" w14:textId="781888E5" w:rsidR="000B6E10" w:rsidRPr="00601B12" w:rsidRDefault="00EE466A" w:rsidP="000B6E10">
            <w:pPr>
              <w:jc w:val="center"/>
              <w:rPr>
                <w:rFonts w:ascii="Arial" w:hAnsi="Arial" w:cs="Arial"/>
                <w:color w:val="000000"/>
                <w:sz w:val="22"/>
                <w:szCs w:val="22"/>
              </w:rPr>
            </w:pPr>
            <w:r>
              <w:rPr>
                <w:rFonts w:ascii="Arial" w:hAnsi="Arial" w:cs="Arial"/>
                <w:color w:val="000000"/>
                <w:sz w:val="22"/>
                <w:szCs w:val="22"/>
              </w:rPr>
              <w:t>14.8%</w:t>
            </w:r>
          </w:p>
        </w:tc>
        <w:tc>
          <w:tcPr>
            <w:tcW w:w="3018" w:type="dxa"/>
            <w:vAlign w:val="bottom"/>
          </w:tcPr>
          <w:p w14:paraId="6D162372" w14:textId="097C5944" w:rsidR="000B6E10" w:rsidRPr="00601B12" w:rsidRDefault="000B6E10" w:rsidP="000B6E10">
            <w:pPr>
              <w:rPr>
                <w:rFonts w:ascii="Arial" w:hAnsi="Arial" w:cs="Arial"/>
                <w:color w:val="000000"/>
              </w:rPr>
            </w:pPr>
            <w:r w:rsidRPr="00601B12">
              <w:rPr>
                <w:rFonts w:ascii="Arial" w:hAnsi="Arial" w:cs="Arial"/>
                <w:color w:val="000000"/>
                <w:sz w:val="22"/>
                <w:szCs w:val="22"/>
              </w:rPr>
              <w:t>Global Equity (Pooled)</w:t>
            </w:r>
          </w:p>
        </w:tc>
      </w:tr>
      <w:tr w:rsidR="004714DF" w:rsidRPr="00601B12" w14:paraId="6D162378" w14:textId="77777777" w:rsidTr="0076066D">
        <w:trPr>
          <w:trHeight w:val="226"/>
          <w:jc w:val="center"/>
        </w:trPr>
        <w:tc>
          <w:tcPr>
            <w:tcW w:w="3969" w:type="dxa"/>
            <w:vAlign w:val="bottom"/>
          </w:tcPr>
          <w:p w14:paraId="6D162374" w14:textId="02793596" w:rsidR="000B6E10" w:rsidRPr="00601B12" w:rsidRDefault="000B6E10" w:rsidP="000B6E10">
            <w:pPr>
              <w:rPr>
                <w:rFonts w:ascii="Arial" w:hAnsi="Arial" w:cs="Arial"/>
                <w:color w:val="000000"/>
              </w:rPr>
            </w:pPr>
            <w:r w:rsidRPr="00601B12">
              <w:rPr>
                <w:rFonts w:ascii="Arial" w:hAnsi="Arial" w:cs="Arial"/>
                <w:color w:val="000000"/>
                <w:sz w:val="22"/>
                <w:szCs w:val="22"/>
              </w:rPr>
              <w:t>London CIV: Baillie Gifford</w:t>
            </w:r>
          </w:p>
        </w:tc>
        <w:tc>
          <w:tcPr>
            <w:tcW w:w="1134" w:type="dxa"/>
            <w:vAlign w:val="bottom"/>
          </w:tcPr>
          <w:p w14:paraId="6D162375" w14:textId="7F097196" w:rsidR="000B6E10" w:rsidRPr="00601B12" w:rsidRDefault="000B6E10" w:rsidP="000B6E10">
            <w:pPr>
              <w:jc w:val="center"/>
              <w:rPr>
                <w:rFonts w:ascii="Arial" w:hAnsi="Arial" w:cs="Arial"/>
                <w:color w:val="000000"/>
              </w:rPr>
            </w:pPr>
            <w:r w:rsidRPr="00601B12">
              <w:rPr>
                <w:rFonts w:ascii="Arial" w:hAnsi="Arial" w:cs="Arial"/>
                <w:color w:val="000000"/>
                <w:sz w:val="22"/>
                <w:szCs w:val="22"/>
              </w:rPr>
              <w:t>Active</w:t>
            </w:r>
          </w:p>
        </w:tc>
        <w:tc>
          <w:tcPr>
            <w:tcW w:w="1423" w:type="dxa"/>
            <w:vAlign w:val="bottom"/>
          </w:tcPr>
          <w:p w14:paraId="6D162376" w14:textId="08622D18" w:rsidR="000B6E10" w:rsidRPr="00601B12" w:rsidRDefault="00976FE6" w:rsidP="000B6E10">
            <w:pPr>
              <w:jc w:val="center"/>
              <w:rPr>
                <w:rFonts w:ascii="Arial" w:hAnsi="Arial" w:cs="Arial"/>
                <w:color w:val="000000"/>
                <w:sz w:val="22"/>
                <w:szCs w:val="22"/>
              </w:rPr>
            </w:pPr>
            <w:r>
              <w:rPr>
                <w:rFonts w:ascii="Arial" w:hAnsi="Arial" w:cs="Arial"/>
                <w:color w:val="000000"/>
                <w:sz w:val="22"/>
                <w:szCs w:val="22"/>
              </w:rPr>
              <w:t>21.1%</w:t>
            </w:r>
          </w:p>
        </w:tc>
        <w:tc>
          <w:tcPr>
            <w:tcW w:w="3018" w:type="dxa"/>
            <w:vAlign w:val="bottom"/>
          </w:tcPr>
          <w:p w14:paraId="6D162377" w14:textId="41D256C5" w:rsidR="000B6E10" w:rsidRPr="00601B12" w:rsidRDefault="000B6E10" w:rsidP="000B6E10">
            <w:pPr>
              <w:rPr>
                <w:rFonts w:ascii="Arial" w:hAnsi="Arial" w:cs="Arial"/>
                <w:color w:val="000000"/>
              </w:rPr>
            </w:pPr>
            <w:r w:rsidRPr="00601B12">
              <w:rPr>
                <w:rFonts w:ascii="Arial" w:hAnsi="Arial" w:cs="Arial"/>
                <w:color w:val="000000"/>
                <w:sz w:val="22"/>
                <w:szCs w:val="22"/>
              </w:rPr>
              <w:t>Global Equity (Pooled)</w:t>
            </w:r>
          </w:p>
        </w:tc>
      </w:tr>
      <w:tr w:rsidR="004714DF" w:rsidRPr="00601B12" w14:paraId="6D16237D" w14:textId="77777777" w:rsidTr="0076066D">
        <w:trPr>
          <w:trHeight w:val="226"/>
          <w:jc w:val="center"/>
        </w:trPr>
        <w:tc>
          <w:tcPr>
            <w:tcW w:w="3969" w:type="dxa"/>
            <w:vAlign w:val="bottom"/>
          </w:tcPr>
          <w:p w14:paraId="6D162379" w14:textId="3D5795D7" w:rsidR="000B6E10" w:rsidRPr="00601B12" w:rsidRDefault="000B6E10" w:rsidP="000B6E10">
            <w:pPr>
              <w:rPr>
                <w:rFonts w:ascii="Arial" w:hAnsi="Arial" w:cs="Arial"/>
                <w:color w:val="000000"/>
              </w:rPr>
            </w:pPr>
            <w:r w:rsidRPr="00601B12">
              <w:rPr>
                <w:rFonts w:ascii="Arial" w:hAnsi="Arial" w:cs="Arial"/>
                <w:color w:val="000000"/>
                <w:sz w:val="22"/>
                <w:szCs w:val="22"/>
              </w:rPr>
              <w:t>London CIV: Newton</w:t>
            </w:r>
          </w:p>
        </w:tc>
        <w:tc>
          <w:tcPr>
            <w:tcW w:w="1134" w:type="dxa"/>
            <w:vAlign w:val="bottom"/>
          </w:tcPr>
          <w:p w14:paraId="6D16237A" w14:textId="641C1D83" w:rsidR="000B6E10" w:rsidRPr="00601B12" w:rsidRDefault="000B6E10" w:rsidP="000B6E10">
            <w:pPr>
              <w:jc w:val="center"/>
              <w:rPr>
                <w:rFonts w:ascii="Arial" w:hAnsi="Arial" w:cs="Arial"/>
                <w:color w:val="000000"/>
              </w:rPr>
            </w:pPr>
            <w:r w:rsidRPr="00601B12">
              <w:rPr>
                <w:rFonts w:ascii="Arial" w:hAnsi="Arial" w:cs="Arial"/>
                <w:color w:val="000000"/>
                <w:sz w:val="22"/>
                <w:szCs w:val="22"/>
              </w:rPr>
              <w:t>Active</w:t>
            </w:r>
          </w:p>
        </w:tc>
        <w:tc>
          <w:tcPr>
            <w:tcW w:w="1423" w:type="dxa"/>
            <w:vAlign w:val="bottom"/>
          </w:tcPr>
          <w:p w14:paraId="6D16237B" w14:textId="7CBFD90B" w:rsidR="000B6E10" w:rsidRPr="00601B12" w:rsidRDefault="00F75EB8" w:rsidP="000B6E10">
            <w:pPr>
              <w:jc w:val="center"/>
              <w:rPr>
                <w:rFonts w:ascii="Arial" w:hAnsi="Arial" w:cs="Arial"/>
                <w:color w:val="000000"/>
                <w:sz w:val="22"/>
                <w:szCs w:val="22"/>
              </w:rPr>
            </w:pPr>
            <w:r>
              <w:rPr>
                <w:rFonts w:ascii="Arial" w:hAnsi="Arial" w:cs="Arial"/>
                <w:color w:val="000000"/>
                <w:sz w:val="22"/>
                <w:szCs w:val="22"/>
              </w:rPr>
              <w:t>5.9%</w:t>
            </w:r>
          </w:p>
        </w:tc>
        <w:tc>
          <w:tcPr>
            <w:tcW w:w="3018" w:type="dxa"/>
            <w:vAlign w:val="bottom"/>
          </w:tcPr>
          <w:p w14:paraId="6D16237C" w14:textId="4B78EA27" w:rsidR="000B6E10" w:rsidRPr="00601B12" w:rsidRDefault="000B6E10" w:rsidP="000B6E10">
            <w:pPr>
              <w:rPr>
                <w:rFonts w:ascii="Arial" w:hAnsi="Arial" w:cs="Arial"/>
                <w:color w:val="000000"/>
              </w:rPr>
            </w:pPr>
            <w:r w:rsidRPr="00601B12">
              <w:rPr>
                <w:rFonts w:ascii="Arial" w:hAnsi="Arial" w:cs="Arial"/>
                <w:color w:val="000000"/>
                <w:sz w:val="22"/>
                <w:szCs w:val="22"/>
              </w:rPr>
              <w:t>Absolute Return</w:t>
            </w:r>
          </w:p>
        </w:tc>
      </w:tr>
      <w:tr w:rsidR="004714DF" w:rsidRPr="00601B12" w14:paraId="6D162382" w14:textId="77777777" w:rsidTr="0076066D">
        <w:trPr>
          <w:trHeight w:val="226"/>
          <w:jc w:val="center"/>
        </w:trPr>
        <w:tc>
          <w:tcPr>
            <w:tcW w:w="3969" w:type="dxa"/>
            <w:vAlign w:val="bottom"/>
          </w:tcPr>
          <w:p w14:paraId="6D16237E" w14:textId="78BBB055" w:rsidR="000B6E10" w:rsidRPr="00601B12" w:rsidRDefault="000B6E10" w:rsidP="000B6E10">
            <w:pPr>
              <w:rPr>
                <w:rFonts w:ascii="Arial" w:hAnsi="Arial" w:cs="Arial"/>
                <w:color w:val="000000"/>
              </w:rPr>
            </w:pPr>
            <w:r w:rsidRPr="00601B12">
              <w:rPr>
                <w:rFonts w:ascii="Arial" w:hAnsi="Arial" w:cs="Arial"/>
                <w:color w:val="000000"/>
                <w:sz w:val="22"/>
                <w:szCs w:val="22"/>
              </w:rPr>
              <w:t xml:space="preserve">London CIV: </w:t>
            </w:r>
            <w:proofErr w:type="spellStart"/>
            <w:r w:rsidRPr="00601B12">
              <w:rPr>
                <w:rFonts w:ascii="Arial" w:hAnsi="Arial" w:cs="Arial"/>
                <w:color w:val="000000"/>
                <w:sz w:val="22"/>
                <w:szCs w:val="22"/>
              </w:rPr>
              <w:t>Pyrford</w:t>
            </w:r>
            <w:proofErr w:type="spellEnd"/>
          </w:p>
        </w:tc>
        <w:tc>
          <w:tcPr>
            <w:tcW w:w="1134" w:type="dxa"/>
            <w:vAlign w:val="bottom"/>
          </w:tcPr>
          <w:p w14:paraId="6D16237F" w14:textId="5368A8BC" w:rsidR="000B6E10" w:rsidRPr="00601B12" w:rsidRDefault="000B6E10" w:rsidP="000B6E10">
            <w:pPr>
              <w:jc w:val="center"/>
              <w:rPr>
                <w:rFonts w:ascii="Arial" w:hAnsi="Arial" w:cs="Arial"/>
                <w:color w:val="000000"/>
              </w:rPr>
            </w:pPr>
            <w:r w:rsidRPr="00601B12">
              <w:rPr>
                <w:rFonts w:ascii="Arial" w:hAnsi="Arial" w:cs="Arial"/>
                <w:color w:val="000000"/>
                <w:sz w:val="22"/>
                <w:szCs w:val="22"/>
              </w:rPr>
              <w:t>Active</w:t>
            </w:r>
          </w:p>
        </w:tc>
        <w:tc>
          <w:tcPr>
            <w:tcW w:w="1423" w:type="dxa"/>
            <w:vAlign w:val="bottom"/>
          </w:tcPr>
          <w:p w14:paraId="6D162380" w14:textId="17D59850" w:rsidR="000B6E10" w:rsidRPr="00601B12" w:rsidRDefault="00305BB2" w:rsidP="000B6E10">
            <w:pPr>
              <w:jc w:val="center"/>
              <w:rPr>
                <w:rFonts w:ascii="Arial" w:hAnsi="Arial" w:cs="Arial"/>
                <w:color w:val="000000"/>
                <w:sz w:val="22"/>
                <w:szCs w:val="22"/>
              </w:rPr>
            </w:pPr>
            <w:r>
              <w:rPr>
                <w:rFonts w:ascii="Arial" w:hAnsi="Arial" w:cs="Arial"/>
                <w:color w:val="000000"/>
                <w:sz w:val="22"/>
                <w:szCs w:val="22"/>
              </w:rPr>
              <w:t>8.3%</w:t>
            </w:r>
          </w:p>
        </w:tc>
        <w:tc>
          <w:tcPr>
            <w:tcW w:w="3018" w:type="dxa"/>
            <w:vAlign w:val="bottom"/>
          </w:tcPr>
          <w:p w14:paraId="6D162381" w14:textId="2A86D593" w:rsidR="000B6E10" w:rsidRPr="00601B12" w:rsidRDefault="000B6E10" w:rsidP="000B6E10">
            <w:pPr>
              <w:rPr>
                <w:rFonts w:ascii="Arial" w:hAnsi="Arial" w:cs="Arial"/>
                <w:color w:val="000000"/>
              </w:rPr>
            </w:pPr>
            <w:r w:rsidRPr="00601B12">
              <w:rPr>
                <w:rFonts w:ascii="Arial" w:hAnsi="Arial" w:cs="Arial"/>
                <w:color w:val="000000"/>
                <w:sz w:val="22"/>
                <w:szCs w:val="22"/>
              </w:rPr>
              <w:t>Absolute Return</w:t>
            </w:r>
          </w:p>
        </w:tc>
      </w:tr>
      <w:tr w:rsidR="004714DF" w:rsidRPr="00601B12" w14:paraId="6D162387" w14:textId="77777777" w:rsidTr="0076066D">
        <w:trPr>
          <w:trHeight w:val="226"/>
          <w:jc w:val="center"/>
        </w:trPr>
        <w:tc>
          <w:tcPr>
            <w:tcW w:w="3969" w:type="dxa"/>
            <w:tcBorders>
              <w:top w:val="single" w:sz="4" w:space="0" w:color="auto"/>
              <w:left w:val="single" w:sz="4" w:space="0" w:color="auto"/>
              <w:bottom w:val="single" w:sz="4" w:space="0" w:color="auto"/>
              <w:right w:val="single" w:sz="4" w:space="0" w:color="auto"/>
            </w:tcBorders>
            <w:vAlign w:val="bottom"/>
          </w:tcPr>
          <w:p w14:paraId="6D162383" w14:textId="11BC4325" w:rsidR="000B6E10" w:rsidRPr="00601B12" w:rsidRDefault="000B6E10" w:rsidP="000B6E10">
            <w:pPr>
              <w:rPr>
                <w:rFonts w:ascii="Arial" w:hAnsi="Arial" w:cs="Arial"/>
                <w:color w:val="000000"/>
              </w:rPr>
            </w:pPr>
            <w:r w:rsidRPr="00601B12">
              <w:rPr>
                <w:rFonts w:ascii="Arial" w:hAnsi="Arial" w:cs="Arial"/>
                <w:color w:val="000000"/>
                <w:sz w:val="22"/>
                <w:szCs w:val="22"/>
              </w:rPr>
              <w:t>London CIV</w:t>
            </w:r>
          </w:p>
        </w:tc>
        <w:tc>
          <w:tcPr>
            <w:tcW w:w="1134" w:type="dxa"/>
            <w:tcBorders>
              <w:top w:val="single" w:sz="4" w:space="0" w:color="auto"/>
              <w:left w:val="single" w:sz="4" w:space="0" w:color="auto"/>
              <w:bottom w:val="single" w:sz="4" w:space="0" w:color="auto"/>
              <w:right w:val="single" w:sz="4" w:space="0" w:color="auto"/>
            </w:tcBorders>
            <w:vAlign w:val="bottom"/>
          </w:tcPr>
          <w:p w14:paraId="6D162384" w14:textId="7E6894A4" w:rsidR="000B6E10" w:rsidRPr="00601B12" w:rsidRDefault="000B6E10" w:rsidP="000B6E10">
            <w:pPr>
              <w:jc w:val="center"/>
              <w:rPr>
                <w:rFonts w:ascii="Arial" w:hAnsi="Arial" w:cs="Arial"/>
                <w:color w:val="000000"/>
              </w:rPr>
            </w:pPr>
            <w:r w:rsidRPr="00601B12">
              <w:rPr>
                <w:rFonts w:ascii="Arial" w:hAnsi="Arial" w:cs="Arial"/>
                <w:color w:val="000000"/>
                <w:sz w:val="22"/>
                <w:szCs w:val="22"/>
              </w:rPr>
              <w:t>Passive</w:t>
            </w:r>
          </w:p>
        </w:tc>
        <w:tc>
          <w:tcPr>
            <w:tcW w:w="1423" w:type="dxa"/>
            <w:tcBorders>
              <w:top w:val="single" w:sz="4" w:space="0" w:color="auto"/>
              <w:left w:val="single" w:sz="4" w:space="0" w:color="auto"/>
              <w:bottom w:val="single" w:sz="4" w:space="0" w:color="auto"/>
              <w:right w:val="single" w:sz="4" w:space="0" w:color="auto"/>
            </w:tcBorders>
            <w:vAlign w:val="bottom"/>
          </w:tcPr>
          <w:p w14:paraId="6D162385" w14:textId="1B779731" w:rsidR="000B6E10" w:rsidRPr="00601B12" w:rsidRDefault="006B18F2" w:rsidP="000B6E10">
            <w:pPr>
              <w:jc w:val="center"/>
              <w:rPr>
                <w:rFonts w:ascii="Arial" w:hAnsi="Arial" w:cs="Arial"/>
                <w:color w:val="000000"/>
                <w:sz w:val="22"/>
                <w:szCs w:val="22"/>
              </w:rPr>
            </w:pPr>
            <w:r>
              <w:rPr>
                <w:rFonts w:ascii="Arial" w:hAnsi="Arial" w:cs="Arial"/>
                <w:color w:val="000000"/>
                <w:sz w:val="22"/>
                <w:szCs w:val="22"/>
              </w:rPr>
              <w:t>0.0</w:t>
            </w:r>
            <w:r w:rsidR="00761D66">
              <w:rPr>
                <w:rFonts w:ascii="Arial" w:hAnsi="Arial" w:cs="Arial"/>
                <w:color w:val="000000"/>
                <w:sz w:val="22"/>
                <w:szCs w:val="22"/>
              </w:rPr>
              <w:t>%</w:t>
            </w:r>
          </w:p>
        </w:tc>
        <w:tc>
          <w:tcPr>
            <w:tcW w:w="3018" w:type="dxa"/>
            <w:tcBorders>
              <w:top w:val="single" w:sz="4" w:space="0" w:color="auto"/>
              <w:left w:val="single" w:sz="4" w:space="0" w:color="auto"/>
              <w:bottom w:val="single" w:sz="4" w:space="0" w:color="auto"/>
              <w:right w:val="single" w:sz="4" w:space="0" w:color="auto"/>
            </w:tcBorders>
            <w:vAlign w:val="bottom"/>
          </w:tcPr>
          <w:p w14:paraId="6D162386" w14:textId="6B48B951" w:rsidR="000B6E10" w:rsidRPr="00601B12" w:rsidRDefault="000B6E10" w:rsidP="000B6E10">
            <w:pPr>
              <w:rPr>
                <w:rFonts w:ascii="Arial" w:hAnsi="Arial" w:cs="Arial"/>
                <w:color w:val="000000"/>
              </w:rPr>
            </w:pPr>
            <w:r w:rsidRPr="00601B12">
              <w:rPr>
                <w:rFonts w:ascii="Arial" w:hAnsi="Arial" w:cs="Arial"/>
                <w:color w:val="000000"/>
                <w:sz w:val="22"/>
                <w:szCs w:val="22"/>
              </w:rPr>
              <w:t>None</w:t>
            </w:r>
          </w:p>
        </w:tc>
      </w:tr>
      <w:tr w:rsidR="004714DF" w:rsidRPr="00601B12" w14:paraId="6D162391" w14:textId="77777777" w:rsidTr="0076066D">
        <w:trPr>
          <w:trHeight w:val="226"/>
          <w:jc w:val="center"/>
        </w:trPr>
        <w:tc>
          <w:tcPr>
            <w:tcW w:w="3969" w:type="dxa"/>
            <w:vAlign w:val="bottom"/>
          </w:tcPr>
          <w:p w14:paraId="6D16238D" w14:textId="63A3C5F8" w:rsidR="000B6E10" w:rsidRPr="00601B12" w:rsidRDefault="000B6E10" w:rsidP="000B6E10">
            <w:pPr>
              <w:rPr>
                <w:rFonts w:ascii="Arial" w:hAnsi="Arial" w:cs="Arial"/>
                <w:color w:val="000000"/>
              </w:rPr>
            </w:pPr>
            <w:r w:rsidRPr="00601B12">
              <w:rPr>
                <w:rFonts w:ascii="Arial" w:hAnsi="Arial" w:cs="Arial"/>
                <w:color w:val="000000"/>
                <w:sz w:val="22"/>
                <w:szCs w:val="22"/>
              </w:rPr>
              <w:t>RREEF</w:t>
            </w:r>
          </w:p>
        </w:tc>
        <w:tc>
          <w:tcPr>
            <w:tcW w:w="1134" w:type="dxa"/>
            <w:vAlign w:val="bottom"/>
          </w:tcPr>
          <w:p w14:paraId="6D16238E" w14:textId="1CEEB2C2" w:rsidR="000B6E10" w:rsidRPr="00601B12" w:rsidRDefault="000B6E10" w:rsidP="000B6E10">
            <w:pPr>
              <w:jc w:val="center"/>
              <w:rPr>
                <w:rFonts w:ascii="Arial" w:hAnsi="Arial" w:cs="Arial"/>
                <w:color w:val="000000"/>
              </w:rPr>
            </w:pPr>
            <w:r w:rsidRPr="00601B12">
              <w:rPr>
                <w:rFonts w:ascii="Arial" w:hAnsi="Arial" w:cs="Arial"/>
                <w:color w:val="000000"/>
                <w:sz w:val="22"/>
                <w:szCs w:val="22"/>
              </w:rPr>
              <w:t>Active</w:t>
            </w:r>
          </w:p>
        </w:tc>
        <w:tc>
          <w:tcPr>
            <w:tcW w:w="1423" w:type="dxa"/>
            <w:vAlign w:val="bottom"/>
          </w:tcPr>
          <w:p w14:paraId="6D16238F" w14:textId="7260F9B1" w:rsidR="000B6E10" w:rsidRPr="00601B12" w:rsidRDefault="008708E7" w:rsidP="000B6E10">
            <w:pPr>
              <w:jc w:val="center"/>
              <w:rPr>
                <w:rFonts w:ascii="Arial" w:hAnsi="Arial" w:cs="Arial"/>
                <w:color w:val="000000"/>
                <w:sz w:val="22"/>
                <w:szCs w:val="22"/>
              </w:rPr>
            </w:pPr>
            <w:r>
              <w:rPr>
                <w:rFonts w:ascii="Arial" w:hAnsi="Arial" w:cs="Arial"/>
                <w:color w:val="000000"/>
                <w:sz w:val="22"/>
                <w:szCs w:val="22"/>
              </w:rPr>
              <w:t>0.0%</w:t>
            </w:r>
          </w:p>
        </w:tc>
        <w:tc>
          <w:tcPr>
            <w:tcW w:w="3018" w:type="dxa"/>
            <w:vAlign w:val="bottom"/>
          </w:tcPr>
          <w:p w14:paraId="6D162390" w14:textId="6BE59002" w:rsidR="000B6E10" w:rsidRPr="00601B12" w:rsidRDefault="000B6E10" w:rsidP="000B6E10">
            <w:pPr>
              <w:rPr>
                <w:rFonts w:ascii="Arial" w:hAnsi="Arial" w:cs="Arial"/>
                <w:color w:val="000000"/>
              </w:rPr>
            </w:pPr>
            <w:r w:rsidRPr="00601B12">
              <w:rPr>
                <w:rFonts w:ascii="Arial" w:hAnsi="Arial" w:cs="Arial"/>
                <w:color w:val="000000"/>
                <w:sz w:val="22"/>
                <w:szCs w:val="22"/>
              </w:rPr>
              <w:t>Property Investments (UK)</w:t>
            </w:r>
          </w:p>
        </w:tc>
      </w:tr>
      <w:tr w:rsidR="004714DF" w:rsidRPr="00601B12" w14:paraId="6D162396" w14:textId="77777777" w:rsidTr="0076066D">
        <w:trPr>
          <w:trHeight w:val="226"/>
          <w:jc w:val="center"/>
        </w:trPr>
        <w:tc>
          <w:tcPr>
            <w:tcW w:w="3969" w:type="dxa"/>
            <w:vAlign w:val="bottom"/>
          </w:tcPr>
          <w:p w14:paraId="6D162392" w14:textId="0876E3D5" w:rsidR="000B6E10" w:rsidRPr="00601B12" w:rsidRDefault="000B6E10" w:rsidP="000B6E10">
            <w:pPr>
              <w:rPr>
                <w:rFonts w:ascii="Arial" w:hAnsi="Arial" w:cs="Arial"/>
                <w:color w:val="000000"/>
              </w:rPr>
            </w:pPr>
            <w:r w:rsidRPr="00601B12">
              <w:rPr>
                <w:rFonts w:ascii="Arial" w:hAnsi="Arial" w:cs="Arial"/>
                <w:color w:val="000000"/>
                <w:sz w:val="22"/>
                <w:szCs w:val="22"/>
              </w:rPr>
              <w:t>Schroders</w:t>
            </w:r>
          </w:p>
        </w:tc>
        <w:tc>
          <w:tcPr>
            <w:tcW w:w="1134" w:type="dxa"/>
            <w:vAlign w:val="bottom"/>
          </w:tcPr>
          <w:p w14:paraId="6D162393" w14:textId="540F1EC5" w:rsidR="000B6E10" w:rsidRPr="00601B12" w:rsidRDefault="000B6E10" w:rsidP="000B6E10">
            <w:pPr>
              <w:jc w:val="center"/>
              <w:rPr>
                <w:rFonts w:ascii="Arial" w:hAnsi="Arial" w:cs="Arial"/>
                <w:color w:val="000000"/>
              </w:rPr>
            </w:pPr>
            <w:r w:rsidRPr="00601B12">
              <w:rPr>
                <w:rFonts w:ascii="Arial" w:hAnsi="Arial" w:cs="Arial"/>
                <w:color w:val="000000"/>
                <w:sz w:val="22"/>
                <w:szCs w:val="22"/>
              </w:rPr>
              <w:t>Active</w:t>
            </w:r>
          </w:p>
        </w:tc>
        <w:tc>
          <w:tcPr>
            <w:tcW w:w="1423" w:type="dxa"/>
            <w:vAlign w:val="bottom"/>
          </w:tcPr>
          <w:p w14:paraId="6D162394" w14:textId="34423FA8" w:rsidR="000B6E10" w:rsidRPr="00601B12" w:rsidRDefault="00861375" w:rsidP="000B6E10">
            <w:pPr>
              <w:jc w:val="center"/>
              <w:rPr>
                <w:rFonts w:ascii="Arial" w:hAnsi="Arial" w:cs="Arial"/>
                <w:color w:val="000000"/>
                <w:sz w:val="22"/>
                <w:szCs w:val="22"/>
              </w:rPr>
            </w:pPr>
            <w:r>
              <w:rPr>
                <w:rFonts w:ascii="Arial" w:hAnsi="Arial" w:cs="Arial"/>
                <w:color w:val="000000"/>
                <w:sz w:val="22"/>
                <w:szCs w:val="22"/>
              </w:rPr>
              <w:t>0.2%</w:t>
            </w:r>
          </w:p>
        </w:tc>
        <w:tc>
          <w:tcPr>
            <w:tcW w:w="3018" w:type="dxa"/>
            <w:vAlign w:val="bottom"/>
          </w:tcPr>
          <w:p w14:paraId="6D162395" w14:textId="50EF9DD0" w:rsidR="000B6E10" w:rsidRPr="00601B12" w:rsidRDefault="000B6E10" w:rsidP="000B6E10">
            <w:pPr>
              <w:rPr>
                <w:rFonts w:ascii="Arial" w:hAnsi="Arial" w:cs="Arial"/>
                <w:color w:val="000000"/>
              </w:rPr>
            </w:pPr>
            <w:r w:rsidRPr="00601B12">
              <w:rPr>
                <w:rFonts w:ascii="Arial" w:hAnsi="Arial" w:cs="Arial"/>
                <w:color w:val="000000"/>
                <w:sz w:val="22"/>
                <w:szCs w:val="22"/>
              </w:rPr>
              <w:t xml:space="preserve">Property Investments  </w:t>
            </w:r>
          </w:p>
        </w:tc>
      </w:tr>
      <w:tr w:rsidR="004714DF" w:rsidRPr="00601B12" w14:paraId="6D16239B" w14:textId="77777777" w:rsidTr="0076066D">
        <w:trPr>
          <w:trHeight w:val="226"/>
          <w:jc w:val="center"/>
        </w:trPr>
        <w:tc>
          <w:tcPr>
            <w:tcW w:w="3969" w:type="dxa"/>
            <w:tcBorders>
              <w:top w:val="single" w:sz="4" w:space="0" w:color="auto"/>
              <w:left w:val="single" w:sz="4" w:space="0" w:color="auto"/>
              <w:bottom w:val="single" w:sz="4" w:space="0" w:color="auto"/>
              <w:right w:val="single" w:sz="4" w:space="0" w:color="auto"/>
            </w:tcBorders>
            <w:vAlign w:val="bottom"/>
          </w:tcPr>
          <w:p w14:paraId="6D162397" w14:textId="13860902" w:rsidR="000B6E10" w:rsidRPr="00601B12" w:rsidRDefault="000B6E10" w:rsidP="000B6E10">
            <w:pPr>
              <w:rPr>
                <w:rFonts w:ascii="Arial" w:hAnsi="Arial" w:cs="Arial"/>
                <w:color w:val="000000"/>
              </w:rPr>
            </w:pPr>
            <w:r w:rsidRPr="00601B12">
              <w:rPr>
                <w:rFonts w:ascii="Arial" w:hAnsi="Arial" w:cs="Arial"/>
                <w:color w:val="000000"/>
                <w:sz w:val="22"/>
                <w:szCs w:val="22"/>
              </w:rPr>
              <w:t>UBS Passive Bonds</w:t>
            </w:r>
          </w:p>
        </w:tc>
        <w:tc>
          <w:tcPr>
            <w:tcW w:w="1134" w:type="dxa"/>
            <w:tcBorders>
              <w:top w:val="single" w:sz="4" w:space="0" w:color="auto"/>
              <w:left w:val="single" w:sz="4" w:space="0" w:color="auto"/>
              <w:bottom w:val="single" w:sz="4" w:space="0" w:color="auto"/>
              <w:right w:val="single" w:sz="4" w:space="0" w:color="auto"/>
            </w:tcBorders>
            <w:vAlign w:val="bottom"/>
          </w:tcPr>
          <w:p w14:paraId="6D162398" w14:textId="18146067" w:rsidR="000B6E10" w:rsidRPr="00601B12" w:rsidRDefault="000B6E10" w:rsidP="000B6E10">
            <w:pPr>
              <w:jc w:val="center"/>
              <w:rPr>
                <w:rFonts w:ascii="Arial" w:hAnsi="Arial" w:cs="Arial"/>
                <w:color w:val="000000"/>
              </w:rPr>
            </w:pPr>
            <w:r w:rsidRPr="00601B12">
              <w:rPr>
                <w:rFonts w:ascii="Arial" w:hAnsi="Arial" w:cs="Arial"/>
                <w:color w:val="000000"/>
                <w:sz w:val="22"/>
                <w:szCs w:val="22"/>
              </w:rPr>
              <w:t>Passive</w:t>
            </w:r>
          </w:p>
        </w:tc>
        <w:tc>
          <w:tcPr>
            <w:tcW w:w="1423" w:type="dxa"/>
            <w:tcBorders>
              <w:top w:val="single" w:sz="4" w:space="0" w:color="auto"/>
              <w:left w:val="single" w:sz="4" w:space="0" w:color="auto"/>
              <w:bottom w:val="single" w:sz="4" w:space="0" w:color="auto"/>
              <w:right w:val="single" w:sz="4" w:space="0" w:color="auto"/>
            </w:tcBorders>
            <w:vAlign w:val="bottom"/>
          </w:tcPr>
          <w:p w14:paraId="6D162399" w14:textId="17C47036" w:rsidR="000B6E10" w:rsidRPr="00601B12" w:rsidRDefault="00F339BF" w:rsidP="000B6E10">
            <w:pPr>
              <w:jc w:val="center"/>
              <w:rPr>
                <w:rFonts w:ascii="Arial" w:hAnsi="Arial" w:cs="Arial"/>
                <w:color w:val="000000"/>
                <w:sz w:val="22"/>
                <w:szCs w:val="22"/>
              </w:rPr>
            </w:pPr>
            <w:r>
              <w:rPr>
                <w:rFonts w:ascii="Arial" w:hAnsi="Arial" w:cs="Arial"/>
                <w:color w:val="000000"/>
                <w:sz w:val="22"/>
                <w:szCs w:val="22"/>
              </w:rPr>
              <w:t>2.7%</w:t>
            </w:r>
          </w:p>
        </w:tc>
        <w:tc>
          <w:tcPr>
            <w:tcW w:w="3018" w:type="dxa"/>
            <w:tcBorders>
              <w:top w:val="single" w:sz="4" w:space="0" w:color="auto"/>
              <w:left w:val="single" w:sz="4" w:space="0" w:color="auto"/>
              <w:bottom w:val="single" w:sz="4" w:space="0" w:color="auto"/>
              <w:right w:val="single" w:sz="4" w:space="0" w:color="auto"/>
            </w:tcBorders>
            <w:vAlign w:val="bottom"/>
          </w:tcPr>
          <w:p w14:paraId="6D16239A" w14:textId="387A6D03" w:rsidR="000B6E10" w:rsidRPr="00601B12" w:rsidRDefault="000B6E10" w:rsidP="000B6E10">
            <w:pPr>
              <w:rPr>
                <w:rFonts w:ascii="Arial" w:hAnsi="Arial" w:cs="Arial"/>
                <w:color w:val="000000"/>
              </w:rPr>
            </w:pPr>
            <w:r w:rsidRPr="00601B12">
              <w:rPr>
                <w:rFonts w:ascii="Arial" w:hAnsi="Arial" w:cs="Arial"/>
                <w:color w:val="000000"/>
                <w:sz w:val="22"/>
                <w:szCs w:val="22"/>
              </w:rPr>
              <w:t xml:space="preserve">All Share Fixed Income </w:t>
            </w:r>
          </w:p>
        </w:tc>
      </w:tr>
      <w:tr w:rsidR="004714DF" w:rsidRPr="00601B12" w14:paraId="6D1623A0" w14:textId="77777777" w:rsidTr="0076066D">
        <w:trPr>
          <w:trHeight w:val="226"/>
          <w:jc w:val="center"/>
        </w:trPr>
        <w:tc>
          <w:tcPr>
            <w:tcW w:w="3969" w:type="dxa"/>
            <w:tcBorders>
              <w:top w:val="single" w:sz="4" w:space="0" w:color="auto"/>
              <w:left w:val="single" w:sz="4" w:space="0" w:color="auto"/>
              <w:bottom w:val="single" w:sz="4" w:space="0" w:color="auto"/>
              <w:right w:val="single" w:sz="4" w:space="0" w:color="auto"/>
            </w:tcBorders>
            <w:vAlign w:val="bottom"/>
          </w:tcPr>
          <w:p w14:paraId="6D16239C" w14:textId="4BB4EF38" w:rsidR="000B6E10" w:rsidRPr="00601B12" w:rsidRDefault="000B6E10" w:rsidP="000B6E10">
            <w:pPr>
              <w:rPr>
                <w:rFonts w:ascii="Arial" w:hAnsi="Arial" w:cs="Arial"/>
                <w:color w:val="000000"/>
              </w:rPr>
            </w:pPr>
            <w:r w:rsidRPr="00601B12">
              <w:rPr>
                <w:rFonts w:ascii="Arial" w:hAnsi="Arial" w:cs="Arial"/>
                <w:color w:val="000000"/>
                <w:sz w:val="22"/>
                <w:szCs w:val="22"/>
              </w:rPr>
              <w:t>UBS Passive Equity</w:t>
            </w:r>
          </w:p>
        </w:tc>
        <w:tc>
          <w:tcPr>
            <w:tcW w:w="1134" w:type="dxa"/>
            <w:tcBorders>
              <w:top w:val="single" w:sz="4" w:space="0" w:color="auto"/>
              <w:left w:val="single" w:sz="4" w:space="0" w:color="auto"/>
              <w:bottom w:val="single" w:sz="4" w:space="0" w:color="auto"/>
              <w:right w:val="single" w:sz="4" w:space="0" w:color="auto"/>
            </w:tcBorders>
            <w:vAlign w:val="bottom"/>
          </w:tcPr>
          <w:p w14:paraId="6D16239D" w14:textId="774A1D18" w:rsidR="000B6E10" w:rsidRPr="00601B12" w:rsidRDefault="000B6E10" w:rsidP="000B6E10">
            <w:pPr>
              <w:jc w:val="center"/>
              <w:rPr>
                <w:rFonts w:ascii="Arial" w:hAnsi="Arial" w:cs="Arial"/>
                <w:color w:val="000000"/>
              </w:rPr>
            </w:pPr>
            <w:r w:rsidRPr="00601B12">
              <w:rPr>
                <w:rFonts w:ascii="Arial" w:hAnsi="Arial" w:cs="Arial"/>
                <w:color w:val="000000"/>
                <w:sz w:val="22"/>
                <w:szCs w:val="22"/>
              </w:rPr>
              <w:t>Passive</w:t>
            </w:r>
          </w:p>
        </w:tc>
        <w:tc>
          <w:tcPr>
            <w:tcW w:w="1423" w:type="dxa"/>
            <w:tcBorders>
              <w:top w:val="single" w:sz="4" w:space="0" w:color="auto"/>
              <w:left w:val="single" w:sz="4" w:space="0" w:color="auto"/>
              <w:bottom w:val="single" w:sz="4" w:space="0" w:color="auto"/>
              <w:right w:val="single" w:sz="4" w:space="0" w:color="auto"/>
            </w:tcBorders>
            <w:vAlign w:val="bottom"/>
          </w:tcPr>
          <w:p w14:paraId="6D16239E" w14:textId="2585F92D" w:rsidR="000B6E10" w:rsidRPr="00601B12" w:rsidRDefault="008A0FA3" w:rsidP="000B6E10">
            <w:pPr>
              <w:jc w:val="center"/>
              <w:rPr>
                <w:rFonts w:ascii="Arial" w:hAnsi="Arial" w:cs="Arial"/>
                <w:color w:val="000000"/>
                <w:sz w:val="22"/>
                <w:szCs w:val="22"/>
              </w:rPr>
            </w:pPr>
            <w:r>
              <w:rPr>
                <w:rFonts w:ascii="Arial" w:hAnsi="Arial" w:cs="Arial"/>
                <w:color w:val="000000"/>
                <w:sz w:val="22"/>
                <w:szCs w:val="22"/>
              </w:rPr>
              <w:t>19.9%</w:t>
            </w:r>
          </w:p>
        </w:tc>
        <w:tc>
          <w:tcPr>
            <w:tcW w:w="3018" w:type="dxa"/>
            <w:tcBorders>
              <w:top w:val="single" w:sz="4" w:space="0" w:color="auto"/>
              <w:left w:val="single" w:sz="4" w:space="0" w:color="auto"/>
              <w:bottom w:val="single" w:sz="4" w:space="0" w:color="auto"/>
              <w:right w:val="single" w:sz="4" w:space="0" w:color="auto"/>
            </w:tcBorders>
            <w:vAlign w:val="bottom"/>
          </w:tcPr>
          <w:p w14:paraId="6D16239F" w14:textId="2E374963" w:rsidR="000B6E10" w:rsidRPr="00601B12" w:rsidRDefault="000B6E10" w:rsidP="000B6E10">
            <w:pPr>
              <w:rPr>
                <w:rFonts w:ascii="Arial" w:hAnsi="Arial" w:cs="Arial"/>
                <w:color w:val="000000"/>
              </w:rPr>
            </w:pPr>
            <w:r w:rsidRPr="00601B12">
              <w:rPr>
                <w:rFonts w:ascii="Arial" w:hAnsi="Arial" w:cs="Arial"/>
                <w:color w:val="000000"/>
                <w:sz w:val="22"/>
                <w:szCs w:val="22"/>
              </w:rPr>
              <w:t>Global Equity</w:t>
            </w:r>
          </w:p>
        </w:tc>
      </w:tr>
      <w:tr w:rsidR="004714DF" w:rsidRPr="00601B12" w14:paraId="6D1623A5" w14:textId="77777777" w:rsidTr="0076066D">
        <w:trPr>
          <w:trHeight w:val="226"/>
          <w:jc w:val="center"/>
        </w:trPr>
        <w:tc>
          <w:tcPr>
            <w:tcW w:w="3969" w:type="dxa"/>
            <w:tcBorders>
              <w:top w:val="single" w:sz="4" w:space="0" w:color="auto"/>
              <w:left w:val="single" w:sz="4" w:space="0" w:color="auto"/>
              <w:bottom w:val="single" w:sz="4" w:space="0" w:color="auto"/>
              <w:right w:val="single" w:sz="4" w:space="0" w:color="auto"/>
            </w:tcBorders>
            <w:vAlign w:val="bottom"/>
          </w:tcPr>
          <w:p w14:paraId="6D1623A1" w14:textId="1508225B" w:rsidR="000B6E10" w:rsidRPr="00601B12" w:rsidRDefault="000B6E10" w:rsidP="000B6E10">
            <w:pPr>
              <w:rPr>
                <w:rFonts w:ascii="Arial" w:hAnsi="Arial" w:cs="Arial"/>
                <w:color w:val="000000"/>
              </w:rPr>
            </w:pPr>
            <w:r w:rsidRPr="00601B12">
              <w:rPr>
                <w:rFonts w:ascii="Arial" w:hAnsi="Arial" w:cs="Arial"/>
                <w:color w:val="000000"/>
                <w:sz w:val="22"/>
                <w:szCs w:val="22"/>
              </w:rPr>
              <w:t xml:space="preserve">Cash </w:t>
            </w:r>
            <w:r w:rsidR="004B3DC4">
              <w:rPr>
                <w:rFonts w:ascii="Arial" w:hAnsi="Arial" w:cs="Arial"/>
                <w:color w:val="000000"/>
                <w:sz w:val="22"/>
                <w:szCs w:val="22"/>
              </w:rPr>
              <w:t>and Short-term Investments</w:t>
            </w:r>
          </w:p>
        </w:tc>
        <w:tc>
          <w:tcPr>
            <w:tcW w:w="1134" w:type="dxa"/>
            <w:tcBorders>
              <w:top w:val="single" w:sz="4" w:space="0" w:color="auto"/>
              <w:left w:val="single" w:sz="4" w:space="0" w:color="auto"/>
              <w:bottom w:val="single" w:sz="4" w:space="0" w:color="auto"/>
              <w:right w:val="single" w:sz="4" w:space="0" w:color="auto"/>
            </w:tcBorders>
            <w:vAlign w:val="bottom"/>
          </w:tcPr>
          <w:p w14:paraId="6D1623A2" w14:textId="7231F9B3" w:rsidR="000B6E10" w:rsidRPr="00601B12" w:rsidRDefault="000B6E10" w:rsidP="000B6E10">
            <w:pPr>
              <w:jc w:val="center"/>
              <w:rPr>
                <w:rFonts w:ascii="Arial" w:hAnsi="Arial" w:cs="Arial"/>
                <w:color w:val="000000"/>
              </w:rPr>
            </w:pPr>
            <w:r w:rsidRPr="00601B12">
              <w:rPr>
                <w:rFonts w:ascii="Arial" w:hAnsi="Arial" w:cs="Arial"/>
                <w:color w:val="000000"/>
                <w:sz w:val="22"/>
                <w:szCs w:val="22"/>
              </w:rPr>
              <w:t>Cash</w:t>
            </w:r>
          </w:p>
        </w:tc>
        <w:tc>
          <w:tcPr>
            <w:tcW w:w="1423" w:type="dxa"/>
            <w:tcBorders>
              <w:top w:val="single" w:sz="4" w:space="0" w:color="auto"/>
              <w:left w:val="single" w:sz="4" w:space="0" w:color="auto"/>
              <w:bottom w:val="single" w:sz="4" w:space="0" w:color="auto"/>
              <w:right w:val="single" w:sz="4" w:space="0" w:color="auto"/>
            </w:tcBorders>
            <w:vAlign w:val="bottom"/>
          </w:tcPr>
          <w:p w14:paraId="6D1623A3" w14:textId="186A6979" w:rsidR="000B6E10" w:rsidRPr="00601B12" w:rsidRDefault="00FB36CD" w:rsidP="000B6E10">
            <w:pPr>
              <w:jc w:val="center"/>
              <w:rPr>
                <w:rFonts w:ascii="Arial" w:hAnsi="Arial" w:cs="Arial"/>
                <w:color w:val="000000"/>
                <w:sz w:val="22"/>
                <w:szCs w:val="22"/>
              </w:rPr>
            </w:pPr>
            <w:r>
              <w:rPr>
                <w:rFonts w:ascii="Arial" w:hAnsi="Arial" w:cs="Arial"/>
                <w:color w:val="000000"/>
                <w:sz w:val="22"/>
                <w:szCs w:val="22"/>
              </w:rPr>
              <w:t>0.0%</w:t>
            </w:r>
          </w:p>
        </w:tc>
        <w:tc>
          <w:tcPr>
            <w:tcW w:w="3018" w:type="dxa"/>
            <w:tcBorders>
              <w:top w:val="single" w:sz="4" w:space="0" w:color="auto"/>
              <w:left w:val="single" w:sz="4" w:space="0" w:color="auto"/>
              <w:bottom w:val="single" w:sz="4" w:space="0" w:color="auto"/>
              <w:right w:val="single" w:sz="4" w:space="0" w:color="auto"/>
            </w:tcBorders>
            <w:vAlign w:val="bottom"/>
          </w:tcPr>
          <w:p w14:paraId="6D1623A4" w14:textId="3794A9BC" w:rsidR="000B6E10" w:rsidRPr="00601B12" w:rsidRDefault="000B6E10" w:rsidP="000B6E10">
            <w:pPr>
              <w:rPr>
                <w:rFonts w:ascii="Arial" w:hAnsi="Arial" w:cs="Arial"/>
                <w:color w:val="000000"/>
              </w:rPr>
            </w:pPr>
            <w:r w:rsidRPr="00601B12">
              <w:rPr>
                <w:rFonts w:ascii="Arial" w:hAnsi="Arial" w:cs="Arial"/>
                <w:color w:val="000000"/>
                <w:sz w:val="22"/>
                <w:szCs w:val="22"/>
              </w:rPr>
              <w:t>Cash</w:t>
            </w:r>
          </w:p>
        </w:tc>
      </w:tr>
    </w:tbl>
    <w:p w14:paraId="6D1623A6" w14:textId="77777777" w:rsidR="00567955" w:rsidRPr="00601B12" w:rsidRDefault="00567955" w:rsidP="003A2B06">
      <w:pPr>
        <w:ind w:left="426"/>
        <w:rPr>
          <w:rFonts w:ascii="Arial" w:hAnsi="Arial" w:cs="Arial"/>
          <w:color w:val="000000"/>
          <w:sz w:val="22"/>
          <w:szCs w:val="22"/>
        </w:rPr>
      </w:pPr>
    </w:p>
    <w:p w14:paraId="7045DC5B" w14:textId="4493FE58" w:rsidR="00DE6BED" w:rsidRDefault="00372AAE" w:rsidP="003A2B06">
      <w:pPr>
        <w:ind w:left="426"/>
        <w:rPr>
          <w:rFonts w:ascii="Arial" w:hAnsi="Arial" w:cs="Arial"/>
          <w:b/>
          <w:color w:val="000000"/>
          <w:sz w:val="22"/>
          <w:szCs w:val="22"/>
        </w:rPr>
      </w:pPr>
      <w:r w:rsidRPr="00601B12">
        <w:rPr>
          <w:rFonts w:ascii="Arial" w:hAnsi="Arial" w:cs="Arial"/>
          <w:b/>
          <w:color w:val="000000"/>
          <w:sz w:val="22"/>
          <w:szCs w:val="22"/>
        </w:rPr>
        <w:t>Chart 1</w:t>
      </w:r>
      <w:r w:rsidR="003A2B06" w:rsidRPr="00601B12">
        <w:rPr>
          <w:rFonts w:ascii="Arial" w:hAnsi="Arial" w:cs="Arial"/>
          <w:b/>
          <w:color w:val="000000"/>
          <w:sz w:val="22"/>
          <w:szCs w:val="22"/>
        </w:rPr>
        <w:t xml:space="preserve">: Fund Value by Manager as </w:t>
      </w:r>
      <w:proofErr w:type="gramStart"/>
      <w:r w:rsidR="003A2B06" w:rsidRPr="00601B12">
        <w:rPr>
          <w:rFonts w:ascii="Arial" w:hAnsi="Arial" w:cs="Arial"/>
          <w:b/>
          <w:color w:val="000000"/>
          <w:sz w:val="22"/>
          <w:szCs w:val="22"/>
        </w:rPr>
        <w:t>at</w:t>
      </w:r>
      <w:proofErr w:type="gramEnd"/>
      <w:r w:rsidR="003A2B06" w:rsidRPr="00601B12">
        <w:rPr>
          <w:rFonts w:ascii="Arial" w:hAnsi="Arial" w:cs="Arial"/>
          <w:b/>
          <w:color w:val="000000"/>
          <w:sz w:val="22"/>
          <w:szCs w:val="22"/>
        </w:rPr>
        <w:t xml:space="preserve"> </w:t>
      </w:r>
      <w:r w:rsidR="00453250">
        <w:rPr>
          <w:rFonts w:ascii="Arial" w:hAnsi="Arial" w:cs="Arial"/>
          <w:b/>
          <w:color w:val="000000"/>
          <w:sz w:val="22"/>
          <w:szCs w:val="22"/>
        </w:rPr>
        <w:t>31 March 202</w:t>
      </w:r>
      <w:r w:rsidR="00A27B65">
        <w:rPr>
          <w:rFonts w:ascii="Arial" w:hAnsi="Arial" w:cs="Arial"/>
          <w:b/>
          <w:color w:val="000000"/>
          <w:sz w:val="22"/>
          <w:szCs w:val="22"/>
        </w:rPr>
        <w:t>2</w:t>
      </w:r>
    </w:p>
    <w:p w14:paraId="621F8346" w14:textId="67FB955C" w:rsidR="00077C52" w:rsidRPr="00601B12" w:rsidRDefault="00077C52" w:rsidP="003A2B06">
      <w:pPr>
        <w:ind w:left="426"/>
        <w:rPr>
          <w:rFonts w:ascii="Arial" w:hAnsi="Arial" w:cs="Arial"/>
          <w:b/>
          <w:color w:val="000000"/>
          <w:sz w:val="22"/>
          <w:szCs w:val="22"/>
        </w:rPr>
      </w:pPr>
    </w:p>
    <w:p w14:paraId="38C85C20" w14:textId="77777777" w:rsidR="00D8411B" w:rsidRDefault="000D7763" w:rsidP="000D7763">
      <w:pPr>
        <w:rPr>
          <w:rFonts w:ascii="Arial" w:hAnsi="Arial" w:cs="Arial"/>
          <w:color w:val="000000"/>
          <w:sz w:val="22"/>
          <w:szCs w:val="22"/>
        </w:rPr>
      </w:pPr>
      <w:r>
        <w:rPr>
          <w:rFonts w:ascii="Arial" w:hAnsi="Arial" w:cs="Arial"/>
          <w:color w:val="000000"/>
          <w:sz w:val="22"/>
          <w:szCs w:val="22"/>
        </w:rPr>
        <w:t>T</w:t>
      </w:r>
      <w:r w:rsidR="00956806">
        <w:rPr>
          <w:rFonts w:ascii="Arial" w:hAnsi="Arial" w:cs="Arial"/>
          <w:color w:val="000000"/>
          <w:sz w:val="22"/>
          <w:szCs w:val="22"/>
        </w:rPr>
        <w:t xml:space="preserve">he </w:t>
      </w:r>
      <w:r w:rsidR="00372AAE" w:rsidRPr="00601B12">
        <w:rPr>
          <w:rFonts w:ascii="Arial" w:hAnsi="Arial" w:cs="Arial"/>
          <w:color w:val="000000"/>
          <w:sz w:val="22"/>
          <w:szCs w:val="22"/>
        </w:rPr>
        <w:t>percentage split between asset class is graphically shown in the pie chart below.</w:t>
      </w:r>
    </w:p>
    <w:p w14:paraId="6D1623AE" w14:textId="4895E03D" w:rsidR="00372AAE" w:rsidRPr="00601B12" w:rsidRDefault="00372AAE" w:rsidP="000D7763">
      <w:pPr>
        <w:rPr>
          <w:rFonts w:ascii="Arial" w:hAnsi="Arial" w:cs="Arial"/>
          <w:color w:val="000000"/>
          <w:sz w:val="22"/>
          <w:szCs w:val="22"/>
        </w:rPr>
      </w:pPr>
      <w:r w:rsidRPr="00601B12">
        <w:rPr>
          <w:rFonts w:ascii="Arial" w:hAnsi="Arial" w:cs="Arial"/>
          <w:color w:val="000000"/>
          <w:sz w:val="22"/>
          <w:szCs w:val="22"/>
        </w:rPr>
        <w:t xml:space="preserve"> </w:t>
      </w:r>
    </w:p>
    <w:p w14:paraId="23FF59B7" w14:textId="2C84F9AA" w:rsidR="00EC5EED" w:rsidRDefault="00C107DE" w:rsidP="00912367">
      <w:pPr>
        <w:rPr>
          <w:rFonts w:ascii="Arial" w:hAnsi="Arial" w:cs="Arial"/>
          <w:b/>
          <w:color w:val="000000"/>
          <w:sz w:val="22"/>
          <w:szCs w:val="22"/>
        </w:rPr>
      </w:pPr>
      <w:r>
        <w:rPr>
          <w:rFonts w:cs="Arial"/>
          <w:b/>
          <w:noProof/>
          <w:color w:val="000000"/>
        </w:rPr>
        <w:drawing>
          <wp:inline distT="0" distB="0" distL="0" distR="0" wp14:anchorId="6ABD98C7" wp14:editId="1B723A11">
            <wp:extent cx="5905500" cy="4185565"/>
            <wp:effectExtent l="0" t="0" r="0" b="5715"/>
            <wp:docPr id="13" name="Picture 13" descr="Chart, pi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hart, pie chart&#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15879" cy="4192921"/>
                    </a:xfrm>
                    <a:prstGeom prst="rect">
                      <a:avLst/>
                    </a:prstGeom>
                    <a:noFill/>
                  </pic:spPr>
                </pic:pic>
              </a:graphicData>
            </a:graphic>
          </wp:inline>
        </w:drawing>
      </w:r>
    </w:p>
    <w:p w14:paraId="3C9DBD2B" w14:textId="576BCBE7" w:rsidR="00FA45FB" w:rsidRPr="00601B12" w:rsidRDefault="005F10F7" w:rsidP="00A419BD">
      <w:pPr>
        <w:ind w:left="426" w:hanging="426"/>
        <w:rPr>
          <w:rFonts w:ascii="Arial" w:hAnsi="Arial" w:cs="Arial"/>
          <w:b/>
          <w:bCs/>
          <w:color w:val="0070C0"/>
          <w:sz w:val="22"/>
          <w:szCs w:val="22"/>
        </w:rPr>
      </w:pPr>
      <w:r w:rsidRPr="00A224B9">
        <w:rPr>
          <w:rFonts w:ascii="Arial" w:hAnsi="Arial" w:cs="Arial"/>
          <w:b/>
          <w:bCs/>
          <w:color w:val="0070C0"/>
          <w:sz w:val="22"/>
          <w:szCs w:val="22"/>
        </w:rPr>
        <w:t>5.</w:t>
      </w:r>
      <w:r w:rsidR="008F36E8" w:rsidRPr="00A224B9">
        <w:rPr>
          <w:rFonts w:ascii="Arial" w:hAnsi="Arial" w:cs="Arial"/>
          <w:b/>
          <w:bCs/>
          <w:color w:val="0070C0"/>
          <w:sz w:val="22"/>
          <w:szCs w:val="22"/>
        </w:rPr>
        <w:t>5</w:t>
      </w:r>
      <w:r w:rsidRPr="00A224B9">
        <w:rPr>
          <w:rFonts w:ascii="Arial" w:hAnsi="Arial" w:cs="Arial"/>
          <w:b/>
          <w:bCs/>
          <w:color w:val="0070C0"/>
          <w:sz w:val="22"/>
          <w:szCs w:val="22"/>
        </w:rPr>
        <w:tab/>
      </w:r>
      <w:r w:rsidRPr="00A224B9">
        <w:rPr>
          <w:rFonts w:ascii="Arial" w:hAnsi="Arial" w:cs="Arial"/>
          <w:b/>
          <w:color w:val="0070C0"/>
          <w:sz w:val="22"/>
          <w:szCs w:val="22"/>
        </w:rPr>
        <w:t>Independent Advisor</w:t>
      </w:r>
      <w:r w:rsidR="00567955" w:rsidRPr="00A224B9">
        <w:rPr>
          <w:rFonts w:ascii="Arial" w:hAnsi="Arial" w:cs="Arial"/>
          <w:b/>
          <w:color w:val="0070C0"/>
          <w:sz w:val="22"/>
          <w:szCs w:val="22"/>
        </w:rPr>
        <w:t>’</w:t>
      </w:r>
      <w:r w:rsidRPr="00A224B9">
        <w:rPr>
          <w:rFonts w:ascii="Arial" w:hAnsi="Arial" w:cs="Arial"/>
          <w:b/>
          <w:color w:val="0070C0"/>
          <w:sz w:val="22"/>
          <w:szCs w:val="22"/>
        </w:rPr>
        <w:t xml:space="preserve">s </w:t>
      </w:r>
      <w:r w:rsidR="00567955" w:rsidRPr="00A224B9">
        <w:rPr>
          <w:rFonts w:ascii="Arial" w:hAnsi="Arial" w:cs="Arial"/>
          <w:b/>
          <w:color w:val="0070C0"/>
          <w:sz w:val="22"/>
          <w:szCs w:val="22"/>
        </w:rPr>
        <w:t xml:space="preserve">(John Raisin) </w:t>
      </w:r>
      <w:r w:rsidRPr="00A224B9">
        <w:rPr>
          <w:rFonts w:ascii="Arial" w:hAnsi="Arial" w:cs="Arial"/>
          <w:b/>
          <w:color w:val="0070C0"/>
          <w:sz w:val="22"/>
          <w:szCs w:val="22"/>
        </w:rPr>
        <w:t>Market Report 20</w:t>
      </w:r>
      <w:r w:rsidR="00BD5E60" w:rsidRPr="00A224B9">
        <w:rPr>
          <w:rFonts w:ascii="Arial" w:hAnsi="Arial" w:cs="Arial"/>
          <w:b/>
          <w:color w:val="0070C0"/>
          <w:sz w:val="22"/>
          <w:szCs w:val="22"/>
        </w:rPr>
        <w:t>2</w:t>
      </w:r>
      <w:r w:rsidR="00A224B9" w:rsidRPr="00A224B9">
        <w:rPr>
          <w:rFonts w:ascii="Arial" w:hAnsi="Arial" w:cs="Arial"/>
          <w:b/>
          <w:color w:val="0070C0"/>
          <w:sz w:val="22"/>
          <w:szCs w:val="22"/>
        </w:rPr>
        <w:t>1-22</w:t>
      </w:r>
    </w:p>
    <w:p w14:paraId="44E98E7C" w14:textId="794975C8" w:rsidR="007A276C" w:rsidRDefault="007A276C" w:rsidP="0076066D">
      <w:pPr>
        <w:jc w:val="both"/>
        <w:rPr>
          <w:rFonts w:ascii="Arial" w:hAnsi="Arial" w:cs="Arial"/>
          <w:sz w:val="22"/>
          <w:szCs w:val="22"/>
        </w:rPr>
      </w:pPr>
    </w:p>
    <w:p w14:paraId="2160BC29" w14:textId="77777777" w:rsidR="00A224B9" w:rsidRPr="00A224B9" w:rsidRDefault="00A224B9" w:rsidP="00A224B9">
      <w:pPr>
        <w:jc w:val="both"/>
        <w:rPr>
          <w:rFonts w:ascii="Arial" w:hAnsi="Arial" w:cs="Arial"/>
        </w:rPr>
      </w:pPr>
      <w:r w:rsidRPr="00A224B9">
        <w:rPr>
          <w:rFonts w:ascii="Arial" w:hAnsi="Arial" w:cs="Arial"/>
        </w:rPr>
        <w:t>During 2021-2022 world equity markets (as measured by the MSCI World Index) advanced by 10%. Significant progress in vaccine rollouts in developed markets, the ongoing reopening of economies and the easing of social restrictions supported by both continuing ultra loose monetary (central bank) policy and fiscal (government) stimulus and positive corporate earnings all initially buoyed markets. However, as the year progressed concerns regarding inflation and consequent tightening of monetary policy (which has done so much to stimulate both economies and financial markets since the outbreak of COVID) increased. Benchmark Government Bonds weakened with yields increasing (meaning prices fell) in the context of increasing inflationary expectations and the direction of major Central Bank policy in relation to interest rate rises.</w:t>
      </w:r>
    </w:p>
    <w:p w14:paraId="171F40FF" w14:textId="77777777" w:rsidR="00A224B9" w:rsidRPr="00A224B9" w:rsidRDefault="00A224B9" w:rsidP="00A224B9">
      <w:pPr>
        <w:jc w:val="both"/>
        <w:rPr>
          <w:rFonts w:ascii="Arial" w:hAnsi="Arial" w:cs="Arial"/>
        </w:rPr>
      </w:pPr>
    </w:p>
    <w:p w14:paraId="250D30C8" w14:textId="77777777" w:rsidR="00A224B9" w:rsidRPr="00A224B9" w:rsidRDefault="00A224B9" w:rsidP="00A224B9">
      <w:pPr>
        <w:jc w:val="both"/>
        <w:rPr>
          <w:rFonts w:ascii="Arial" w:hAnsi="Arial" w:cs="Arial"/>
        </w:rPr>
      </w:pPr>
      <w:r w:rsidRPr="00A224B9">
        <w:rPr>
          <w:rFonts w:ascii="Arial" w:hAnsi="Arial" w:cs="Arial"/>
        </w:rPr>
        <w:t>World equity markets enjoyed a positive April to December 2021 but early 2022 was negative. While in early 2022 markets were adversely affected by the threat of and then the invasion of Ukraine by Russia this was not the primary reason for market declines, although it was likely a prime factor contributing to volatility. Rather the primary reasons for decline were ongoing concerns regarding high inflation and the likely/actual tightening of monetary policy by the major central banks which came increasingly to the fore during 2021-2022.</w:t>
      </w:r>
    </w:p>
    <w:p w14:paraId="061540B3" w14:textId="77777777" w:rsidR="00A224B9" w:rsidRPr="00A224B9" w:rsidRDefault="00A224B9" w:rsidP="00A224B9">
      <w:pPr>
        <w:jc w:val="both"/>
        <w:rPr>
          <w:rFonts w:ascii="Arial" w:hAnsi="Arial" w:cs="Arial"/>
        </w:rPr>
      </w:pPr>
    </w:p>
    <w:p w14:paraId="785FD6E9" w14:textId="77777777" w:rsidR="00A224B9" w:rsidRPr="00A224B9" w:rsidRDefault="00A224B9" w:rsidP="00A224B9">
      <w:pPr>
        <w:jc w:val="both"/>
        <w:rPr>
          <w:rFonts w:ascii="Arial" w:hAnsi="Arial" w:cs="Arial"/>
        </w:rPr>
      </w:pPr>
      <w:r w:rsidRPr="00A224B9">
        <w:rPr>
          <w:rFonts w:ascii="Arial" w:hAnsi="Arial" w:cs="Arial"/>
        </w:rPr>
        <w:t>During 2021-2022 there were significant variations in equity returns with western developed markets, particularly the United States, clearly outperforming Asia, and Emerging Markets. While the S&amp;P 500 advanced by around 15% (in $ terms) and the FTSE All Share by 13% (in £ terms), the MSCI Asia (ex-Japan) and MSCI Emerging Market indices declined by approximately 11% and 14% (in $ terms) respectively. Factors adversely affecting these markets included slower COVID vaccine rollouts and Chinese COVID lockdowns, concerns regarding slowing global growth, inflation, and interest rate policy in the US and other advanced economies.</w:t>
      </w:r>
    </w:p>
    <w:p w14:paraId="0FC49837" w14:textId="77777777" w:rsidR="00A224B9" w:rsidRPr="00A224B9" w:rsidRDefault="00A224B9" w:rsidP="00A224B9">
      <w:pPr>
        <w:jc w:val="both"/>
        <w:rPr>
          <w:rFonts w:ascii="Arial" w:hAnsi="Arial" w:cs="Arial"/>
        </w:rPr>
      </w:pPr>
    </w:p>
    <w:p w14:paraId="04103B4B" w14:textId="77777777" w:rsidR="00A224B9" w:rsidRPr="00A224B9" w:rsidRDefault="00A224B9" w:rsidP="00A224B9">
      <w:pPr>
        <w:jc w:val="both"/>
        <w:rPr>
          <w:rFonts w:ascii="Arial" w:hAnsi="Arial" w:cs="Arial"/>
        </w:rPr>
      </w:pPr>
      <w:r w:rsidRPr="00A224B9">
        <w:rPr>
          <w:rFonts w:ascii="Arial" w:hAnsi="Arial" w:cs="Arial"/>
        </w:rPr>
        <w:t>Inflation was a major theme during 2021-2022. The OECD (Organisation for Economic Co-operation and Development) reported that CPI inflation in the OECD area (of over thirty countries) had reached 8.8% by March 2022 compared with 3.3% in April 2021. As the year progressed leading central banks indicated a shift in their thinking on inflation. This was clearly exemplified by the US Federal Reserve ceasing to refer to the current enhanced levels of inflation as “transitory” in documentation after November 2021. During 2021-2022 forward estimates of inflation for 2022 issued by the Federal Reserve, Bank of England, and European Central Bank all clearly increased.</w:t>
      </w:r>
    </w:p>
    <w:p w14:paraId="7DBF6065" w14:textId="77777777" w:rsidR="00A224B9" w:rsidRPr="00A224B9" w:rsidRDefault="00A224B9" w:rsidP="00A224B9">
      <w:pPr>
        <w:jc w:val="both"/>
        <w:rPr>
          <w:rFonts w:ascii="Arial" w:hAnsi="Arial" w:cs="Arial"/>
        </w:rPr>
      </w:pPr>
      <w:r w:rsidRPr="00A224B9">
        <w:rPr>
          <w:rFonts w:ascii="Arial" w:hAnsi="Arial" w:cs="Arial"/>
        </w:rPr>
        <w:t>Despite a poor final Quarter US Equities enjoyed a clearly positive 2021-2022 with the S&amp;P index increasing by 15% over the year. US Unemployment continued to fall. Unemployment had been 6.0% in March 2021 but had fallen to 4.7% in September 2021, 3.9% in December 2021 and 3.6% in March 2022.</w:t>
      </w:r>
    </w:p>
    <w:p w14:paraId="31E1ECB7" w14:textId="77777777" w:rsidR="00A224B9" w:rsidRPr="00A224B9" w:rsidRDefault="00A224B9" w:rsidP="00A224B9">
      <w:pPr>
        <w:jc w:val="both"/>
        <w:rPr>
          <w:rFonts w:ascii="Arial" w:hAnsi="Arial" w:cs="Arial"/>
        </w:rPr>
      </w:pPr>
    </w:p>
    <w:p w14:paraId="1EA2DFF2" w14:textId="1D3E3B21" w:rsidR="00A224B9" w:rsidRPr="00A224B9" w:rsidRDefault="00A224B9" w:rsidP="00A224B9">
      <w:pPr>
        <w:jc w:val="both"/>
        <w:rPr>
          <w:rFonts w:ascii="Arial" w:hAnsi="Arial" w:cs="Arial"/>
        </w:rPr>
      </w:pPr>
      <w:r w:rsidRPr="00A224B9">
        <w:rPr>
          <w:rFonts w:ascii="Arial" w:hAnsi="Arial" w:cs="Arial"/>
        </w:rPr>
        <w:t xml:space="preserve">Throughout 2021-2022 an issue of discussion for the Federal Open Markets Committee (FOMC) of the US Federal Reserve, market commentators and the press continued to be the level and future trend of US inflation. The CPI Index which had been 2.6% in March 2021 reached 5.0% in May leading to press headlines when this was announced in June. By March 2022 it was 8.5%. In any debate about US </w:t>
      </w:r>
      <w:proofErr w:type="gramStart"/>
      <w:r w:rsidRPr="00A224B9">
        <w:rPr>
          <w:rFonts w:ascii="Arial" w:hAnsi="Arial" w:cs="Arial"/>
        </w:rPr>
        <w:t>inflation</w:t>
      </w:r>
      <w:proofErr w:type="gramEnd"/>
      <w:r w:rsidRPr="00A224B9">
        <w:rPr>
          <w:rFonts w:ascii="Arial" w:hAnsi="Arial" w:cs="Arial"/>
        </w:rPr>
        <w:t xml:space="preserve"> it must always be remembered that it is not the CPI or Core CPI rate but rather the Core PCE (Personal Consumption Expenditures Price Index, Excluding Food and Energy) issued by the US Bureau of Economic Analysis (BEA) that (to quote the BEA website) “is closely watched by the Federal Reserve as it conducts monetary policy.” Core PCE was however also clearly above 2% throughout 2021-2022. It was 3.1% in April 2021, 3.7% by September 2021, 5.1% in January 2022 and 5.2% in March 2022.</w:t>
      </w:r>
    </w:p>
    <w:p w14:paraId="697619B5" w14:textId="77777777" w:rsidR="00A224B9" w:rsidRPr="00A224B9" w:rsidRDefault="00A224B9" w:rsidP="00A224B9">
      <w:pPr>
        <w:jc w:val="both"/>
        <w:rPr>
          <w:rFonts w:ascii="Arial" w:hAnsi="Arial" w:cs="Arial"/>
        </w:rPr>
      </w:pPr>
    </w:p>
    <w:p w14:paraId="72C529F0" w14:textId="77777777" w:rsidR="00A224B9" w:rsidRPr="00A224B9" w:rsidRDefault="00A224B9" w:rsidP="00A224B9">
      <w:pPr>
        <w:jc w:val="both"/>
        <w:rPr>
          <w:rFonts w:ascii="Arial" w:hAnsi="Arial" w:cs="Arial"/>
        </w:rPr>
      </w:pPr>
      <w:r w:rsidRPr="00A224B9">
        <w:rPr>
          <w:rFonts w:ascii="Arial" w:hAnsi="Arial" w:cs="Arial"/>
        </w:rPr>
        <w:t>The US Federal Reserve has dual policy objectives of seeking “to achieve maximum employment and inflation at the rate of 2 percent over the longer run.” Given both the ongoing reductions in unemployment and the level of Core PCE inflation it was to be expected that the FOMC would actively consider adjustments to its monetary policy approach at its meetings during 2021-2022. At its April, June, July, and September 2021 meetings the FOMC voted to continue its existing extraordinary support for the economy and financial markets by maintaining its main interest rate (the Federal Funds Rate) at the range of 0-0.25% and its asset purchase programme at $120 billion per month.</w:t>
      </w:r>
    </w:p>
    <w:p w14:paraId="10E6DFB1" w14:textId="77777777" w:rsidR="00A224B9" w:rsidRPr="00A224B9" w:rsidRDefault="00A224B9" w:rsidP="00A224B9">
      <w:pPr>
        <w:jc w:val="both"/>
        <w:rPr>
          <w:rFonts w:ascii="Arial" w:hAnsi="Arial" w:cs="Arial"/>
        </w:rPr>
      </w:pPr>
    </w:p>
    <w:p w14:paraId="04203463" w14:textId="77777777" w:rsidR="00A224B9" w:rsidRPr="00A224B9" w:rsidRDefault="00A224B9" w:rsidP="00A224B9">
      <w:pPr>
        <w:jc w:val="both"/>
        <w:rPr>
          <w:rFonts w:ascii="Arial" w:hAnsi="Arial" w:cs="Arial"/>
        </w:rPr>
      </w:pPr>
      <w:r w:rsidRPr="00A224B9">
        <w:rPr>
          <w:rFonts w:ascii="Arial" w:hAnsi="Arial" w:cs="Arial"/>
        </w:rPr>
        <w:t xml:space="preserve"> Resulting from “substantial further progress” towards the FOMC goals of “maximum employment and inflation at the rate of 2 percent over the longer term” the November meeting agreed a decision to scale back the $120 billion per month asset purchase programme by $15 billion a month. At the December meeting “In light of inflation developments and further improvements in the </w:t>
      </w:r>
      <w:proofErr w:type="spellStart"/>
      <w:r w:rsidRPr="00A224B9">
        <w:rPr>
          <w:rFonts w:ascii="Arial" w:hAnsi="Arial" w:cs="Arial"/>
        </w:rPr>
        <w:t>labor</w:t>
      </w:r>
      <w:proofErr w:type="spellEnd"/>
      <w:r w:rsidRPr="00A224B9">
        <w:rPr>
          <w:rFonts w:ascii="Arial" w:hAnsi="Arial" w:cs="Arial"/>
        </w:rPr>
        <w:t xml:space="preserve"> market” the FOMC determined to further reduce these purchases by $30 billion a month from January 2022.</w:t>
      </w:r>
    </w:p>
    <w:p w14:paraId="62867E73" w14:textId="77777777" w:rsidR="00A224B9" w:rsidRPr="00A224B9" w:rsidRDefault="00A224B9" w:rsidP="00A224B9">
      <w:pPr>
        <w:jc w:val="both"/>
        <w:rPr>
          <w:rFonts w:ascii="Arial" w:hAnsi="Arial" w:cs="Arial"/>
        </w:rPr>
      </w:pPr>
    </w:p>
    <w:p w14:paraId="5CADDC5D" w14:textId="77777777" w:rsidR="00A224B9" w:rsidRPr="00A224B9" w:rsidRDefault="00A224B9" w:rsidP="00A224B9">
      <w:pPr>
        <w:jc w:val="both"/>
        <w:rPr>
          <w:rFonts w:ascii="Arial" w:hAnsi="Arial" w:cs="Arial"/>
        </w:rPr>
      </w:pPr>
      <w:r w:rsidRPr="00A224B9">
        <w:rPr>
          <w:rFonts w:ascii="Arial" w:hAnsi="Arial" w:cs="Arial"/>
        </w:rPr>
        <w:t xml:space="preserve">The January 2022 meeting of the FOMC did not raise interest rates but clearly signalled a forthcoming increase with the Press Release issued after the meeting including the statement “With inflation well above 2 percent and a strong </w:t>
      </w:r>
      <w:proofErr w:type="spellStart"/>
      <w:r w:rsidRPr="00A224B9">
        <w:rPr>
          <w:rFonts w:ascii="Arial" w:hAnsi="Arial" w:cs="Arial"/>
        </w:rPr>
        <w:t>labor</w:t>
      </w:r>
      <w:proofErr w:type="spellEnd"/>
      <w:r w:rsidRPr="00A224B9">
        <w:rPr>
          <w:rFonts w:ascii="Arial" w:hAnsi="Arial" w:cs="Arial"/>
        </w:rPr>
        <w:t xml:space="preserve"> market, the Committee expects it will soon be appropriate to raise the target range for the federal funds rate.” On 16 March 2022, the FOMC increased its benchmark interest rate, the Federal Funds Rate by 0.25%, the first increase since 2018. The accompanying press release stated “…the Committee decided to raise the target range for the federal funds rate to ¼ to ½ percent and anticipates that ongoing increases in the target range will be appropriate…”</w:t>
      </w:r>
    </w:p>
    <w:p w14:paraId="14EBCCC8" w14:textId="77777777" w:rsidR="00A224B9" w:rsidRPr="00A224B9" w:rsidRDefault="00A224B9" w:rsidP="00A224B9">
      <w:pPr>
        <w:jc w:val="both"/>
        <w:rPr>
          <w:rFonts w:ascii="Arial" w:hAnsi="Arial" w:cs="Arial"/>
        </w:rPr>
      </w:pPr>
    </w:p>
    <w:p w14:paraId="351BC4D6" w14:textId="77777777" w:rsidR="00A224B9" w:rsidRPr="00A224B9" w:rsidRDefault="00A224B9" w:rsidP="00A224B9">
      <w:pPr>
        <w:jc w:val="both"/>
        <w:rPr>
          <w:rFonts w:ascii="Arial" w:hAnsi="Arial" w:cs="Arial"/>
        </w:rPr>
      </w:pPr>
      <w:r w:rsidRPr="00A224B9">
        <w:rPr>
          <w:rFonts w:ascii="Arial" w:hAnsi="Arial" w:cs="Arial"/>
        </w:rPr>
        <w:t>Eurozone Equities (as measured by the MSCI EMU index) advanced by 2% over the period 2021-2022. During April to December 2021, they advanced by around 12%. Eurozone Equities, however, had a poor January to March 2022 Quarter in both real and absolute terms. The MSCI EMU index declined by over 9% in Euro terms. In addition to the adverse effects of concerns regarding inflation and interest rates European markets were unsurprisingly particularly affected by the increasing hostility of Russia to Ukraine and ultimately the Russian invasion. In February 2022 European markets sold off significantly more than World markets and recovered less in March.</w:t>
      </w:r>
    </w:p>
    <w:p w14:paraId="055B17B8" w14:textId="77777777" w:rsidR="00A224B9" w:rsidRPr="00A224B9" w:rsidRDefault="00A224B9" w:rsidP="00A224B9">
      <w:pPr>
        <w:jc w:val="both"/>
        <w:rPr>
          <w:rFonts w:ascii="Arial" w:hAnsi="Arial" w:cs="Arial"/>
        </w:rPr>
      </w:pPr>
    </w:p>
    <w:p w14:paraId="12A99662" w14:textId="77777777" w:rsidR="00A224B9" w:rsidRPr="00A224B9" w:rsidRDefault="00A224B9" w:rsidP="00A224B9">
      <w:pPr>
        <w:jc w:val="both"/>
        <w:rPr>
          <w:rFonts w:ascii="Arial" w:hAnsi="Arial" w:cs="Arial"/>
        </w:rPr>
      </w:pPr>
      <w:r w:rsidRPr="00A224B9">
        <w:rPr>
          <w:rFonts w:ascii="Arial" w:hAnsi="Arial" w:cs="Arial"/>
        </w:rPr>
        <w:t>Eurozone inflation, as measured by the Harmonised Index of Consumer Prices (HICP) the European Central Bank’s (ECB) preferred measure, increased significantly during the year. HICP had been 1.3% in March 2021. By May 2021 it was 2.0%, by October 4.1%, by December 5.0%, by February 2022 it was 5.9% and 7.4% in March 2022. The main task of the ECB is to maintain price stability which it considers is best maintained by aiming for 2% over the medium term.</w:t>
      </w:r>
    </w:p>
    <w:p w14:paraId="0EFAEB59" w14:textId="77777777" w:rsidR="00A224B9" w:rsidRPr="00A224B9" w:rsidRDefault="00A224B9" w:rsidP="00A224B9">
      <w:pPr>
        <w:jc w:val="both"/>
        <w:rPr>
          <w:rFonts w:ascii="Arial" w:hAnsi="Arial" w:cs="Arial"/>
        </w:rPr>
      </w:pPr>
    </w:p>
    <w:p w14:paraId="4B235C38" w14:textId="77777777" w:rsidR="00A224B9" w:rsidRPr="00A224B9" w:rsidRDefault="00A224B9" w:rsidP="00A224B9">
      <w:pPr>
        <w:jc w:val="both"/>
        <w:rPr>
          <w:rFonts w:ascii="Arial" w:hAnsi="Arial" w:cs="Arial"/>
        </w:rPr>
      </w:pPr>
      <w:r w:rsidRPr="00A224B9">
        <w:rPr>
          <w:rFonts w:ascii="Arial" w:hAnsi="Arial" w:cs="Arial"/>
        </w:rPr>
        <w:t>During 2021-2022 the ECB also began to tighten its approach to monetary policy. The press release issued after the December 2021 policy meeting stated “The Governing Council judges that the progress on economic recovery and towards its medium-term inflation target permits a step-by-step reduction in the pace of its asset purchases over the coming quarters…” The March 2022 meeting of the ECB Governing Council resulted in an acceleration of the pace of withdrawal of its asset purchase programme. However, unlike the US Federal Reserve and Bank of England the ECB did not begin the process of interest rate rises.</w:t>
      </w:r>
    </w:p>
    <w:p w14:paraId="2695B49A" w14:textId="77777777" w:rsidR="00A224B9" w:rsidRPr="00A224B9" w:rsidRDefault="00A224B9" w:rsidP="00A224B9">
      <w:pPr>
        <w:jc w:val="both"/>
        <w:rPr>
          <w:rFonts w:ascii="Arial" w:hAnsi="Arial" w:cs="Arial"/>
        </w:rPr>
      </w:pPr>
    </w:p>
    <w:p w14:paraId="583E2CC5" w14:textId="77777777" w:rsidR="00A224B9" w:rsidRPr="00A224B9" w:rsidRDefault="00A224B9" w:rsidP="00A224B9">
      <w:pPr>
        <w:jc w:val="both"/>
        <w:rPr>
          <w:rFonts w:ascii="Arial" w:hAnsi="Arial" w:cs="Arial"/>
        </w:rPr>
      </w:pPr>
      <w:r w:rsidRPr="00A224B9">
        <w:rPr>
          <w:rFonts w:ascii="Arial" w:hAnsi="Arial" w:cs="Arial"/>
        </w:rPr>
        <w:t>UK Listed Equities had a positive 2021-2022 with the FTSE All Share advancing by approximately 13% (total return). In addition to a successful April to December 2021 UK equity markets, as defined by the FTSE All Share Index, ended the January to March 2022 Quarter slightly (+0.5% in £ terms) up which was in clear contrast to other major equity markets. This was driven by the FTSE 100 index of the largest companies listed in the UK. These have a global focus and a significant weighting to energy, utilities, mining, and large banks which prospered (to a greater or lesser extent) in the context of rising inflation, interest rate expectations, pressures in the energy market, and the Ukraine conflict. The FTSE 100 advanced by over 2% during the Quarter. In contrast the FTSE 250 index whose constituent companies are more focussed on the UK domestic economy declined by over 9%.</w:t>
      </w:r>
    </w:p>
    <w:p w14:paraId="64485D94" w14:textId="77777777" w:rsidR="00A224B9" w:rsidRPr="00A224B9" w:rsidRDefault="00A224B9" w:rsidP="00A224B9">
      <w:pPr>
        <w:jc w:val="both"/>
        <w:rPr>
          <w:rFonts w:ascii="Arial" w:hAnsi="Arial" w:cs="Arial"/>
        </w:rPr>
      </w:pPr>
    </w:p>
    <w:p w14:paraId="473AD2B4" w14:textId="77777777" w:rsidR="00A224B9" w:rsidRDefault="00A224B9" w:rsidP="00A224B9">
      <w:pPr>
        <w:jc w:val="both"/>
        <w:rPr>
          <w:rFonts w:ascii="Arial" w:hAnsi="Arial" w:cs="Arial"/>
        </w:rPr>
      </w:pPr>
      <w:r w:rsidRPr="00A224B9">
        <w:rPr>
          <w:rFonts w:ascii="Arial" w:hAnsi="Arial" w:cs="Arial"/>
        </w:rPr>
        <w:t>UK Unemployment fell during the year from 4.7% to 3.7%. which also saw a very significant increase in inflation. CPI inflation which had been 0.7% in March 2021 was 2.5% by June, 4.2% in October, 5.4% in December and 7.0% in March 2022. The Bank of England has a target to set monetary policy to keep inflation at 2% as measured by the CPI index. By August and September, the Bank was indicating potential future tightening of monetary policy.</w:t>
      </w:r>
    </w:p>
    <w:p w14:paraId="35107085" w14:textId="77777777" w:rsidR="00287C8B" w:rsidRPr="00A224B9" w:rsidRDefault="00287C8B" w:rsidP="00A224B9">
      <w:pPr>
        <w:jc w:val="both"/>
        <w:rPr>
          <w:rFonts w:ascii="Arial" w:hAnsi="Arial" w:cs="Arial"/>
        </w:rPr>
      </w:pPr>
    </w:p>
    <w:p w14:paraId="36B2185C" w14:textId="77777777" w:rsidR="00A224B9" w:rsidRPr="00A224B9" w:rsidRDefault="00A224B9" w:rsidP="00A224B9">
      <w:pPr>
        <w:jc w:val="both"/>
        <w:rPr>
          <w:rFonts w:ascii="Arial" w:hAnsi="Arial" w:cs="Arial"/>
        </w:rPr>
      </w:pPr>
      <w:r w:rsidRPr="00A224B9">
        <w:rPr>
          <w:rFonts w:ascii="Arial" w:hAnsi="Arial" w:cs="Arial"/>
        </w:rPr>
        <w:t xml:space="preserve">At its December 2021 meeting the Bank of England Monetary Policy Committee (MPC) increased Base Rate from 0.1% to 0.25% the first increase since August 2018. The Summary issued after the meeting stated “At its November meeting, the Committee judged that, provided the incoming data…were broadly in line with the central projections in the November Monetary Policy Report, it would be necessary over coming months to increase Bank Rate </w:t>
      </w:r>
      <w:proofErr w:type="gramStart"/>
      <w:r w:rsidRPr="00A224B9">
        <w:rPr>
          <w:rFonts w:ascii="Arial" w:hAnsi="Arial" w:cs="Arial"/>
        </w:rPr>
        <w:t>in order to</w:t>
      </w:r>
      <w:proofErr w:type="gramEnd"/>
      <w:r w:rsidRPr="00A224B9">
        <w:rPr>
          <w:rFonts w:ascii="Arial" w:hAnsi="Arial" w:cs="Arial"/>
        </w:rPr>
        <w:t xml:space="preserve"> return CPI inflation sustainably to the 2% target. Recent economic developments suggest that these conditions have been met. The labour market is tight and has continued to tighten, and there are some signs of greater persistence in domestic cost and price pressures…The Committee judges that an increase in Bank Rate of 0.15 percentage points is warranted at this meeting.” In February 2022, the MPC increased Base Rate from 0.25% to 0.5%. The March 2022 meeting saw another further 0.25% increase in Bank Rate from 0.5% to 0.75%. The Summary issued after the meeting included the statement “Developments since the February Report are likely to accentuate both the peak in inflation and the adverse impact on activity by intensifying the squeeze on household incomes.”</w:t>
      </w:r>
    </w:p>
    <w:p w14:paraId="695D5A82" w14:textId="77777777" w:rsidR="00A224B9" w:rsidRPr="00A224B9" w:rsidRDefault="00A224B9" w:rsidP="00A224B9">
      <w:pPr>
        <w:jc w:val="both"/>
        <w:rPr>
          <w:rFonts w:ascii="Arial" w:hAnsi="Arial" w:cs="Arial"/>
        </w:rPr>
      </w:pPr>
    </w:p>
    <w:p w14:paraId="3D662C4E" w14:textId="77777777" w:rsidR="00A224B9" w:rsidRPr="00A224B9" w:rsidRDefault="00A224B9" w:rsidP="00A224B9">
      <w:pPr>
        <w:jc w:val="both"/>
        <w:rPr>
          <w:rFonts w:ascii="Arial" w:hAnsi="Arial" w:cs="Arial"/>
        </w:rPr>
      </w:pPr>
      <w:r w:rsidRPr="00A224B9">
        <w:rPr>
          <w:rFonts w:ascii="Arial" w:hAnsi="Arial" w:cs="Arial"/>
        </w:rPr>
        <w:t xml:space="preserve">Japanese Equities as measured by the Nikkei 225 Index declined by around 5% during 2021-2022. Japan which had seen deflation since October 2020 saw inflation return (just) in September 2021 with the CPI Index at +0.2%. By March 2022 CPI Inflation had reached 1.2% but this was still clearly below the Bank of Japan’s 2% target. Therefore, it is no surprise that in contrast to the other major Central Bank’s the Bank of Japan continued to reaffirm commitment throughout 2021-2022 to both its </w:t>
      </w:r>
      <w:proofErr w:type="spellStart"/>
      <w:r w:rsidRPr="00A224B9">
        <w:rPr>
          <w:rFonts w:ascii="Arial" w:hAnsi="Arial" w:cs="Arial"/>
        </w:rPr>
        <w:t>ultra low</w:t>
      </w:r>
      <w:proofErr w:type="spellEnd"/>
      <w:r w:rsidRPr="00A224B9">
        <w:rPr>
          <w:rFonts w:ascii="Arial" w:hAnsi="Arial" w:cs="Arial"/>
        </w:rPr>
        <w:t xml:space="preserve"> interest rate and asset purchase programmes.</w:t>
      </w:r>
    </w:p>
    <w:p w14:paraId="13BE8893" w14:textId="77777777" w:rsidR="00A224B9" w:rsidRPr="00A224B9" w:rsidRDefault="00A224B9" w:rsidP="00A224B9">
      <w:pPr>
        <w:jc w:val="both"/>
        <w:rPr>
          <w:rFonts w:ascii="Arial" w:hAnsi="Arial" w:cs="Arial"/>
        </w:rPr>
      </w:pPr>
    </w:p>
    <w:p w14:paraId="0F8A39E2" w14:textId="77777777" w:rsidR="00A224B9" w:rsidRPr="00A224B9" w:rsidRDefault="00A224B9" w:rsidP="00A224B9">
      <w:pPr>
        <w:jc w:val="both"/>
        <w:rPr>
          <w:rFonts w:ascii="Arial" w:hAnsi="Arial" w:cs="Arial"/>
        </w:rPr>
      </w:pPr>
      <w:r w:rsidRPr="00A224B9">
        <w:rPr>
          <w:rFonts w:ascii="Arial" w:hAnsi="Arial" w:cs="Arial"/>
        </w:rPr>
        <w:t>In all four Quarters of 2021-2022 Asia (excluding Japan) and Emerging Markets overall performed less well than developed western markets. However, in the context of the Russia Ukraine conflict and the consequent significant pressure on commodity prices the January to March 2022 Quarter was very positive for Latin American (Emerging Market) equities given the role of South America as a major commodity exporting region.</w:t>
      </w:r>
    </w:p>
    <w:p w14:paraId="44DB5BB5" w14:textId="77777777" w:rsidR="00A224B9" w:rsidRPr="00A224B9" w:rsidRDefault="00A224B9" w:rsidP="00A224B9">
      <w:pPr>
        <w:jc w:val="both"/>
        <w:rPr>
          <w:rFonts w:ascii="Arial" w:hAnsi="Arial" w:cs="Arial"/>
        </w:rPr>
      </w:pPr>
    </w:p>
    <w:p w14:paraId="6D1623B4" w14:textId="2E5A08F8" w:rsidR="005F10F7" w:rsidRDefault="00A224B9" w:rsidP="00A224B9">
      <w:pPr>
        <w:jc w:val="both"/>
        <w:rPr>
          <w:rFonts w:ascii="Arial" w:hAnsi="Arial" w:cs="Arial"/>
        </w:rPr>
      </w:pPr>
      <w:r w:rsidRPr="00A224B9">
        <w:rPr>
          <w:rFonts w:ascii="Arial" w:hAnsi="Arial" w:cs="Arial"/>
        </w:rPr>
        <w:t>In conclusion, although 2021-22 was overall a successful year for financial markets this was in the context of increasing concerns regarding both inflation and reduced ongoing major Central Bank monetary policy support. The invasion of Ukraine by Russia in early 2022 added yet another factor to an increasingly uncertain future financial and economic market environment.</w:t>
      </w:r>
    </w:p>
    <w:p w14:paraId="425C6B08" w14:textId="77777777" w:rsidR="00BD5E60" w:rsidRPr="00601B12" w:rsidRDefault="00BD5E60" w:rsidP="005F10F7">
      <w:pPr>
        <w:jc w:val="both"/>
        <w:rPr>
          <w:rFonts w:ascii="Arial" w:hAnsi="Arial" w:cs="Arial"/>
        </w:rPr>
      </w:pPr>
    </w:p>
    <w:p w14:paraId="6D1623CB" w14:textId="77777777" w:rsidR="00C41C82" w:rsidRPr="00601B12" w:rsidRDefault="00EE48E9" w:rsidP="00510382">
      <w:pPr>
        <w:autoSpaceDE w:val="0"/>
        <w:autoSpaceDN w:val="0"/>
        <w:adjustRightInd w:val="0"/>
        <w:jc w:val="both"/>
        <w:rPr>
          <w:rFonts w:ascii="Arial" w:hAnsi="Arial" w:cs="Arial"/>
          <w:b/>
          <w:bCs/>
          <w:color w:val="0070C0"/>
          <w:sz w:val="22"/>
          <w:szCs w:val="22"/>
        </w:rPr>
      </w:pPr>
      <w:r w:rsidRPr="00601B12">
        <w:rPr>
          <w:rFonts w:ascii="Arial" w:hAnsi="Arial" w:cs="Arial"/>
          <w:b/>
          <w:bCs/>
          <w:color w:val="0070C0"/>
          <w:sz w:val="22"/>
          <w:szCs w:val="22"/>
        </w:rPr>
        <w:t>5</w:t>
      </w:r>
      <w:r w:rsidR="00E83DDF" w:rsidRPr="00601B12">
        <w:rPr>
          <w:rFonts w:ascii="Arial" w:hAnsi="Arial" w:cs="Arial"/>
          <w:b/>
          <w:bCs/>
          <w:color w:val="0070C0"/>
          <w:sz w:val="22"/>
          <w:szCs w:val="22"/>
        </w:rPr>
        <w:t>.</w:t>
      </w:r>
      <w:r w:rsidR="008F36E8" w:rsidRPr="00601B12">
        <w:rPr>
          <w:rFonts w:ascii="Arial" w:hAnsi="Arial" w:cs="Arial"/>
          <w:b/>
          <w:bCs/>
          <w:color w:val="0070C0"/>
          <w:sz w:val="22"/>
          <w:szCs w:val="22"/>
        </w:rPr>
        <w:t>6</w:t>
      </w:r>
      <w:r w:rsidR="00C41C82" w:rsidRPr="00601B12">
        <w:rPr>
          <w:rFonts w:ascii="Arial" w:hAnsi="Arial" w:cs="Arial"/>
          <w:b/>
          <w:bCs/>
          <w:color w:val="0070C0"/>
          <w:sz w:val="22"/>
          <w:szCs w:val="22"/>
        </w:rPr>
        <w:tab/>
      </w:r>
      <w:r w:rsidR="00097CF2" w:rsidRPr="00601B12">
        <w:rPr>
          <w:rFonts w:ascii="Arial" w:hAnsi="Arial" w:cs="Arial"/>
          <w:b/>
          <w:bCs/>
          <w:color w:val="0070C0"/>
          <w:sz w:val="22"/>
          <w:szCs w:val="22"/>
        </w:rPr>
        <w:t xml:space="preserve">Fund </w:t>
      </w:r>
      <w:r w:rsidR="00C41C82" w:rsidRPr="00601B12">
        <w:rPr>
          <w:rFonts w:ascii="Arial" w:hAnsi="Arial" w:cs="Arial"/>
          <w:b/>
          <w:bCs/>
          <w:color w:val="0070C0"/>
          <w:sz w:val="22"/>
          <w:szCs w:val="22"/>
        </w:rPr>
        <w:t>Investment performance</w:t>
      </w:r>
    </w:p>
    <w:p w14:paraId="6D1623CC" w14:textId="77777777" w:rsidR="00C41C82" w:rsidRPr="00601B12" w:rsidRDefault="00C41C82" w:rsidP="004146ED">
      <w:pPr>
        <w:autoSpaceDE w:val="0"/>
        <w:autoSpaceDN w:val="0"/>
        <w:adjustRightInd w:val="0"/>
        <w:ind w:left="426" w:hanging="426"/>
        <w:jc w:val="both"/>
        <w:rPr>
          <w:rFonts w:ascii="Arial" w:hAnsi="Arial" w:cs="Arial"/>
          <w:b/>
          <w:bCs/>
          <w:color w:val="000000"/>
          <w:sz w:val="22"/>
          <w:szCs w:val="22"/>
        </w:rPr>
      </w:pPr>
    </w:p>
    <w:p w14:paraId="51CD23E7" w14:textId="79BCA90C" w:rsidR="00153325" w:rsidRDefault="00153325" w:rsidP="00153325">
      <w:pPr>
        <w:ind w:left="284"/>
        <w:jc w:val="both"/>
        <w:rPr>
          <w:rFonts w:ascii="Arial" w:hAnsi="Arial" w:cs="Arial"/>
          <w:sz w:val="22"/>
          <w:szCs w:val="22"/>
        </w:rPr>
      </w:pPr>
      <w:r w:rsidRPr="00042A25">
        <w:rPr>
          <w:rFonts w:ascii="Arial" w:hAnsi="Arial" w:cs="Arial"/>
          <w:sz w:val="22"/>
          <w:szCs w:val="22"/>
        </w:rPr>
        <w:t xml:space="preserve">The overall investment return for the fund </w:t>
      </w:r>
      <w:r>
        <w:rPr>
          <w:rFonts w:ascii="Arial" w:hAnsi="Arial" w:cs="Arial"/>
          <w:sz w:val="22"/>
          <w:szCs w:val="22"/>
        </w:rPr>
        <w:t>over</w:t>
      </w:r>
      <w:r w:rsidRPr="00042A25">
        <w:rPr>
          <w:rFonts w:ascii="Arial" w:hAnsi="Arial" w:cs="Arial"/>
          <w:sz w:val="22"/>
          <w:szCs w:val="22"/>
        </w:rPr>
        <w:t xml:space="preserve"> the year</w:t>
      </w:r>
      <w:r>
        <w:rPr>
          <w:rFonts w:ascii="Arial" w:hAnsi="Arial" w:cs="Arial"/>
          <w:sz w:val="22"/>
          <w:szCs w:val="22"/>
        </w:rPr>
        <w:t>,</w:t>
      </w:r>
      <w:r w:rsidRPr="00042A25">
        <w:rPr>
          <w:rFonts w:ascii="Arial" w:hAnsi="Arial" w:cs="Arial"/>
          <w:sz w:val="22"/>
          <w:szCs w:val="22"/>
        </w:rPr>
        <w:t xml:space="preserve"> net of fund manager fees and custodian costs was </w:t>
      </w:r>
      <w:r w:rsidR="00AB102D">
        <w:rPr>
          <w:rFonts w:ascii="Arial" w:hAnsi="Arial" w:cs="Arial"/>
          <w:sz w:val="22"/>
          <w:szCs w:val="22"/>
        </w:rPr>
        <w:t>5.1</w:t>
      </w:r>
      <w:r w:rsidRPr="00042A25">
        <w:rPr>
          <w:rFonts w:ascii="Arial" w:hAnsi="Arial" w:cs="Arial"/>
          <w:sz w:val="22"/>
          <w:szCs w:val="22"/>
        </w:rPr>
        <w:t xml:space="preserve">%, which was </w:t>
      </w:r>
      <w:r w:rsidR="00213867">
        <w:rPr>
          <w:rFonts w:ascii="Arial" w:hAnsi="Arial" w:cs="Arial"/>
          <w:sz w:val="22"/>
          <w:szCs w:val="22"/>
        </w:rPr>
        <w:t>5.4</w:t>
      </w:r>
      <w:r w:rsidRPr="00042A25">
        <w:rPr>
          <w:rFonts w:ascii="Arial" w:hAnsi="Arial" w:cs="Arial"/>
          <w:sz w:val="22"/>
          <w:szCs w:val="22"/>
        </w:rPr>
        <w:t xml:space="preserve">% </w:t>
      </w:r>
      <w:r w:rsidR="00186357">
        <w:rPr>
          <w:rFonts w:ascii="Arial" w:hAnsi="Arial" w:cs="Arial"/>
          <w:sz w:val="22"/>
          <w:szCs w:val="22"/>
        </w:rPr>
        <w:t>lower</w:t>
      </w:r>
      <w:r w:rsidRPr="00042A25">
        <w:rPr>
          <w:rFonts w:ascii="Arial" w:hAnsi="Arial" w:cs="Arial"/>
          <w:sz w:val="22"/>
          <w:szCs w:val="22"/>
        </w:rPr>
        <w:t xml:space="preserve"> than its </w:t>
      </w:r>
      <w:r w:rsidRPr="00C17752">
        <w:rPr>
          <w:rFonts w:ascii="Arial" w:hAnsi="Arial" w:cs="Arial"/>
          <w:sz w:val="22"/>
          <w:szCs w:val="22"/>
        </w:rPr>
        <w:t xml:space="preserve">benchmark of </w:t>
      </w:r>
      <w:r w:rsidR="00186357">
        <w:rPr>
          <w:rFonts w:ascii="Arial" w:hAnsi="Arial" w:cs="Arial"/>
          <w:sz w:val="22"/>
          <w:szCs w:val="22"/>
        </w:rPr>
        <w:t>10.5</w:t>
      </w:r>
      <w:r w:rsidRPr="00C17752">
        <w:rPr>
          <w:rFonts w:ascii="Arial" w:hAnsi="Arial" w:cs="Arial"/>
          <w:sz w:val="22"/>
          <w:szCs w:val="22"/>
        </w:rPr>
        <w:t xml:space="preserve">%. </w:t>
      </w:r>
    </w:p>
    <w:p w14:paraId="5485F148" w14:textId="77777777" w:rsidR="00153325" w:rsidRDefault="00153325" w:rsidP="00153325">
      <w:pPr>
        <w:ind w:left="284"/>
        <w:jc w:val="both"/>
        <w:rPr>
          <w:rFonts w:ascii="Arial" w:hAnsi="Arial" w:cs="Arial"/>
          <w:sz w:val="22"/>
          <w:szCs w:val="22"/>
        </w:rPr>
      </w:pPr>
    </w:p>
    <w:p w14:paraId="6D1623D1" w14:textId="3AD2ABD4" w:rsidR="00097CF2" w:rsidRPr="009413B5" w:rsidRDefault="00153325" w:rsidP="009413B5">
      <w:pPr>
        <w:ind w:left="284"/>
        <w:rPr>
          <w:rFonts w:ascii="Arial" w:hAnsi="Arial" w:cs="Arial"/>
          <w:sz w:val="22"/>
          <w:szCs w:val="22"/>
        </w:rPr>
      </w:pPr>
      <w:r w:rsidRPr="00476FC0">
        <w:rPr>
          <w:rFonts w:ascii="Arial" w:hAnsi="Arial" w:cs="Arial"/>
          <w:sz w:val="22"/>
          <w:szCs w:val="22"/>
        </w:rPr>
        <w:t xml:space="preserve">Over three years the fund’s annualised return was 8.8%, </w:t>
      </w:r>
      <w:r w:rsidR="003C538D" w:rsidRPr="00476FC0">
        <w:rPr>
          <w:rFonts w:ascii="Arial" w:hAnsi="Arial" w:cs="Arial"/>
          <w:sz w:val="22"/>
          <w:szCs w:val="22"/>
        </w:rPr>
        <w:t>1</w:t>
      </w:r>
      <w:r w:rsidRPr="00476FC0">
        <w:rPr>
          <w:rFonts w:ascii="Arial" w:hAnsi="Arial" w:cs="Arial"/>
          <w:sz w:val="22"/>
          <w:szCs w:val="22"/>
        </w:rPr>
        <w:t xml:space="preserve">.3% below the Fund’s benchmark return of </w:t>
      </w:r>
      <w:r w:rsidR="006B796C" w:rsidRPr="00476FC0">
        <w:rPr>
          <w:rFonts w:ascii="Arial" w:hAnsi="Arial" w:cs="Arial"/>
          <w:sz w:val="22"/>
          <w:szCs w:val="22"/>
        </w:rPr>
        <w:t>10</w:t>
      </w:r>
      <w:r w:rsidRPr="00476FC0">
        <w:rPr>
          <w:rFonts w:ascii="Arial" w:hAnsi="Arial" w:cs="Arial"/>
          <w:sz w:val="22"/>
          <w:szCs w:val="22"/>
        </w:rPr>
        <w:t xml:space="preserve">.1%. </w:t>
      </w:r>
      <w:r w:rsidR="00AF47D4" w:rsidRPr="00AF47D4">
        <w:rPr>
          <w:rFonts w:ascii="Arial" w:hAnsi="Arial" w:cs="Arial"/>
          <w:sz w:val="22"/>
          <w:szCs w:val="22"/>
        </w:rPr>
        <w:t>Over one-year Baillie Gifford providing a negative return of 5.8% but</w:t>
      </w:r>
      <w:r w:rsidR="0041276C">
        <w:rPr>
          <w:rFonts w:ascii="Arial" w:hAnsi="Arial" w:cs="Arial"/>
          <w:sz w:val="22"/>
          <w:szCs w:val="22"/>
        </w:rPr>
        <w:t xml:space="preserve"> </w:t>
      </w:r>
      <w:r w:rsidR="00AF47D4" w:rsidRPr="00AF47D4">
        <w:rPr>
          <w:rFonts w:ascii="Arial" w:hAnsi="Arial" w:cs="Arial"/>
          <w:sz w:val="22"/>
          <w:szCs w:val="22"/>
        </w:rPr>
        <w:t xml:space="preserve">underperformed its benchmark by 18.4%, while BlackRock, </w:t>
      </w:r>
      <w:proofErr w:type="spellStart"/>
      <w:r w:rsidR="00AF47D4" w:rsidRPr="00AF47D4">
        <w:rPr>
          <w:rFonts w:ascii="Arial" w:hAnsi="Arial" w:cs="Arial"/>
          <w:sz w:val="22"/>
          <w:szCs w:val="22"/>
        </w:rPr>
        <w:t>Abrdn</w:t>
      </w:r>
      <w:proofErr w:type="spellEnd"/>
      <w:r w:rsidR="00AF47D4" w:rsidRPr="00AF47D4">
        <w:rPr>
          <w:rFonts w:ascii="Arial" w:hAnsi="Arial" w:cs="Arial"/>
          <w:sz w:val="22"/>
          <w:szCs w:val="22"/>
        </w:rPr>
        <w:t>, Hermes and passive equities provided double digit positive returns.</w:t>
      </w:r>
      <w:r w:rsidR="001C0D72">
        <w:rPr>
          <w:rFonts w:ascii="Arial" w:hAnsi="Arial" w:cs="Arial"/>
          <w:sz w:val="22"/>
          <w:szCs w:val="22"/>
        </w:rPr>
        <w:t xml:space="preserve"> </w:t>
      </w:r>
      <w:r w:rsidR="00E76EC1">
        <w:rPr>
          <w:rFonts w:ascii="Arial" w:hAnsi="Arial" w:cs="Arial"/>
          <w:sz w:val="22"/>
          <w:szCs w:val="22"/>
        </w:rPr>
        <w:t xml:space="preserve">Newton and </w:t>
      </w:r>
      <w:proofErr w:type="spellStart"/>
      <w:r w:rsidR="00E76EC1">
        <w:rPr>
          <w:rFonts w:ascii="Arial" w:hAnsi="Arial" w:cs="Arial"/>
          <w:sz w:val="22"/>
          <w:szCs w:val="22"/>
        </w:rPr>
        <w:t>Pyrford</w:t>
      </w:r>
      <w:proofErr w:type="spellEnd"/>
      <w:r w:rsidR="00E76EC1">
        <w:rPr>
          <w:rFonts w:ascii="Arial" w:hAnsi="Arial" w:cs="Arial"/>
          <w:sz w:val="22"/>
          <w:szCs w:val="22"/>
        </w:rPr>
        <w:t xml:space="preserve"> also under</w:t>
      </w:r>
      <w:r w:rsidR="002B01E1">
        <w:rPr>
          <w:rFonts w:ascii="Arial" w:hAnsi="Arial" w:cs="Arial"/>
          <w:sz w:val="22"/>
          <w:szCs w:val="22"/>
        </w:rPr>
        <w:t>performed</w:t>
      </w:r>
      <w:r w:rsidR="00E76EC1">
        <w:rPr>
          <w:rFonts w:ascii="Arial" w:hAnsi="Arial" w:cs="Arial"/>
          <w:sz w:val="22"/>
          <w:szCs w:val="22"/>
        </w:rPr>
        <w:t xml:space="preserve"> their benchmark by</w:t>
      </w:r>
      <w:r w:rsidR="00684298">
        <w:rPr>
          <w:rFonts w:ascii="Arial" w:hAnsi="Arial" w:cs="Arial"/>
          <w:sz w:val="22"/>
          <w:szCs w:val="22"/>
        </w:rPr>
        <w:t xml:space="preserve"> 2.2% and </w:t>
      </w:r>
      <w:r w:rsidR="002B01E1">
        <w:rPr>
          <w:rFonts w:ascii="Arial" w:hAnsi="Arial" w:cs="Arial"/>
          <w:sz w:val="22"/>
          <w:szCs w:val="22"/>
        </w:rPr>
        <w:t xml:space="preserve">9.1% respectively. </w:t>
      </w:r>
      <w:r w:rsidR="00097CF2" w:rsidRPr="00DB5123">
        <w:rPr>
          <w:rFonts w:ascii="Arial" w:hAnsi="Arial" w:cs="Arial"/>
          <w:bCs/>
          <w:color w:val="000000"/>
          <w:sz w:val="22"/>
          <w:szCs w:val="22"/>
        </w:rPr>
        <w:t>The Fund’s value since 1 April 200</w:t>
      </w:r>
      <w:r w:rsidR="009B7C15" w:rsidRPr="00DB5123">
        <w:rPr>
          <w:rFonts w:ascii="Arial" w:hAnsi="Arial" w:cs="Arial"/>
          <w:bCs/>
          <w:color w:val="000000"/>
          <w:sz w:val="22"/>
          <w:szCs w:val="22"/>
        </w:rPr>
        <w:t>9</w:t>
      </w:r>
      <w:r w:rsidR="00097CF2" w:rsidRPr="00DB5123">
        <w:rPr>
          <w:rFonts w:ascii="Arial" w:hAnsi="Arial" w:cs="Arial"/>
          <w:bCs/>
          <w:color w:val="000000"/>
          <w:sz w:val="22"/>
          <w:szCs w:val="22"/>
        </w:rPr>
        <w:t xml:space="preserve"> is shown in Chart </w:t>
      </w:r>
      <w:r w:rsidR="00E51569" w:rsidRPr="00DB5123">
        <w:rPr>
          <w:rFonts w:ascii="Arial" w:hAnsi="Arial" w:cs="Arial"/>
          <w:bCs/>
          <w:color w:val="000000"/>
          <w:sz w:val="22"/>
          <w:szCs w:val="22"/>
        </w:rPr>
        <w:t>3</w:t>
      </w:r>
      <w:r w:rsidR="00097CF2" w:rsidRPr="00DB5123">
        <w:rPr>
          <w:rFonts w:ascii="Arial" w:hAnsi="Arial" w:cs="Arial"/>
          <w:bCs/>
          <w:color w:val="000000"/>
          <w:sz w:val="22"/>
          <w:szCs w:val="22"/>
        </w:rPr>
        <w:t xml:space="preserve"> below:</w:t>
      </w:r>
    </w:p>
    <w:p w14:paraId="6E81A672" w14:textId="77777777" w:rsidR="003D2F63" w:rsidRDefault="003D2F63" w:rsidP="00153325">
      <w:pPr>
        <w:autoSpaceDE w:val="0"/>
        <w:autoSpaceDN w:val="0"/>
        <w:adjustRightInd w:val="0"/>
        <w:ind w:left="284" w:hanging="284"/>
        <w:rPr>
          <w:rFonts w:ascii="Arial" w:hAnsi="Arial" w:cs="Arial"/>
          <w:b/>
          <w:bCs/>
          <w:color w:val="000000"/>
          <w:sz w:val="22"/>
          <w:szCs w:val="22"/>
        </w:rPr>
      </w:pPr>
    </w:p>
    <w:p w14:paraId="6D1623D4" w14:textId="7F8BC36D" w:rsidR="003E1F1B" w:rsidRPr="00601B12" w:rsidRDefault="00097CF2" w:rsidP="00153325">
      <w:pPr>
        <w:autoSpaceDE w:val="0"/>
        <w:autoSpaceDN w:val="0"/>
        <w:adjustRightInd w:val="0"/>
        <w:ind w:left="284"/>
        <w:rPr>
          <w:rFonts w:ascii="Arial" w:hAnsi="Arial" w:cs="Arial"/>
          <w:b/>
          <w:bCs/>
          <w:color w:val="000000"/>
          <w:sz w:val="22"/>
          <w:szCs w:val="22"/>
        </w:rPr>
      </w:pPr>
      <w:r w:rsidRPr="00601B12">
        <w:rPr>
          <w:rFonts w:ascii="Arial" w:hAnsi="Arial" w:cs="Arial"/>
          <w:b/>
          <w:bCs/>
          <w:color w:val="000000"/>
          <w:sz w:val="22"/>
          <w:szCs w:val="22"/>
        </w:rPr>
        <w:t xml:space="preserve">Chart </w:t>
      </w:r>
      <w:r w:rsidR="00E51569" w:rsidRPr="00601B12">
        <w:rPr>
          <w:rFonts w:ascii="Arial" w:hAnsi="Arial" w:cs="Arial"/>
          <w:b/>
          <w:bCs/>
          <w:color w:val="000000"/>
          <w:sz w:val="22"/>
          <w:szCs w:val="22"/>
        </w:rPr>
        <w:t>3</w:t>
      </w:r>
      <w:r w:rsidRPr="00601B12">
        <w:rPr>
          <w:rFonts w:ascii="Arial" w:hAnsi="Arial" w:cs="Arial"/>
          <w:b/>
          <w:bCs/>
          <w:color w:val="000000"/>
          <w:sz w:val="22"/>
          <w:szCs w:val="22"/>
        </w:rPr>
        <w:t>: Fund value in millions (1 April 200</w:t>
      </w:r>
      <w:r w:rsidR="003E1F1B" w:rsidRPr="00601B12">
        <w:rPr>
          <w:rFonts w:ascii="Arial" w:hAnsi="Arial" w:cs="Arial"/>
          <w:b/>
          <w:bCs/>
          <w:color w:val="000000"/>
          <w:sz w:val="22"/>
          <w:szCs w:val="22"/>
        </w:rPr>
        <w:t>8</w:t>
      </w:r>
      <w:r w:rsidRPr="00601B12">
        <w:rPr>
          <w:rFonts w:ascii="Arial" w:hAnsi="Arial" w:cs="Arial"/>
          <w:b/>
          <w:bCs/>
          <w:color w:val="000000"/>
          <w:sz w:val="22"/>
          <w:szCs w:val="22"/>
        </w:rPr>
        <w:t xml:space="preserve"> to </w:t>
      </w:r>
      <w:r w:rsidR="00453250">
        <w:rPr>
          <w:rFonts w:ascii="Arial" w:hAnsi="Arial" w:cs="Arial"/>
          <w:b/>
          <w:bCs/>
          <w:color w:val="000000"/>
          <w:sz w:val="22"/>
          <w:szCs w:val="22"/>
        </w:rPr>
        <w:t>31 March 202</w:t>
      </w:r>
      <w:r w:rsidR="00CF78D9">
        <w:rPr>
          <w:rFonts w:ascii="Arial" w:hAnsi="Arial" w:cs="Arial"/>
          <w:b/>
          <w:bCs/>
          <w:color w:val="000000"/>
          <w:sz w:val="22"/>
          <w:szCs w:val="22"/>
        </w:rPr>
        <w:t>2</w:t>
      </w:r>
      <w:r w:rsidRPr="00601B12">
        <w:rPr>
          <w:rFonts w:ascii="Arial" w:hAnsi="Arial" w:cs="Arial"/>
          <w:b/>
          <w:bCs/>
          <w:color w:val="000000"/>
          <w:sz w:val="22"/>
          <w:szCs w:val="22"/>
        </w:rPr>
        <w:t>)</w:t>
      </w:r>
      <w:r w:rsidR="009E7815" w:rsidRPr="00601B12">
        <w:rPr>
          <w:rFonts w:ascii="Arial" w:hAnsi="Arial" w:cs="Arial"/>
          <w:noProof/>
          <w:color w:val="000000" w:themeColor="text1"/>
          <w:sz w:val="22"/>
          <w:szCs w:val="22"/>
        </w:rPr>
        <w:t xml:space="preserve"> </w:t>
      </w:r>
    </w:p>
    <w:p w14:paraId="6D1623D5" w14:textId="253ACA06" w:rsidR="00BE70C6" w:rsidRPr="00601B12" w:rsidRDefault="001A0482" w:rsidP="001A0482">
      <w:pPr>
        <w:autoSpaceDE w:val="0"/>
        <w:autoSpaceDN w:val="0"/>
        <w:adjustRightInd w:val="0"/>
        <w:ind w:left="426" w:hanging="426"/>
        <w:rPr>
          <w:rFonts w:ascii="Arial" w:hAnsi="Arial" w:cs="Arial"/>
          <w:b/>
          <w:bCs/>
          <w:color w:val="000000"/>
          <w:sz w:val="22"/>
          <w:szCs w:val="22"/>
        </w:rPr>
      </w:pPr>
      <w:r>
        <w:rPr>
          <w:noProof/>
        </w:rPr>
        <w:drawing>
          <wp:inline distT="0" distB="0" distL="0" distR="0" wp14:anchorId="5B650F5D" wp14:editId="77D408EE">
            <wp:extent cx="5905500" cy="2667000"/>
            <wp:effectExtent l="0" t="0" r="6350" b="0"/>
            <wp:docPr id="19" name="Chart 19">
              <a:extLst xmlns:a="http://schemas.openxmlformats.org/drawingml/2006/main">
                <a:ext uri="{FF2B5EF4-FFF2-40B4-BE49-F238E27FC236}">
                  <a16:creationId xmlns:a16="http://schemas.microsoft.com/office/drawing/2014/main" id="{EA2E9F17-3FBE-4D3B-97B7-F0FD41188A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69CFDB44" w14:textId="040D52DB" w:rsidR="004C761C" w:rsidRDefault="004C761C" w:rsidP="00AF4014">
      <w:pPr>
        <w:tabs>
          <w:tab w:val="left" w:pos="9639"/>
        </w:tabs>
        <w:ind w:left="426" w:right="142" w:hanging="600"/>
        <w:jc w:val="both"/>
        <w:rPr>
          <w:rFonts w:ascii="Arial" w:hAnsi="Arial" w:cs="Arial"/>
          <w:color w:val="000000" w:themeColor="text1"/>
          <w:sz w:val="22"/>
          <w:szCs w:val="22"/>
        </w:rPr>
      </w:pPr>
    </w:p>
    <w:p w14:paraId="6D1623D6" w14:textId="768FB685" w:rsidR="00EE7443" w:rsidRDefault="00AF4014" w:rsidP="00AF4014">
      <w:pPr>
        <w:tabs>
          <w:tab w:val="left" w:pos="9639"/>
        </w:tabs>
        <w:ind w:left="426" w:right="142" w:hanging="600"/>
        <w:jc w:val="both"/>
        <w:rPr>
          <w:rFonts w:ascii="Arial" w:hAnsi="Arial" w:cs="Arial"/>
          <w:color w:val="000000" w:themeColor="text1"/>
          <w:sz w:val="22"/>
          <w:szCs w:val="22"/>
        </w:rPr>
      </w:pPr>
      <w:r w:rsidRPr="00E35F96">
        <w:rPr>
          <w:rFonts w:ascii="Arial" w:hAnsi="Arial" w:cs="Arial"/>
          <w:color w:val="000000" w:themeColor="text1"/>
          <w:sz w:val="22"/>
          <w:szCs w:val="22"/>
        </w:rPr>
        <w:t xml:space="preserve">The </w:t>
      </w:r>
      <w:proofErr w:type="spellStart"/>
      <w:r w:rsidRPr="00E35F96">
        <w:rPr>
          <w:rFonts w:ascii="Arial" w:hAnsi="Arial" w:cs="Arial"/>
          <w:color w:val="000000" w:themeColor="text1"/>
          <w:sz w:val="22"/>
          <w:szCs w:val="22"/>
        </w:rPr>
        <w:t>funds</w:t>
      </w:r>
      <w:proofErr w:type="spellEnd"/>
      <w:r w:rsidRPr="00E35F96">
        <w:rPr>
          <w:rFonts w:ascii="Arial" w:hAnsi="Arial" w:cs="Arial"/>
          <w:color w:val="000000" w:themeColor="text1"/>
          <w:sz w:val="22"/>
          <w:szCs w:val="22"/>
        </w:rPr>
        <w:t xml:space="preserve"> </w:t>
      </w:r>
      <w:r>
        <w:rPr>
          <w:rFonts w:ascii="Arial" w:hAnsi="Arial" w:cs="Arial"/>
          <w:color w:val="000000" w:themeColor="text1"/>
          <w:sz w:val="22"/>
          <w:szCs w:val="22"/>
        </w:rPr>
        <w:t xml:space="preserve">annual investment return since </w:t>
      </w:r>
      <w:r w:rsidR="000E491D">
        <w:rPr>
          <w:rFonts w:ascii="Arial" w:hAnsi="Arial" w:cs="Arial"/>
          <w:color w:val="000000" w:themeColor="text1"/>
          <w:sz w:val="22"/>
          <w:szCs w:val="22"/>
        </w:rPr>
        <w:t>201</w:t>
      </w:r>
      <w:r w:rsidR="00343305">
        <w:rPr>
          <w:rFonts w:ascii="Arial" w:hAnsi="Arial" w:cs="Arial"/>
          <w:color w:val="000000" w:themeColor="text1"/>
          <w:sz w:val="22"/>
          <w:szCs w:val="22"/>
        </w:rPr>
        <w:t>4</w:t>
      </w:r>
      <w:r w:rsidR="000E491D">
        <w:rPr>
          <w:rFonts w:ascii="Arial" w:hAnsi="Arial" w:cs="Arial"/>
          <w:color w:val="000000" w:themeColor="text1"/>
          <w:sz w:val="22"/>
          <w:szCs w:val="22"/>
        </w:rPr>
        <w:t>/1</w:t>
      </w:r>
      <w:r w:rsidR="00343305">
        <w:rPr>
          <w:rFonts w:ascii="Arial" w:hAnsi="Arial" w:cs="Arial"/>
          <w:color w:val="000000" w:themeColor="text1"/>
          <w:sz w:val="22"/>
          <w:szCs w:val="22"/>
        </w:rPr>
        <w:t>5</w:t>
      </w:r>
      <w:r>
        <w:rPr>
          <w:rFonts w:ascii="Arial" w:hAnsi="Arial" w:cs="Arial"/>
          <w:color w:val="000000" w:themeColor="text1"/>
          <w:sz w:val="22"/>
          <w:szCs w:val="22"/>
        </w:rPr>
        <w:t xml:space="preserve"> is shown in chart 4 below: </w:t>
      </w:r>
    </w:p>
    <w:p w14:paraId="6B445291" w14:textId="45ACEECC" w:rsidR="00541C29" w:rsidRDefault="00541C29" w:rsidP="00AF4014">
      <w:pPr>
        <w:tabs>
          <w:tab w:val="left" w:pos="9639"/>
        </w:tabs>
        <w:ind w:left="426" w:right="142" w:hanging="600"/>
        <w:jc w:val="both"/>
        <w:rPr>
          <w:rFonts w:ascii="Arial" w:hAnsi="Arial" w:cs="Arial"/>
          <w:color w:val="000000" w:themeColor="text1"/>
          <w:sz w:val="22"/>
          <w:szCs w:val="22"/>
        </w:rPr>
      </w:pPr>
    </w:p>
    <w:p w14:paraId="759E1C24" w14:textId="29F8701D" w:rsidR="00AF4014" w:rsidRDefault="00541C29" w:rsidP="0076066D">
      <w:pPr>
        <w:autoSpaceDE w:val="0"/>
        <w:autoSpaceDN w:val="0"/>
        <w:adjustRightInd w:val="0"/>
        <w:ind w:left="426" w:hanging="426"/>
        <w:rPr>
          <w:rFonts w:ascii="Arial" w:hAnsi="Arial" w:cs="Arial"/>
          <w:color w:val="000000" w:themeColor="text1"/>
          <w:sz w:val="22"/>
          <w:szCs w:val="22"/>
        </w:rPr>
      </w:pPr>
      <w:r w:rsidRPr="00BF3546">
        <w:rPr>
          <w:rFonts w:ascii="Arial" w:hAnsi="Arial" w:cs="Arial"/>
          <w:b/>
          <w:bCs/>
          <w:color w:val="000000"/>
          <w:sz w:val="22"/>
          <w:szCs w:val="22"/>
        </w:rPr>
        <w:t>Chart 4: Annual Investment Return</w:t>
      </w:r>
      <w:r w:rsidR="00621521" w:rsidRPr="00BF3546">
        <w:rPr>
          <w:rFonts w:ascii="Arial" w:hAnsi="Arial" w:cs="Arial"/>
          <w:b/>
          <w:bCs/>
          <w:color w:val="000000"/>
          <w:sz w:val="22"/>
          <w:szCs w:val="22"/>
        </w:rPr>
        <w:t xml:space="preserve"> in %</w:t>
      </w:r>
    </w:p>
    <w:p w14:paraId="7C2B72D6" w14:textId="0707C509" w:rsidR="00BA630D" w:rsidRDefault="00343305" w:rsidP="0076066D">
      <w:pPr>
        <w:tabs>
          <w:tab w:val="left" w:pos="9191"/>
        </w:tabs>
        <w:ind w:left="426" w:right="142" w:hanging="426"/>
        <w:jc w:val="both"/>
        <w:rPr>
          <w:rFonts w:ascii="Arial" w:hAnsi="Arial" w:cs="Arial"/>
          <w:color w:val="000000" w:themeColor="text1"/>
          <w:sz w:val="22"/>
          <w:szCs w:val="22"/>
        </w:rPr>
      </w:pPr>
      <w:r>
        <w:rPr>
          <w:noProof/>
        </w:rPr>
        <w:drawing>
          <wp:inline distT="0" distB="0" distL="0" distR="0" wp14:anchorId="501EA41D" wp14:editId="68DE10B8">
            <wp:extent cx="5966460" cy="2743200"/>
            <wp:effectExtent l="0" t="0" r="0" b="0"/>
            <wp:docPr id="8" name="Chart 8">
              <a:extLst xmlns:a="http://schemas.openxmlformats.org/drawingml/2006/main">
                <a:ext uri="{FF2B5EF4-FFF2-40B4-BE49-F238E27FC236}">
                  <a16:creationId xmlns:a16="http://schemas.microsoft.com/office/drawing/2014/main" id="{9CBD94E3-797E-CE58-10A7-F486A5E104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BBD9F93" w14:textId="0D354E8D" w:rsidR="00E608A3" w:rsidRDefault="00E608A3" w:rsidP="0076066D">
      <w:pPr>
        <w:tabs>
          <w:tab w:val="left" w:pos="9639"/>
        </w:tabs>
        <w:ind w:right="142"/>
        <w:jc w:val="both"/>
        <w:rPr>
          <w:rFonts w:ascii="Arial" w:hAnsi="Arial" w:cs="Arial"/>
          <w:color w:val="000000" w:themeColor="text1"/>
          <w:sz w:val="22"/>
          <w:szCs w:val="22"/>
        </w:rPr>
      </w:pPr>
      <w:r>
        <w:rPr>
          <w:rFonts w:ascii="Arial" w:hAnsi="Arial" w:cs="Arial"/>
          <w:color w:val="000000" w:themeColor="text1"/>
          <w:sz w:val="22"/>
          <w:szCs w:val="22"/>
        </w:rPr>
        <w:t>The Funds</w:t>
      </w:r>
      <w:r w:rsidR="00380285">
        <w:rPr>
          <w:rFonts w:ascii="Arial" w:hAnsi="Arial" w:cs="Arial"/>
          <w:color w:val="000000" w:themeColor="text1"/>
          <w:sz w:val="22"/>
          <w:szCs w:val="22"/>
        </w:rPr>
        <w:t xml:space="preserve"> </w:t>
      </w:r>
      <w:r w:rsidR="00CE5CD9">
        <w:rPr>
          <w:rFonts w:ascii="Arial" w:hAnsi="Arial" w:cs="Arial"/>
          <w:color w:val="000000" w:themeColor="text1"/>
          <w:sz w:val="22"/>
          <w:szCs w:val="22"/>
        </w:rPr>
        <w:t>one, three and five-year</w:t>
      </w:r>
      <w:r w:rsidR="00380285">
        <w:rPr>
          <w:rFonts w:ascii="Arial" w:hAnsi="Arial" w:cs="Arial"/>
          <w:color w:val="000000" w:themeColor="text1"/>
          <w:sz w:val="22"/>
          <w:szCs w:val="22"/>
        </w:rPr>
        <w:t xml:space="preserve"> </w:t>
      </w:r>
      <w:r>
        <w:rPr>
          <w:rFonts w:ascii="Arial" w:hAnsi="Arial" w:cs="Arial"/>
          <w:color w:val="000000" w:themeColor="text1"/>
          <w:sz w:val="22"/>
          <w:szCs w:val="22"/>
        </w:rPr>
        <w:t xml:space="preserve">investment return </w:t>
      </w:r>
      <w:r w:rsidR="00686829">
        <w:rPr>
          <w:rFonts w:ascii="Arial" w:hAnsi="Arial" w:cs="Arial"/>
          <w:color w:val="000000" w:themeColor="text1"/>
          <w:sz w:val="22"/>
          <w:szCs w:val="22"/>
        </w:rPr>
        <w:t>is shown in chart 5 below:</w:t>
      </w:r>
    </w:p>
    <w:p w14:paraId="26B5AE53" w14:textId="3D31390B" w:rsidR="00686829" w:rsidRDefault="00686829" w:rsidP="00AF4014">
      <w:pPr>
        <w:tabs>
          <w:tab w:val="left" w:pos="9639"/>
        </w:tabs>
        <w:ind w:left="426" w:right="142" w:hanging="600"/>
        <w:jc w:val="both"/>
        <w:rPr>
          <w:rFonts w:ascii="Arial" w:hAnsi="Arial" w:cs="Arial"/>
          <w:color w:val="000000" w:themeColor="text1"/>
          <w:sz w:val="22"/>
          <w:szCs w:val="22"/>
        </w:rPr>
      </w:pPr>
    </w:p>
    <w:p w14:paraId="09B64315" w14:textId="15849F54" w:rsidR="00686829" w:rsidRDefault="00686829" w:rsidP="00621521">
      <w:pPr>
        <w:autoSpaceDE w:val="0"/>
        <w:autoSpaceDN w:val="0"/>
        <w:adjustRightInd w:val="0"/>
        <w:ind w:left="426" w:hanging="426"/>
        <w:rPr>
          <w:rFonts w:ascii="Arial" w:hAnsi="Arial" w:cs="Arial"/>
          <w:b/>
          <w:bCs/>
          <w:color w:val="000000"/>
          <w:sz w:val="22"/>
          <w:szCs w:val="22"/>
        </w:rPr>
      </w:pPr>
      <w:r w:rsidRPr="004B43A6">
        <w:rPr>
          <w:rFonts w:ascii="Arial" w:hAnsi="Arial" w:cs="Arial"/>
          <w:b/>
          <w:bCs/>
          <w:color w:val="000000"/>
          <w:sz w:val="22"/>
          <w:szCs w:val="22"/>
        </w:rPr>
        <w:t>Chart 5</w:t>
      </w:r>
      <w:r w:rsidR="00621521" w:rsidRPr="004B43A6">
        <w:rPr>
          <w:rFonts w:ascii="Arial" w:hAnsi="Arial" w:cs="Arial"/>
          <w:b/>
          <w:bCs/>
          <w:color w:val="000000"/>
          <w:sz w:val="22"/>
          <w:szCs w:val="22"/>
        </w:rPr>
        <w:t>: One, Three and Five</w:t>
      </w:r>
      <w:r w:rsidR="003B2191" w:rsidRPr="004B43A6">
        <w:rPr>
          <w:rFonts w:ascii="Arial" w:hAnsi="Arial" w:cs="Arial"/>
          <w:b/>
          <w:bCs/>
          <w:color w:val="000000"/>
          <w:sz w:val="22"/>
          <w:szCs w:val="22"/>
        </w:rPr>
        <w:t>-</w:t>
      </w:r>
      <w:r w:rsidR="00621521" w:rsidRPr="004B43A6">
        <w:rPr>
          <w:rFonts w:ascii="Arial" w:hAnsi="Arial" w:cs="Arial"/>
          <w:b/>
          <w:bCs/>
          <w:color w:val="000000"/>
          <w:sz w:val="22"/>
          <w:szCs w:val="22"/>
        </w:rPr>
        <w:t>Year Return in %</w:t>
      </w:r>
    </w:p>
    <w:p w14:paraId="1104C9E2" w14:textId="26837562" w:rsidR="00BE44CA" w:rsidRDefault="004B43A6" w:rsidP="00BE44CA">
      <w:pPr>
        <w:autoSpaceDE w:val="0"/>
        <w:autoSpaceDN w:val="0"/>
        <w:adjustRightInd w:val="0"/>
        <w:ind w:left="426" w:hanging="426"/>
        <w:rPr>
          <w:rFonts w:ascii="Arial" w:hAnsi="Arial" w:cs="Arial"/>
          <w:color w:val="000000" w:themeColor="text1"/>
          <w:sz w:val="22"/>
          <w:szCs w:val="22"/>
        </w:rPr>
      </w:pPr>
      <w:r>
        <w:rPr>
          <w:noProof/>
        </w:rPr>
        <w:drawing>
          <wp:inline distT="0" distB="0" distL="0" distR="0" wp14:anchorId="1C3B087F" wp14:editId="59086DAD">
            <wp:extent cx="5897880" cy="2247900"/>
            <wp:effectExtent l="0" t="0" r="7620" b="0"/>
            <wp:docPr id="11" name="Chart 11">
              <a:extLst xmlns:a="http://schemas.openxmlformats.org/drawingml/2006/main">
                <a:ext uri="{FF2B5EF4-FFF2-40B4-BE49-F238E27FC236}">
                  <a16:creationId xmlns:a16="http://schemas.microsoft.com/office/drawing/2014/main" id="{A349E733-CFC9-113B-C97D-08A8CAA2C8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E71A837" w14:textId="77777777" w:rsidR="009C5592" w:rsidRDefault="009C5592" w:rsidP="004146ED">
      <w:pPr>
        <w:autoSpaceDE w:val="0"/>
        <w:autoSpaceDN w:val="0"/>
        <w:adjustRightInd w:val="0"/>
        <w:ind w:left="426" w:hanging="426"/>
        <w:rPr>
          <w:rFonts w:ascii="Arial" w:hAnsi="Arial" w:cs="Arial"/>
          <w:b/>
          <w:bCs/>
          <w:color w:val="0070C0"/>
          <w:sz w:val="22"/>
          <w:szCs w:val="22"/>
        </w:rPr>
      </w:pPr>
    </w:p>
    <w:p w14:paraId="6D1623D9" w14:textId="434F1B3F" w:rsidR="005F10F7" w:rsidRPr="00601B12" w:rsidRDefault="00EE48E9" w:rsidP="00955D17">
      <w:pPr>
        <w:autoSpaceDE w:val="0"/>
        <w:autoSpaceDN w:val="0"/>
        <w:adjustRightInd w:val="0"/>
        <w:ind w:left="426" w:hanging="426"/>
        <w:rPr>
          <w:rFonts w:ascii="Arial" w:hAnsi="Arial" w:cs="Arial"/>
          <w:color w:val="000000"/>
          <w:sz w:val="22"/>
          <w:szCs w:val="22"/>
        </w:rPr>
      </w:pPr>
      <w:r w:rsidRPr="00181FFD">
        <w:rPr>
          <w:rFonts w:ascii="Arial" w:hAnsi="Arial" w:cs="Arial"/>
          <w:b/>
          <w:bCs/>
          <w:color w:val="0070C0"/>
          <w:sz w:val="22"/>
          <w:szCs w:val="22"/>
        </w:rPr>
        <w:t>5</w:t>
      </w:r>
      <w:r w:rsidR="00C41C82" w:rsidRPr="00181FFD">
        <w:rPr>
          <w:rFonts w:ascii="Arial" w:hAnsi="Arial" w:cs="Arial"/>
          <w:b/>
          <w:bCs/>
          <w:color w:val="0070C0"/>
          <w:sz w:val="22"/>
          <w:szCs w:val="22"/>
        </w:rPr>
        <w:t>.</w:t>
      </w:r>
      <w:r w:rsidR="008F36E8" w:rsidRPr="00181FFD">
        <w:rPr>
          <w:rFonts w:ascii="Arial" w:hAnsi="Arial" w:cs="Arial"/>
          <w:b/>
          <w:bCs/>
          <w:color w:val="0070C0"/>
          <w:sz w:val="22"/>
          <w:szCs w:val="22"/>
        </w:rPr>
        <w:t>7</w:t>
      </w:r>
      <w:r w:rsidR="00C41C82" w:rsidRPr="00181FFD">
        <w:rPr>
          <w:rFonts w:ascii="Arial" w:hAnsi="Arial" w:cs="Arial"/>
          <w:b/>
          <w:bCs/>
          <w:color w:val="0070C0"/>
          <w:sz w:val="22"/>
          <w:szCs w:val="22"/>
        </w:rPr>
        <w:tab/>
        <w:t>Investment Manager Performance</w:t>
      </w:r>
      <w:r w:rsidR="00955D17">
        <w:rPr>
          <w:rFonts w:ascii="Arial" w:hAnsi="Arial" w:cs="Arial"/>
          <w:b/>
          <w:bCs/>
          <w:color w:val="0070C0"/>
          <w:sz w:val="22"/>
          <w:szCs w:val="22"/>
        </w:rPr>
        <w:t xml:space="preserve">:  </w:t>
      </w:r>
      <w:r w:rsidR="00C41C82" w:rsidRPr="00601B12">
        <w:rPr>
          <w:rFonts w:ascii="Arial" w:hAnsi="Arial" w:cs="Arial"/>
          <w:color w:val="000000"/>
          <w:sz w:val="22"/>
          <w:szCs w:val="22"/>
        </w:rPr>
        <w:t xml:space="preserve">Professional fund managers undertake the day-to-day management of the Fund’s investments.  Each fund manager works to a specific investment target in both the value of the funds invested and the returns required. The Pension </w:t>
      </w:r>
      <w:r w:rsidR="00D576F8" w:rsidRPr="00601B12">
        <w:rPr>
          <w:rFonts w:ascii="Arial" w:hAnsi="Arial" w:cs="Arial"/>
          <w:color w:val="000000"/>
          <w:sz w:val="22"/>
          <w:szCs w:val="22"/>
        </w:rPr>
        <w:t>Committee</w:t>
      </w:r>
      <w:r w:rsidR="00C41C82" w:rsidRPr="00601B12">
        <w:rPr>
          <w:rFonts w:ascii="Arial" w:hAnsi="Arial" w:cs="Arial"/>
          <w:color w:val="000000"/>
          <w:sz w:val="22"/>
          <w:szCs w:val="22"/>
        </w:rPr>
        <w:t xml:space="preserve"> monitors how manager</w:t>
      </w:r>
      <w:r w:rsidR="00955D17">
        <w:rPr>
          <w:rFonts w:ascii="Arial" w:hAnsi="Arial" w:cs="Arial"/>
          <w:color w:val="000000"/>
          <w:sz w:val="22"/>
          <w:szCs w:val="22"/>
        </w:rPr>
        <w:t>s</w:t>
      </w:r>
      <w:r w:rsidR="00C41C82" w:rsidRPr="00601B12">
        <w:rPr>
          <w:rFonts w:ascii="Arial" w:hAnsi="Arial" w:cs="Arial"/>
          <w:color w:val="000000"/>
          <w:sz w:val="22"/>
          <w:szCs w:val="22"/>
        </w:rPr>
        <w:t xml:space="preserve"> performs and reviews the actual performance of the investment managers each quarter to ensure the Fund is performing in line with its own targets and against other local authorities.</w:t>
      </w:r>
      <w:r w:rsidR="00551E0B" w:rsidRPr="00601B12">
        <w:rPr>
          <w:rFonts w:ascii="Arial" w:hAnsi="Arial" w:cs="Arial"/>
          <w:color w:val="000000"/>
          <w:sz w:val="22"/>
          <w:szCs w:val="22"/>
        </w:rPr>
        <w:t xml:space="preserve"> </w:t>
      </w:r>
    </w:p>
    <w:p w14:paraId="6D1623DA" w14:textId="77777777" w:rsidR="005F10F7" w:rsidRPr="00601B12" w:rsidRDefault="005F10F7" w:rsidP="005F10F7">
      <w:pPr>
        <w:autoSpaceDE w:val="0"/>
        <w:autoSpaceDN w:val="0"/>
        <w:adjustRightInd w:val="0"/>
        <w:ind w:left="426" w:hanging="426"/>
        <w:rPr>
          <w:rFonts w:ascii="Arial" w:hAnsi="Arial" w:cs="Arial"/>
          <w:b/>
          <w:bCs/>
          <w:color w:val="0070C0"/>
          <w:sz w:val="22"/>
          <w:szCs w:val="22"/>
        </w:rPr>
      </w:pPr>
    </w:p>
    <w:p w14:paraId="6D1623DD" w14:textId="0D388E58" w:rsidR="00593FC5" w:rsidRDefault="007C0EBC" w:rsidP="00955D17">
      <w:pPr>
        <w:autoSpaceDE w:val="0"/>
        <w:autoSpaceDN w:val="0"/>
        <w:adjustRightInd w:val="0"/>
        <w:ind w:left="426" w:hanging="426"/>
        <w:rPr>
          <w:rFonts w:ascii="Arial" w:hAnsi="Arial" w:cs="Arial"/>
          <w:bCs/>
          <w:color w:val="000000"/>
          <w:sz w:val="22"/>
          <w:szCs w:val="22"/>
        </w:rPr>
      </w:pPr>
      <w:r w:rsidRPr="00601B12">
        <w:rPr>
          <w:rFonts w:ascii="Arial" w:hAnsi="Arial" w:cs="Arial"/>
          <w:b/>
          <w:bCs/>
          <w:color w:val="0070C0"/>
          <w:sz w:val="22"/>
          <w:szCs w:val="22"/>
        </w:rPr>
        <w:t>5.</w:t>
      </w:r>
      <w:r w:rsidR="008F36E8" w:rsidRPr="00601B12">
        <w:rPr>
          <w:rFonts w:ascii="Arial" w:hAnsi="Arial" w:cs="Arial"/>
          <w:b/>
          <w:bCs/>
          <w:color w:val="0070C0"/>
          <w:sz w:val="22"/>
          <w:szCs w:val="22"/>
        </w:rPr>
        <w:t>8</w:t>
      </w:r>
      <w:r w:rsidRPr="00601B12">
        <w:rPr>
          <w:rFonts w:ascii="Arial" w:hAnsi="Arial" w:cs="Arial"/>
          <w:b/>
          <w:bCs/>
          <w:color w:val="0070C0"/>
          <w:sz w:val="22"/>
          <w:szCs w:val="22"/>
        </w:rPr>
        <w:tab/>
        <w:t>Fund Assets and Income</w:t>
      </w:r>
      <w:r w:rsidR="00955D17">
        <w:rPr>
          <w:rFonts w:ascii="Arial" w:hAnsi="Arial" w:cs="Arial"/>
          <w:b/>
          <w:bCs/>
          <w:color w:val="0070C0"/>
          <w:sz w:val="22"/>
          <w:szCs w:val="22"/>
        </w:rPr>
        <w:t xml:space="preserve">: </w:t>
      </w:r>
      <w:r w:rsidRPr="00601B12">
        <w:rPr>
          <w:rFonts w:ascii="Arial" w:hAnsi="Arial" w:cs="Arial"/>
          <w:bCs/>
          <w:color w:val="000000"/>
          <w:sz w:val="22"/>
          <w:szCs w:val="22"/>
        </w:rPr>
        <w:t xml:space="preserve">An analysis of fund assets </w:t>
      </w:r>
      <w:proofErr w:type="gramStart"/>
      <w:r w:rsidRPr="00601B12">
        <w:rPr>
          <w:rFonts w:ascii="Arial" w:hAnsi="Arial" w:cs="Arial"/>
          <w:bCs/>
          <w:color w:val="000000"/>
          <w:sz w:val="22"/>
          <w:szCs w:val="22"/>
        </w:rPr>
        <w:t>at</w:t>
      </w:r>
      <w:proofErr w:type="gramEnd"/>
      <w:r w:rsidRPr="00601B12">
        <w:rPr>
          <w:rFonts w:ascii="Arial" w:hAnsi="Arial" w:cs="Arial"/>
          <w:bCs/>
          <w:color w:val="000000"/>
          <w:sz w:val="22"/>
          <w:szCs w:val="22"/>
        </w:rPr>
        <w:t xml:space="preserve"> </w:t>
      </w:r>
      <w:r w:rsidR="00453250">
        <w:rPr>
          <w:rFonts w:ascii="Arial" w:hAnsi="Arial" w:cs="Arial"/>
          <w:bCs/>
          <w:color w:val="000000"/>
          <w:sz w:val="22"/>
          <w:szCs w:val="22"/>
        </w:rPr>
        <w:t>31 March 202</w:t>
      </w:r>
      <w:r w:rsidR="00AF7C3D">
        <w:rPr>
          <w:rFonts w:ascii="Arial" w:hAnsi="Arial" w:cs="Arial"/>
          <w:bCs/>
          <w:color w:val="000000"/>
          <w:sz w:val="22"/>
          <w:szCs w:val="22"/>
        </w:rPr>
        <w:t>2</w:t>
      </w:r>
      <w:r w:rsidRPr="00601B12">
        <w:rPr>
          <w:rFonts w:ascii="Arial" w:hAnsi="Arial" w:cs="Arial"/>
          <w:bCs/>
          <w:color w:val="000000"/>
          <w:sz w:val="22"/>
          <w:szCs w:val="22"/>
        </w:rPr>
        <w:t xml:space="preserve"> and investment income (table </w:t>
      </w:r>
      <w:r w:rsidR="009C5249">
        <w:rPr>
          <w:rFonts w:ascii="Arial" w:hAnsi="Arial" w:cs="Arial"/>
          <w:bCs/>
          <w:color w:val="000000"/>
          <w:sz w:val="22"/>
          <w:szCs w:val="22"/>
        </w:rPr>
        <w:t xml:space="preserve">5 and </w:t>
      </w:r>
      <w:r w:rsidR="00AB76F2">
        <w:rPr>
          <w:rFonts w:ascii="Arial" w:hAnsi="Arial" w:cs="Arial"/>
          <w:bCs/>
          <w:color w:val="000000"/>
          <w:sz w:val="22"/>
          <w:szCs w:val="22"/>
        </w:rPr>
        <w:t>6</w:t>
      </w:r>
      <w:r w:rsidRPr="00601B12">
        <w:rPr>
          <w:rFonts w:ascii="Arial" w:hAnsi="Arial" w:cs="Arial"/>
          <w:bCs/>
          <w:color w:val="000000"/>
          <w:sz w:val="22"/>
          <w:szCs w:val="22"/>
        </w:rPr>
        <w:t xml:space="preserve">) during </w:t>
      </w:r>
      <w:r w:rsidR="00F22964">
        <w:rPr>
          <w:rFonts w:ascii="Arial" w:hAnsi="Arial" w:cs="Arial"/>
          <w:bCs/>
          <w:color w:val="000000"/>
          <w:sz w:val="22"/>
          <w:szCs w:val="22"/>
        </w:rPr>
        <w:t>202</w:t>
      </w:r>
      <w:r w:rsidR="00AF7C3D">
        <w:rPr>
          <w:rFonts w:ascii="Arial" w:hAnsi="Arial" w:cs="Arial"/>
          <w:bCs/>
          <w:color w:val="000000"/>
          <w:sz w:val="22"/>
          <w:szCs w:val="22"/>
        </w:rPr>
        <w:t>1</w:t>
      </w:r>
      <w:r w:rsidR="00F22964">
        <w:rPr>
          <w:rFonts w:ascii="Arial" w:hAnsi="Arial" w:cs="Arial"/>
          <w:bCs/>
          <w:color w:val="000000"/>
          <w:sz w:val="22"/>
          <w:szCs w:val="22"/>
        </w:rPr>
        <w:t>/2</w:t>
      </w:r>
      <w:r w:rsidR="00AF7C3D">
        <w:rPr>
          <w:rFonts w:ascii="Arial" w:hAnsi="Arial" w:cs="Arial"/>
          <w:bCs/>
          <w:color w:val="000000"/>
          <w:sz w:val="22"/>
          <w:szCs w:val="22"/>
        </w:rPr>
        <w:t>2</w:t>
      </w:r>
      <w:r w:rsidRPr="00601B12">
        <w:rPr>
          <w:rFonts w:ascii="Arial" w:hAnsi="Arial" w:cs="Arial"/>
          <w:bCs/>
          <w:color w:val="000000"/>
          <w:sz w:val="22"/>
          <w:szCs w:val="22"/>
        </w:rPr>
        <w:t xml:space="preserve"> is below. </w:t>
      </w:r>
      <w:r w:rsidR="00593FC5" w:rsidRPr="00601B12">
        <w:rPr>
          <w:rFonts w:ascii="Arial" w:hAnsi="Arial" w:cs="Arial"/>
          <w:bCs/>
          <w:color w:val="000000"/>
          <w:sz w:val="22"/>
          <w:szCs w:val="22"/>
        </w:rPr>
        <w:t>Th</w:t>
      </w:r>
      <w:r w:rsidR="009C5249">
        <w:rPr>
          <w:rFonts w:ascii="Arial" w:hAnsi="Arial" w:cs="Arial"/>
          <w:bCs/>
          <w:color w:val="000000"/>
          <w:sz w:val="22"/>
          <w:szCs w:val="22"/>
        </w:rPr>
        <w:t>is</w:t>
      </w:r>
      <w:r w:rsidR="00593FC5" w:rsidRPr="00601B12">
        <w:rPr>
          <w:rFonts w:ascii="Arial" w:hAnsi="Arial" w:cs="Arial"/>
          <w:bCs/>
          <w:color w:val="000000"/>
          <w:sz w:val="22"/>
          <w:szCs w:val="22"/>
        </w:rPr>
        <w:t xml:space="preserve"> reporting assist</w:t>
      </w:r>
      <w:r w:rsidR="009C5249">
        <w:rPr>
          <w:rFonts w:ascii="Arial" w:hAnsi="Arial" w:cs="Arial"/>
          <w:bCs/>
          <w:color w:val="000000"/>
          <w:sz w:val="22"/>
          <w:szCs w:val="22"/>
        </w:rPr>
        <w:t>s</w:t>
      </w:r>
      <w:r w:rsidR="00593FC5" w:rsidRPr="00601B12">
        <w:rPr>
          <w:rFonts w:ascii="Arial" w:hAnsi="Arial" w:cs="Arial"/>
          <w:bCs/>
          <w:color w:val="000000"/>
          <w:sz w:val="22"/>
          <w:szCs w:val="22"/>
        </w:rPr>
        <w:t xml:space="preserve"> with the production of the LGPS annual report and therefore the categories reported may differ from the accounts, which have different reporting requirement</w:t>
      </w:r>
      <w:r w:rsidR="002B5841">
        <w:rPr>
          <w:rFonts w:ascii="Arial" w:hAnsi="Arial" w:cs="Arial"/>
          <w:bCs/>
          <w:color w:val="000000"/>
          <w:sz w:val="22"/>
          <w:szCs w:val="22"/>
        </w:rPr>
        <w:t>s</w:t>
      </w:r>
      <w:r w:rsidR="00593FC5" w:rsidRPr="00601B12">
        <w:rPr>
          <w:rFonts w:ascii="Arial" w:hAnsi="Arial" w:cs="Arial"/>
          <w:bCs/>
          <w:color w:val="000000"/>
          <w:sz w:val="22"/>
          <w:szCs w:val="22"/>
        </w:rPr>
        <w:t>.</w:t>
      </w:r>
      <w:r w:rsidR="00656F60">
        <w:rPr>
          <w:rFonts w:ascii="Arial" w:hAnsi="Arial" w:cs="Arial"/>
          <w:bCs/>
          <w:color w:val="000000"/>
          <w:sz w:val="22"/>
          <w:szCs w:val="22"/>
        </w:rPr>
        <w:t xml:space="preserve"> Fund asset values do not include accruals. As most of the Fund’s investments are in pooled funds, the geographical split is based on where the Fund manager is registered rather than the that of the underlying holdings.</w:t>
      </w:r>
    </w:p>
    <w:p w14:paraId="1308D698" w14:textId="77777777" w:rsidR="00AB76F2" w:rsidRDefault="00AB76F2" w:rsidP="004146ED">
      <w:pPr>
        <w:pStyle w:val="NormalWeb"/>
        <w:shd w:val="clear" w:color="auto" w:fill="F9F9F9"/>
        <w:spacing w:before="0" w:beforeAutospacing="0" w:after="0" w:afterAutospacing="0"/>
        <w:ind w:left="426" w:hanging="426"/>
        <w:rPr>
          <w:rFonts w:ascii="Arial" w:hAnsi="Arial" w:cs="Arial"/>
          <w:b/>
          <w:bCs/>
          <w:color w:val="000000"/>
          <w:sz w:val="22"/>
          <w:szCs w:val="22"/>
        </w:rPr>
      </w:pPr>
    </w:p>
    <w:p w14:paraId="6D1623DF" w14:textId="6B04CA1E" w:rsidR="00593FC5" w:rsidRPr="00601B12" w:rsidRDefault="004146ED" w:rsidP="004146ED">
      <w:pPr>
        <w:pStyle w:val="NormalWeb"/>
        <w:shd w:val="clear" w:color="auto" w:fill="F9F9F9"/>
        <w:spacing w:before="0" w:beforeAutospacing="0" w:after="0" w:afterAutospacing="0"/>
        <w:ind w:left="426" w:hanging="426"/>
        <w:rPr>
          <w:rFonts w:ascii="Arial" w:hAnsi="Arial" w:cs="Arial"/>
          <w:color w:val="000000"/>
          <w:sz w:val="22"/>
          <w:szCs w:val="22"/>
        </w:rPr>
      </w:pPr>
      <w:r w:rsidRPr="00601B12">
        <w:rPr>
          <w:rFonts w:ascii="Arial" w:hAnsi="Arial" w:cs="Arial"/>
          <w:b/>
          <w:bCs/>
          <w:color w:val="000000"/>
          <w:sz w:val="22"/>
          <w:szCs w:val="22"/>
        </w:rPr>
        <w:tab/>
      </w:r>
      <w:r w:rsidR="00593FC5" w:rsidRPr="00601B12">
        <w:rPr>
          <w:rFonts w:ascii="Arial" w:hAnsi="Arial" w:cs="Arial"/>
          <w:b/>
          <w:bCs/>
          <w:color w:val="000000"/>
          <w:sz w:val="22"/>
          <w:szCs w:val="22"/>
        </w:rPr>
        <w:t xml:space="preserve">Table </w:t>
      </w:r>
      <w:r w:rsidR="008F36E8" w:rsidRPr="00601B12">
        <w:rPr>
          <w:rFonts w:ascii="Arial" w:hAnsi="Arial" w:cs="Arial"/>
          <w:b/>
          <w:bCs/>
          <w:color w:val="000000"/>
          <w:sz w:val="22"/>
          <w:szCs w:val="22"/>
        </w:rPr>
        <w:t>5</w:t>
      </w:r>
      <w:r w:rsidR="00593FC5" w:rsidRPr="00601B12">
        <w:rPr>
          <w:rFonts w:ascii="Arial" w:hAnsi="Arial" w:cs="Arial"/>
          <w:b/>
          <w:bCs/>
          <w:color w:val="000000"/>
          <w:sz w:val="22"/>
          <w:szCs w:val="22"/>
        </w:rPr>
        <w:t>:</w:t>
      </w:r>
      <w:r w:rsidR="00593FC5" w:rsidRPr="00601B12">
        <w:rPr>
          <w:rFonts w:ascii="Arial" w:eastAsiaTheme="minorHAnsi" w:hAnsi="Arial" w:cs="Arial"/>
          <w:color w:val="000000"/>
          <w:sz w:val="22"/>
          <w:szCs w:val="22"/>
          <w:lang w:eastAsia="en-US"/>
        </w:rPr>
        <w:t xml:space="preserve"> </w:t>
      </w:r>
      <w:r w:rsidR="00593FC5" w:rsidRPr="00601B12">
        <w:rPr>
          <w:rFonts w:ascii="Arial" w:hAnsi="Arial" w:cs="Arial"/>
          <w:b/>
          <w:bCs/>
          <w:color w:val="000000"/>
          <w:sz w:val="22"/>
          <w:szCs w:val="22"/>
        </w:rPr>
        <w:t xml:space="preserve">Fund Assets as </w:t>
      </w:r>
      <w:proofErr w:type="gramStart"/>
      <w:r w:rsidR="00593FC5" w:rsidRPr="00601B12">
        <w:rPr>
          <w:rFonts w:ascii="Arial" w:hAnsi="Arial" w:cs="Arial"/>
          <w:b/>
          <w:bCs/>
          <w:color w:val="000000"/>
          <w:sz w:val="22"/>
          <w:szCs w:val="22"/>
        </w:rPr>
        <w:t>at</w:t>
      </w:r>
      <w:proofErr w:type="gramEnd"/>
      <w:r w:rsidR="00593FC5" w:rsidRPr="00601B12">
        <w:rPr>
          <w:rFonts w:ascii="Arial" w:hAnsi="Arial" w:cs="Arial"/>
          <w:b/>
          <w:bCs/>
          <w:color w:val="000000"/>
          <w:sz w:val="22"/>
          <w:szCs w:val="22"/>
        </w:rPr>
        <w:t xml:space="preserve"> </w:t>
      </w:r>
      <w:r w:rsidR="00453250">
        <w:rPr>
          <w:rFonts w:ascii="Arial" w:hAnsi="Arial" w:cs="Arial"/>
          <w:b/>
          <w:bCs/>
          <w:color w:val="000000"/>
          <w:sz w:val="22"/>
          <w:szCs w:val="22"/>
        </w:rPr>
        <w:t>31 March 202</w:t>
      </w:r>
      <w:r w:rsidR="005A03C5">
        <w:rPr>
          <w:rFonts w:ascii="Arial" w:hAnsi="Arial" w:cs="Arial"/>
          <w:b/>
          <w:bCs/>
          <w:color w:val="000000"/>
          <w:sz w:val="22"/>
          <w:szCs w:val="22"/>
        </w:rPr>
        <w:t>2</w:t>
      </w:r>
    </w:p>
    <w:tbl>
      <w:tblPr>
        <w:tblStyle w:val="TableGrid"/>
        <w:tblW w:w="9072" w:type="dxa"/>
        <w:jc w:val="center"/>
        <w:tblLayout w:type="fixed"/>
        <w:tblLook w:val="04A0" w:firstRow="1" w:lastRow="0" w:firstColumn="1" w:lastColumn="0" w:noHBand="0" w:noVBand="1"/>
      </w:tblPr>
      <w:tblGrid>
        <w:gridCol w:w="2987"/>
        <w:gridCol w:w="1521"/>
        <w:gridCol w:w="1521"/>
        <w:gridCol w:w="1521"/>
        <w:gridCol w:w="1522"/>
      </w:tblGrid>
      <w:tr w:rsidR="00593FC5" w:rsidRPr="006150A6" w14:paraId="6D1623E5" w14:textId="77777777" w:rsidTr="0076066D">
        <w:trPr>
          <w:trHeight w:val="262"/>
          <w:jc w:val="center"/>
        </w:trPr>
        <w:tc>
          <w:tcPr>
            <w:tcW w:w="2987" w:type="dxa"/>
            <w:shd w:val="clear" w:color="000000" w:fill="FF0000"/>
            <w:noWrap/>
            <w:hideMark/>
          </w:tcPr>
          <w:p w14:paraId="6D1623E0" w14:textId="77777777" w:rsidR="00593FC5" w:rsidRPr="006150A6" w:rsidRDefault="00593FC5" w:rsidP="004146ED">
            <w:pPr>
              <w:autoSpaceDE w:val="0"/>
              <w:autoSpaceDN w:val="0"/>
              <w:adjustRightInd w:val="0"/>
              <w:ind w:left="426" w:hanging="426"/>
              <w:rPr>
                <w:rFonts w:ascii="Arial" w:hAnsi="Arial" w:cs="Arial"/>
                <w:b/>
                <w:bCs/>
                <w:color w:val="FFFFFF" w:themeColor="background1"/>
                <w:sz w:val="22"/>
                <w:szCs w:val="22"/>
              </w:rPr>
            </w:pPr>
            <w:r w:rsidRPr="006150A6">
              <w:rPr>
                <w:rFonts w:ascii="Arial" w:hAnsi="Arial" w:cs="Arial"/>
                <w:b/>
                <w:bCs/>
                <w:color w:val="FFFFFF" w:themeColor="background1"/>
                <w:sz w:val="22"/>
                <w:szCs w:val="22"/>
              </w:rPr>
              <w:t> </w:t>
            </w:r>
          </w:p>
        </w:tc>
        <w:tc>
          <w:tcPr>
            <w:tcW w:w="1521" w:type="dxa"/>
            <w:shd w:val="clear" w:color="000000" w:fill="FF0000"/>
            <w:hideMark/>
          </w:tcPr>
          <w:p w14:paraId="6D1623E1" w14:textId="77777777" w:rsidR="00593FC5" w:rsidRPr="006150A6" w:rsidRDefault="00593FC5" w:rsidP="004146ED">
            <w:pPr>
              <w:autoSpaceDE w:val="0"/>
              <w:autoSpaceDN w:val="0"/>
              <w:adjustRightInd w:val="0"/>
              <w:ind w:left="426" w:hanging="426"/>
              <w:jc w:val="center"/>
              <w:rPr>
                <w:rFonts w:ascii="Arial" w:hAnsi="Arial" w:cs="Arial"/>
                <w:b/>
                <w:bCs/>
                <w:color w:val="FFFFFF" w:themeColor="background1"/>
                <w:sz w:val="22"/>
                <w:szCs w:val="22"/>
              </w:rPr>
            </w:pPr>
            <w:r w:rsidRPr="006150A6">
              <w:rPr>
                <w:rFonts w:ascii="Arial" w:hAnsi="Arial" w:cs="Arial"/>
                <w:b/>
                <w:bCs/>
                <w:color w:val="FFFFFF" w:themeColor="background1"/>
                <w:sz w:val="22"/>
                <w:szCs w:val="22"/>
              </w:rPr>
              <w:t>UK</w:t>
            </w:r>
          </w:p>
        </w:tc>
        <w:tc>
          <w:tcPr>
            <w:tcW w:w="1521" w:type="dxa"/>
            <w:shd w:val="clear" w:color="000000" w:fill="FF0000"/>
            <w:noWrap/>
            <w:hideMark/>
          </w:tcPr>
          <w:p w14:paraId="6D1623E2" w14:textId="77777777" w:rsidR="00593FC5" w:rsidRPr="006150A6" w:rsidRDefault="00593FC5" w:rsidP="004146ED">
            <w:pPr>
              <w:autoSpaceDE w:val="0"/>
              <w:autoSpaceDN w:val="0"/>
              <w:adjustRightInd w:val="0"/>
              <w:ind w:left="426" w:hanging="426"/>
              <w:jc w:val="center"/>
              <w:rPr>
                <w:rFonts w:ascii="Arial" w:hAnsi="Arial" w:cs="Arial"/>
                <w:b/>
                <w:bCs/>
                <w:color w:val="FFFFFF" w:themeColor="background1"/>
                <w:sz w:val="22"/>
                <w:szCs w:val="22"/>
              </w:rPr>
            </w:pPr>
            <w:r w:rsidRPr="006150A6">
              <w:rPr>
                <w:rFonts w:ascii="Arial" w:hAnsi="Arial" w:cs="Arial"/>
                <w:b/>
                <w:bCs/>
                <w:color w:val="FFFFFF" w:themeColor="background1"/>
                <w:sz w:val="22"/>
                <w:szCs w:val="22"/>
              </w:rPr>
              <w:t>Non-UK</w:t>
            </w:r>
          </w:p>
        </w:tc>
        <w:tc>
          <w:tcPr>
            <w:tcW w:w="1521" w:type="dxa"/>
            <w:shd w:val="clear" w:color="000000" w:fill="FF0000"/>
            <w:noWrap/>
            <w:hideMark/>
          </w:tcPr>
          <w:p w14:paraId="6D1623E3" w14:textId="77777777" w:rsidR="00593FC5" w:rsidRPr="006150A6" w:rsidRDefault="00593FC5" w:rsidP="004146ED">
            <w:pPr>
              <w:autoSpaceDE w:val="0"/>
              <w:autoSpaceDN w:val="0"/>
              <w:adjustRightInd w:val="0"/>
              <w:ind w:left="426" w:hanging="426"/>
              <w:jc w:val="center"/>
              <w:rPr>
                <w:rFonts w:ascii="Arial" w:hAnsi="Arial" w:cs="Arial"/>
                <w:b/>
                <w:bCs/>
                <w:color w:val="FFFFFF" w:themeColor="background1"/>
                <w:sz w:val="22"/>
                <w:szCs w:val="22"/>
              </w:rPr>
            </w:pPr>
            <w:r w:rsidRPr="006150A6">
              <w:rPr>
                <w:rFonts w:ascii="Arial" w:hAnsi="Arial" w:cs="Arial"/>
                <w:b/>
                <w:bCs/>
                <w:color w:val="FFFFFF" w:themeColor="background1"/>
                <w:sz w:val="22"/>
                <w:szCs w:val="22"/>
              </w:rPr>
              <w:t>Global</w:t>
            </w:r>
          </w:p>
        </w:tc>
        <w:tc>
          <w:tcPr>
            <w:tcW w:w="1522" w:type="dxa"/>
            <w:shd w:val="clear" w:color="000000" w:fill="FF0000"/>
            <w:noWrap/>
            <w:hideMark/>
          </w:tcPr>
          <w:p w14:paraId="6D1623E4" w14:textId="77777777" w:rsidR="00593FC5" w:rsidRPr="006150A6" w:rsidRDefault="00593FC5" w:rsidP="004146ED">
            <w:pPr>
              <w:autoSpaceDE w:val="0"/>
              <w:autoSpaceDN w:val="0"/>
              <w:adjustRightInd w:val="0"/>
              <w:ind w:left="426" w:hanging="426"/>
              <w:jc w:val="center"/>
              <w:rPr>
                <w:rFonts w:ascii="Arial" w:hAnsi="Arial" w:cs="Arial"/>
                <w:b/>
                <w:bCs/>
                <w:color w:val="FFFFFF" w:themeColor="background1"/>
                <w:sz w:val="22"/>
                <w:szCs w:val="22"/>
              </w:rPr>
            </w:pPr>
            <w:r w:rsidRPr="006150A6">
              <w:rPr>
                <w:rFonts w:ascii="Arial" w:hAnsi="Arial" w:cs="Arial"/>
                <w:b/>
                <w:bCs/>
                <w:color w:val="FFFFFF" w:themeColor="background1"/>
                <w:sz w:val="22"/>
                <w:szCs w:val="22"/>
              </w:rPr>
              <w:t>Total</w:t>
            </w:r>
          </w:p>
        </w:tc>
      </w:tr>
      <w:tr w:rsidR="00593FC5" w:rsidRPr="006150A6" w14:paraId="6D1623EB" w14:textId="77777777" w:rsidTr="0076066D">
        <w:trPr>
          <w:trHeight w:val="262"/>
          <w:jc w:val="center"/>
        </w:trPr>
        <w:tc>
          <w:tcPr>
            <w:tcW w:w="2987" w:type="dxa"/>
            <w:shd w:val="clear" w:color="000000" w:fill="FF0000"/>
            <w:noWrap/>
            <w:hideMark/>
          </w:tcPr>
          <w:p w14:paraId="6D1623E6" w14:textId="77777777" w:rsidR="00593FC5" w:rsidRPr="006150A6" w:rsidRDefault="00593FC5" w:rsidP="004146ED">
            <w:pPr>
              <w:autoSpaceDE w:val="0"/>
              <w:autoSpaceDN w:val="0"/>
              <w:adjustRightInd w:val="0"/>
              <w:ind w:left="426" w:hanging="426"/>
              <w:rPr>
                <w:rFonts w:ascii="Arial" w:hAnsi="Arial" w:cs="Arial"/>
                <w:b/>
                <w:bCs/>
                <w:color w:val="FFFFFF" w:themeColor="background1"/>
                <w:sz w:val="22"/>
                <w:szCs w:val="22"/>
              </w:rPr>
            </w:pPr>
            <w:r w:rsidRPr="006150A6">
              <w:rPr>
                <w:rFonts w:ascii="Arial" w:hAnsi="Arial" w:cs="Arial"/>
                <w:b/>
                <w:bCs/>
                <w:color w:val="FFFFFF" w:themeColor="background1"/>
                <w:sz w:val="22"/>
                <w:szCs w:val="22"/>
              </w:rPr>
              <w:t> </w:t>
            </w:r>
          </w:p>
        </w:tc>
        <w:tc>
          <w:tcPr>
            <w:tcW w:w="1521" w:type="dxa"/>
            <w:shd w:val="clear" w:color="000000" w:fill="FF0000"/>
            <w:noWrap/>
            <w:hideMark/>
          </w:tcPr>
          <w:p w14:paraId="6D1623E7" w14:textId="77777777" w:rsidR="00593FC5" w:rsidRPr="006150A6" w:rsidRDefault="00593FC5" w:rsidP="004146ED">
            <w:pPr>
              <w:autoSpaceDE w:val="0"/>
              <w:autoSpaceDN w:val="0"/>
              <w:adjustRightInd w:val="0"/>
              <w:ind w:left="426" w:hanging="426"/>
              <w:jc w:val="center"/>
              <w:rPr>
                <w:rFonts w:ascii="Arial" w:hAnsi="Arial" w:cs="Arial"/>
                <w:b/>
                <w:bCs/>
                <w:color w:val="FFFFFF" w:themeColor="background1"/>
                <w:sz w:val="22"/>
                <w:szCs w:val="22"/>
              </w:rPr>
            </w:pPr>
            <w:r w:rsidRPr="006150A6">
              <w:rPr>
                <w:rFonts w:ascii="Arial" w:hAnsi="Arial" w:cs="Arial"/>
                <w:b/>
                <w:bCs/>
                <w:color w:val="FFFFFF" w:themeColor="background1"/>
                <w:sz w:val="22"/>
                <w:szCs w:val="22"/>
              </w:rPr>
              <w:t>£m</w:t>
            </w:r>
          </w:p>
        </w:tc>
        <w:tc>
          <w:tcPr>
            <w:tcW w:w="1521" w:type="dxa"/>
            <w:shd w:val="clear" w:color="000000" w:fill="FF0000"/>
            <w:noWrap/>
            <w:hideMark/>
          </w:tcPr>
          <w:p w14:paraId="6D1623E8" w14:textId="77777777" w:rsidR="00593FC5" w:rsidRPr="006150A6" w:rsidRDefault="00593FC5" w:rsidP="004146ED">
            <w:pPr>
              <w:autoSpaceDE w:val="0"/>
              <w:autoSpaceDN w:val="0"/>
              <w:adjustRightInd w:val="0"/>
              <w:ind w:left="426" w:hanging="426"/>
              <w:jc w:val="center"/>
              <w:rPr>
                <w:rFonts w:ascii="Arial" w:hAnsi="Arial" w:cs="Arial"/>
                <w:b/>
                <w:bCs/>
                <w:color w:val="FFFFFF" w:themeColor="background1"/>
                <w:sz w:val="22"/>
                <w:szCs w:val="22"/>
              </w:rPr>
            </w:pPr>
            <w:r w:rsidRPr="006150A6">
              <w:rPr>
                <w:rFonts w:ascii="Arial" w:hAnsi="Arial" w:cs="Arial"/>
                <w:b/>
                <w:bCs/>
                <w:color w:val="FFFFFF" w:themeColor="background1"/>
                <w:sz w:val="22"/>
                <w:szCs w:val="22"/>
              </w:rPr>
              <w:t>£m</w:t>
            </w:r>
          </w:p>
        </w:tc>
        <w:tc>
          <w:tcPr>
            <w:tcW w:w="1521" w:type="dxa"/>
            <w:shd w:val="clear" w:color="000000" w:fill="FF0000"/>
            <w:noWrap/>
            <w:hideMark/>
          </w:tcPr>
          <w:p w14:paraId="6D1623E9" w14:textId="77777777" w:rsidR="00593FC5" w:rsidRPr="006150A6" w:rsidRDefault="00593FC5" w:rsidP="004146ED">
            <w:pPr>
              <w:autoSpaceDE w:val="0"/>
              <w:autoSpaceDN w:val="0"/>
              <w:adjustRightInd w:val="0"/>
              <w:ind w:left="426" w:hanging="426"/>
              <w:jc w:val="center"/>
              <w:rPr>
                <w:rFonts w:ascii="Arial" w:hAnsi="Arial" w:cs="Arial"/>
                <w:b/>
                <w:bCs/>
                <w:color w:val="FFFFFF" w:themeColor="background1"/>
                <w:sz w:val="22"/>
                <w:szCs w:val="22"/>
              </w:rPr>
            </w:pPr>
            <w:r w:rsidRPr="006150A6">
              <w:rPr>
                <w:rFonts w:ascii="Arial" w:hAnsi="Arial" w:cs="Arial"/>
                <w:b/>
                <w:bCs/>
                <w:color w:val="FFFFFF" w:themeColor="background1"/>
                <w:sz w:val="22"/>
                <w:szCs w:val="22"/>
              </w:rPr>
              <w:t>£m</w:t>
            </w:r>
          </w:p>
        </w:tc>
        <w:tc>
          <w:tcPr>
            <w:tcW w:w="1522" w:type="dxa"/>
            <w:shd w:val="clear" w:color="000000" w:fill="FF0000"/>
            <w:noWrap/>
            <w:hideMark/>
          </w:tcPr>
          <w:p w14:paraId="6D1623EA" w14:textId="77777777" w:rsidR="00593FC5" w:rsidRPr="006150A6" w:rsidRDefault="00593FC5" w:rsidP="004146ED">
            <w:pPr>
              <w:autoSpaceDE w:val="0"/>
              <w:autoSpaceDN w:val="0"/>
              <w:adjustRightInd w:val="0"/>
              <w:ind w:left="426" w:hanging="426"/>
              <w:jc w:val="center"/>
              <w:rPr>
                <w:rFonts w:ascii="Arial" w:hAnsi="Arial" w:cs="Arial"/>
                <w:b/>
                <w:bCs/>
                <w:color w:val="FFFFFF" w:themeColor="background1"/>
                <w:sz w:val="22"/>
                <w:szCs w:val="22"/>
              </w:rPr>
            </w:pPr>
            <w:r w:rsidRPr="006150A6">
              <w:rPr>
                <w:rFonts w:ascii="Arial" w:hAnsi="Arial" w:cs="Arial"/>
                <w:b/>
                <w:bCs/>
                <w:color w:val="FFFFFF" w:themeColor="background1"/>
                <w:sz w:val="22"/>
                <w:szCs w:val="22"/>
              </w:rPr>
              <w:t>£m</w:t>
            </w:r>
          </w:p>
        </w:tc>
      </w:tr>
      <w:tr w:rsidR="00BD540A" w:rsidRPr="006150A6" w14:paraId="6D1623F1" w14:textId="77777777" w:rsidTr="004A4D70">
        <w:trPr>
          <w:trHeight w:val="262"/>
          <w:jc w:val="center"/>
        </w:trPr>
        <w:tc>
          <w:tcPr>
            <w:tcW w:w="2987" w:type="dxa"/>
            <w:noWrap/>
            <w:hideMark/>
          </w:tcPr>
          <w:p w14:paraId="6D1623EC" w14:textId="77777777" w:rsidR="00BD540A" w:rsidRPr="006150A6" w:rsidRDefault="00BD540A" w:rsidP="00BD540A">
            <w:pPr>
              <w:autoSpaceDE w:val="0"/>
              <w:autoSpaceDN w:val="0"/>
              <w:adjustRightInd w:val="0"/>
              <w:ind w:left="426" w:hanging="426"/>
              <w:rPr>
                <w:rFonts w:ascii="Arial" w:hAnsi="Arial" w:cs="Arial"/>
                <w:b/>
                <w:bCs/>
                <w:color w:val="000000"/>
                <w:sz w:val="22"/>
                <w:szCs w:val="22"/>
              </w:rPr>
            </w:pPr>
            <w:r w:rsidRPr="006150A6">
              <w:rPr>
                <w:rFonts w:ascii="Arial" w:hAnsi="Arial" w:cs="Arial"/>
                <w:b/>
                <w:bCs/>
                <w:color w:val="000000"/>
                <w:sz w:val="22"/>
                <w:szCs w:val="22"/>
              </w:rPr>
              <w:t>Equities</w:t>
            </w:r>
          </w:p>
        </w:tc>
        <w:tc>
          <w:tcPr>
            <w:tcW w:w="1521" w:type="dxa"/>
            <w:tcBorders>
              <w:top w:val="nil"/>
              <w:left w:val="nil"/>
              <w:bottom w:val="single" w:sz="8" w:space="0" w:color="auto"/>
              <w:right w:val="single" w:sz="8" w:space="0" w:color="auto"/>
            </w:tcBorders>
            <w:shd w:val="clear" w:color="auto" w:fill="auto"/>
            <w:noWrap/>
            <w:vAlign w:val="center"/>
            <w:hideMark/>
          </w:tcPr>
          <w:p w14:paraId="6D1623ED" w14:textId="78C0926C" w:rsidR="00BD540A" w:rsidRPr="006150A6" w:rsidRDefault="00BD540A" w:rsidP="00BD540A">
            <w:pPr>
              <w:ind w:firstLineChars="200" w:firstLine="440"/>
              <w:jc w:val="right"/>
              <w:rPr>
                <w:rFonts w:ascii="Arial" w:hAnsi="Arial" w:cs="Arial"/>
                <w:color w:val="000000"/>
                <w:sz w:val="22"/>
                <w:szCs w:val="22"/>
              </w:rPr>
            </w:pPr>
            <w:r>
              <w:rPr>
                <w:rFonts w:ascii="Arial" w:hAnsi="Arial" w:cs="Arial"/>
                <w:color w:val="000000"/>
                <w:sz w:val="22"/>
                <w:szCs w:val="22"/>
              </w:rPr>
              <w:t xml:space="preserve"> - </w:t>
            </w:r>
          </w:p>
        </w:tc>
        <w:tc>
          <w:tcPr>
            <w:tcW w:w="1521" w:type="dxa"/>
            <w:tcBorders>
              <w:top w:val="nil"/>
              <w:left w:val="nil"/>
              <w:bottom w:val="single" w:sz="8" w:space="0" w:color="auto"/>
              <w:right w:val="single" w:sz="8" w:space="0" w:color="auto"/>
            </w:tcBorders>
            <w:shd w:val="clear" w:color="auto" w:fill="auto"/>
            <w:noWrap/>
            <w:vAlign w:val="center"/>
            <w:hideMark/>
          </w:tcPr>
          <w:p w14:paraId="6D1623EE" w14:textId="2FE56F82" w:rsidR="00BD540A" w:rsidRPr="006150A6" w:rsidRDefault="00BD540A" w:rsidP="00BD540A">
            <w:pPr>
              <w:ind w:firstLineChars="200" w:firstLine="440"/>
              <w:jc w:val="right"/>
              <w:rPr>
                <w:rFonts w:ascii="Arial" w:hAnsi="Arial" w:cs="Arial"/>
                <w:color w:val="000000"/>
                <w:sz w:val="22"/>
                <w:szCs w:val="22"/>
              </w:rPr>
            </w:pPr>
            <w:r>
              <w:rPr>
                <w:rFonts w:ascii="Arial" w:hAnsi="Arial" w:cs="Arial"/>
                <w:color w:val="000000"/>
                <w:sz w:val="22"/>
                <w:szCs w:val="22"/>
              </w:rPr>
              <w:t xml:space="preserve"> - </w:t>
            </w:r>
          </w:p>
        </w:tc>
        <w:tc>
          <w:tcPr>
            <w:tcW w:w="1521" w:type="dxa"/>
            <w:tcBorders>
              <w:top w:val="nil"/>
              <w:left w:val="nil"/>
              <w:bottom w:val="single" w:sz="8" w:space="0" w:color="auto"/>
              <w:right w:val="single" w:sz="8" w:space="0" w:color="auto"/>
            </w:tcBorders>
            <w:shd w:val="clear" w:color="auto" w:fill="auto"/>
            <w:noWrap/>
            <w:vAlign w:val="center"/>
            <w:hideMark/>
          </w:tcPr>
          <w:p w14:paraId="6D1623EF" w14:textId="106C9265" w:rsidR="00BD540A" w:rsidRPr="006150A6" w:rsidRDefault="00BD540A" w:rsidP="00BD540A">
            <w:pPr>
              <w:ind w:firstLineChars="200" w:firstLine="440"/>
              <w:jc w:val="right"/>
              <w:rPr>
                <w:rFonts w:ascii="Arial" w:hAnsi="Arial" w:cs="Arial"/>
                <w:color w:val="000000"/>
                <w:sz w:val="22"/>
                <w:szCs w:val="22"/>
              </w:rPr>
            </w:pPr>
            <w:r>
              <w:rPr>
                <w:rFonts w:ascii="Arial" w:hAnsi="Arial" w:cs="Arial"/>
                <w:color w:val="000000"/>
                <w:sz w:val="22"/>
                <w:szCs w:val="22"/>
              </w:rPr>
              <w:t>771</w:t>
            </w:r>
          </w:p>
        </w:tc>
        <w:tc>
          <w:tcPr>
            <w:tcW w:w="1522" w:type="dxa"/>
            <w:tcBorders>
              <w:top w:val="nil"/>
              <w:left w:val="nil"/>
              <w:bottom w:val="single" w:sz="8" w:space="0" w:color="auto"/>
              <w:right w:val="single" w:sz="8" w:space="0" w:color="auto"/>
            </w:tcBorders>
            <w:shd w:val="clear" w:color="auto" w:fill="auto"/>
            <w:noWrap/>
            <w:vAlign w:val="center"/>
            <w:hideMark/>
          </w:tcPr>
          <w:p w14:paraId="6D1623F0" w14:textId="13556844" w:rsidR="00BD540A" w:rsidRPr="006150A6" w:rsidRDefault="00BD540A" w:rsidP="00BD540A">
            <w:pPr>
              <w:ind w:firstLineChars="200" w:firstLine="442"/>
              <w:jc w:val="right"/>
              <w:rPr>
                <w:rFonts w:ascii="Arial" w:hAnsi="Arial" w:cs="Arial"/>
                <w:b/>
                <w:bCs/>
                <w:color w:val="000000"/>
                <w:sz w:val="22"/>
                <w:szCs w:val="22"/>
              </w:rPr>
            </w:pPr>
            <w:r>
              <w:rPr>
                <w:rFonts w:ascii="Arial" w:hAnsi="Arial" w:cs="Arial"/>
                <w:b/>
                <w:bCs/>
                <w:color w:val="000000"/>
                <w:sz w:val="22"/>
                <w:szCs w:val="22"/>
              </w:rPr>
              <w:t>771</w:t>
            </w:r>
          </w:p>
        </w:tc>
      </w:tr>
      <w:tr w:rsidR="00BD540A" w:rsidRPr="006150A6" w14:paraId="6D1623F7" w14:textId="77777777" w:rsidTr="004A4D70">
        <w:trPr>
          <w:trHeight w:val="262"/>
          <w:jc w:val="center"/>
        </w:trPr>
        <w:tc>
          <w:tcPr>
            <w:tcW w:w="2987" w:type="dxa"/>
            <w:noWrap/>
            <w:hideMark/>
          </w:tcPr>
          <w:p w14:paraId="6D1623F2" w14:textId="77777777" w:rsidR="00BD540A" w:rsidRPr="006150A6" w:rsidRDefault="00BD540A" w:rsidP="00BD540A">
            <w:pPr>
              <w:autoSpaceDE w:val="0"/>
              <w:autoSpaceDN w:val="0"/>
              <w:adjustRightInd w:val="0"/>
              <w:ind w:left="426" w:hanging="426"/>
              <w:rPr>
                <w:rFonts w:ascii="Arial" w:hAnsi="Arial" w:cs="Arial"/>
                <w:b/>
                <w:bCs/>
                <w:color w:val="000000"/>
                <w:sz w:val="22"/>
                <w:szCs w:val="22"/>
              </w:rPr>
            </w:pPr>
            <w:r w:rsidRPr="006150A6">
              <w:rPr>
                <w:rFonts w:ascii="Arial" w:hAnsi="Arial" w:cs="Arial"/>
                <w:b/>
                <w:bCs/>
                <w:color w:val="000000"/>
                <w:sz w:val="22"/>
                <w:szCs w:val="22"/>
              </w:rPr>
              <w:t>Bonds</w:t>
            </w:r>
          </w:p>
        </w:tc>
        <w:tc>
          <w:tcPr>
            <w:tcW w:w="1521" w:type="dxa"/>
            <w:tcBorders>
              <w:top w:val="nil"/>
              <w:left w:val="nil"/>
              <w:bottom w:val="single" w:sz="8" w:space="0" w:color="auto"/>
              <w:right w:val="single" w:sz="8" w:space="0" w:color="auto"/>
            </w:tcBorders>
            <w:shd w:val="clear" w:color="auto" w:fill="auto"/>
            <w:noWrap/>
            <w:vAlign w:val="center"/>
            <w:hideMark/>
          </w:tcPr>
          <w:p w14:paraId="6D1623F3" w14:textId="2F29AED2" w:rsidR="00BD540A" w:rsidRPr="006150A6" w:rsidRDefault="00BD540A" w:rsidP="00BD540A">
            <w:pPr>
              <w:jc w:val="right"/>
              <w:rPr>
                <w:rFonts w:ascii="Arial" w:hAnsi="Arial" w:cs="Arial"/>
                <w:color w:val="000000"/>
                <w:sz w:val="22"/>
                <w:szCs w:val="22"/>
              </w:rPr>
            </w:pPr>
            <w:r>
              <w:rPr>
                <w:rFonts w:ascii="Arial" w:hAnsi="Arial" w:cs="Arial"/>
                <w:color w:val="000000"/>
                <w:sz w:val="22"/>
                <w:szCs w:val="22"/>
              </w:rPr>
              <w:t>37</w:t>
            </w:r>
          </w:p>
        </w:tc>
        <w:tc>
          <w:tcPr>
            <w:tcW w:w="1521" w:type="dxa"/>
            <w:tcBorders>
              <w:top w:val="nil"/>
              <w:left w:val="nil"/>
              <w:bottom w:val="single" w:sz="8" w:space="0" w:color="auto"/>
              <w:right w:val="single" w:sz="8" w:space="0" w:color="auto"/>
            </w:tcBorders>
            <w:shd w:val="clear" w:color="auto" w:fill="auto"/>
            <w:noWrap/>
            <w:vAlign w:val="center"/>
            <w:hideMark/>
          </w:tcPr>
          <w:p w14:paraId="6D1623F4" w14:textId="2A59B043" w:rsidR="00BD540A" w:rsidRPr="006150A6" w:rsidRDefault="00BD540A" w:rsidP="00BD540A">
            <w:pPr>
              <w:ind w:firstLineChars="200" w:firstLine="440"/>
              <w:jc w:val="right"/>
              <w:rPr>
                <w:rFonts w:ascii="Arial" w:hAnsi="Arial" w:cs="Arial"/>
                <w:color w:val="000000"/>
                <w:sz w:val="22"/>
                <w:szCs w:val="22"/>
              </w:rPr>
            </w:pPr>
            <w:r>
              <w:rPr>
                <w:rFonts w:ascii="Arial" w:hAnsi="Arial" w:cs="Arial"/>
                <w:color w:val="000000"/>
                <w:sz w:val="22"/>
                <w:szCs w:val="22"/>
              </w:rPr>
              <w:t xml:space="preserve"> - </w:t>
            </w:r>
          </w:p>
        </w:tc>
        <w:tc>
          <w:tcPr>
            <w:tcW w:w="1521" w:type="dxa"/>
            <w:tcBorders>
              <w:top w:val="nil"/>
              <w:left w:val="nil"/>
              <w:bottom w:val="single" w:sz="8" w:space="0" w:color="auto"/>
              <w:right w:val="single" w:sz="8" w:space="0" w:color="auto"/>
            </w:tcBorders>
            <w:shd w:val="clear" w:color="auto" w:fill="auto"/>
            <w:noWrap/>
            <w:vAlign w:val="center"/>
            <w:hideMark/>
          </w:tcPr>
          <w:p w14:paraId="6D1623F5" w14:textId="1C16E2BC" w:rsidR="00BD540A" w:rsidRPr="006150A6" w:rsidRDefault="00BD540A" w:rsidP="00BD540A">
            <w:pPr>
              <w:jc w:val="right"/>
              <w:rPr>
                <w:rFonts w:ascii="Arial" w:hAnsi="Arial" w:cs="Arial"/>
                <w:color w:val="000000"/>
                <w:sz w:val="22"/>
                <w:szCs w:val="22"/>
              </w:rPr>
            </w:pPr>
            <w:r>
              <w:rPr>
                <w:rFonts w:ascii="Arial" w:hAnsi="Arial" w:cs="Arial"/>
                <w:color w:val="000000"/>
                <w:sz w:val="22"/>
                <w:szCs w:val="22"/>
              </w:rPr>
              <w:t>66</w:t>
            </w:r>
          </w:p>
        </w:tc>
        <w:tc>
          <w:tcPr>
            <w:tcW w:w="1522" w:type="dxa"/>
            <w:tcBorders>
              <w:top w:val="nil"/>
              <w:left w:val="nil"/>
              <w:bottom w:val="single" w:sz="8" w:space="0" w:color="auto"/>
              <w:right w:val="single" w:sz="8" w:space="0" w:color="auto"/>
            </w:tcBorders>
            <w:shd w:val="clear" w:color="auto" w:fill="auto"/>
            <w:noWrap/>
            <w:vAlign w:val="center"/>
            <w:hideMark/>
          </w:tcPr>
          <w:p w14:paraId="6D1623F6" w14:textId="1DD4913D" w:rsidR="00BD540A" w:rsidRPr="006150A6" w:rsidRDefault="00BD540A" w:rsidP="00BD540A">
            <w:pPr>
              <w:ind w:firstLineChars="200" w:firstLine="442"/>
              <w:jc w:val="right"/>
              <w:rPr>
                <w:rFonts w:ascii="Arial" w:hAnsi="Arial" w:cs="Arial"/>
                <w:b/>
                <w:bCs/>
                <w:color w:val="000000"/>
                <w:sz w:val="22"/>
                <w:szCs w:val="22"/>
              </w:rPr>
            </w:pPr>
            <w:r>
              <w:rPr>
                <w:rFonts w:ascii="Arial" w:hAnsi="Arial" w:cs="Arial"/>
                <w:b/>
                <w:bCs/>
                <w:color w:val="000000"/>
                <w:sz w:val="22"/>
                <w:szCs w:val="22"/>
              </w:rPr>
              <w:t>103</w:t>
            </w:r>
          </w:p>
        </w:tc>
      </w:tr>
      <w:tr w:rsidR="00BD540A" w:rsidRPr="006150A6" w14:paraId="6D1623FD" w14:textId="77777777" w:rsidTr="004A4D70">
        <w:trPr>
          <w:trHeight w:val="262"/>
          <w:jc w:val="center"/>
        </w:trPr>
        <w:tc>
          <w:tcPr>
            <w:tcW w:w="2987" w:type="dxa"/>
            <w:noWrap/>
            <w:hideMark/>
          </w:tcPr>
          <w:p w14:paraId="6D1623F8" w14:textId="77777777" w:rsidR="00BD540A" w:rsidRPr="006150A6" w:rsidRDefault="00BD540A" w:rsidP="00BD540A">
            <w:pPr>
              <w:autoSpaceDE w:val="0"/>
              <w:autoSpaceDN w:val="0"/>
              <w:adjustRightInd w:val="0"/>
              <w:ind w:left="426" w:hanging="426"/>
              <w:rPr>
                <w:rFonts w:ascii="Arial" w:hAnsi="Arial" w:cs="Arial"/>
                <w:b/>
                <w:bCs/>
                <w:color w:val="000000"/>
                <w:sz w:val="22"/>
                <w:szCs w:val="22"/>
              </w:rPr>
            </w:pPr>
            <w:r w:rsidRPr="006150A6">
              <w:rPr>
                <w:rFonts w:ascii="Arial" w:hAnsi="Arial" w:cs="Arial"/>
                <w:b/>
                <w:bCs/>
                <w:color w:val="000000"/>
                <w:sz w:val="22"/>
                <w:szCs w:val="22"/>
              </w:rPr>
              <w:t>Alternatives</w:t>
            </w:r>
          </w:p>
        </w:tc>
        <w:tc>
          <w:tcPr>
            <w:tcW w:w="1521" w:type="dxa"/>
            <w:tcBorders>
              <w:top w:val="nil"/>
              <w:left w:val="nil"/>
              <w:bottom w:val="single" w:sz="8" w:space="0" w:color="auto"/>
              <w:right w:val="single" w:sz="8" w:space="0" w:color="auto"/>
            </w:tcBorders>
            <w:shd w:val="clear" w:color="auto" w:fill="auto"/>
            <w:noWrap/>
            <w:vAlign w:val="center"/>
            <w:hideMark/>
          </w:tcPr>
          <w:p w14:paraId="6D1623F9" w14:textId="3B83A0C8" w:rsidR="00BD540A" w:rsidRPr="006150A6" w:rsidRDefault="00BD540A" w:rsidP="00BD540A">
            <w:pPr>
              <w:ind w:firstLineChars="200" w:firstLine="440"/>
              <w:jc w:val="right"/>
              <w:rPr>
                <w:rFonts w:ascii="Arial" w:hAnsi="Arial" w:cs="Arial"/>
                <w:color w:val="000000"/>
                <w:sz w:val="22"/>
                <w:szCs w:val="22"/>
              </w:rPr>
            </w:pPr>
            <w:r>
              <w:rPr>
                <w:rFonts w:ascii="Arial" w:hAnsi="Arial" w:cs="Arial"/>
                <w:color w:val="000000"/>
                <w:sz w:val="22"/>
                <w:szCs w:val="22"/>
              </w:rPr>
              <w:t>301</w:t>
            </w:r>
          </w:p>
        </w:tc>
        <w:tc>
          <w:tcPr>
            <w:tcW w:w="1521" w:type="dxa"/>
            <w:tcBorders>
              <w:top w:val="nil"/>
              <w:left w:val="nil"/>
              <w:bottom w:val="single" w:sz="8" w:space="0" w:color="auto"/>
              <w:right w:val="single" w:sz="8" w:space="0" w:color="auto"/>
            </w:tcBorders>
            <w:shd w:val="clear" w:color="auto" w:fill="auto"/>
            <w:noWrap/>
            <w:hideMark/>
          </w:tcPr>
          <w:p w14:paraId="6D1623FA" w14:textId="43BBF0B2" w:rsidR="00BD540A" w:rsidRPr="006150A6" w:rsidRDefault="00BD540A" w:rsidP="00BD540A">
            <w:pPr>
              <w:jc w:val="right"/>
              <w:rPr>
                <w:rFonts w:ascii="Arial" w:hAnsi="Arial" w:cs="Arial"/>
                <w:color w:val="000000"/>
                <w:sz w:val="22"/>
                <w:szCs w:val="22"/>
              </w:rPr>
            </w:pPr>
            <w:r>
              <w:rPr>
                <w:color w:val="000000"/>
                <w:sz w:val="20"/>
                <w:szCs w:val="20"/>
              </w:rPr>
              <w:t> </w:t>
            </w:r>
          </w:p>
        </w:tc>
        <w:tc>
          <w:tcPr>
            <w:tcW w:w="1521" w:type="dxa"/>
            <w:tcBorders>
              <w:top w:val="nil"/>
              <w:left w:val="nil"/>
              <w:bottom w:val="single" w:sz="8" w:space="0" w:color="auto"/>
              <w:right w:val="single" w:sz="8" w:space="0" w:color="auto"/>
            </w:tcBorders>
            <w:shd w:val="clear" w:color="auto" w:fill="auto"/>
            <w:noWrap/>
            <w:vAlign w:val="center"/>
            <w:hideMark/>
          </w:tcPr>
          <w:p w14:paraId="6D1623FB" w14:textId="5794C836" w:rsidR="00BD540A" w:rsidRPr="006150A6" w:rsidRDefault="00BD540A" w:rsidP="00BD540A">
            <w:pPr>
              <w:ind w:firstLineChars="200" w:firstLine="440"/>
              <w:jc w:val="right"/>
              <w:rPr>
                <w:rFonts w:ascii="Arial" w:hAnsi="Arial" w:cs="Arial"/>
                <w:color w:val="000000"/>
                <w:sz w:val="22"/>
                <w:szCs w:val="22"/>
              </w:rPr>
            </w:pPr>
            <w:r>
              <w:rPr>
                <w:rFonts w:ascii="Arial" w:hAnsi="Arial" w:cs="Arial"/>
                <w:color w:val="000000"/>
                <w:sz w:val="22"/>
                <w:szCs w:val="22"/>
              </w:rPr>
              <w:t>196</w:t>
            </w:r>
          </w:p>
        </w:tc>
        <w:tc>
          <w:tcPr>
            <w:tcW w:w="1522" w:type="dxa"/>
            <w:tcBorders>
              <w:top w:val="nil"/>
              <w:left w:val="nil"/>
              <w:bottom w:val="single" w:sz="8" w:space="0" w:color="auto"/>
              <w:right w:val="single" w:sz="8" w:space="0" w:color="auto"/>
            </w:tcBorders>
            <w:shd w:val="clear" w:color="auto" w:fill="auto"/>
            <w:noWrap/>
            <w:vAlign w:val="center"/>
            <w:hideMark/>
          </w:tcPr>
          <w:p w14:paraId="6D1623FC" w14:textId="63A23086" w:rsidR="00BD540A" w:rsidRPr="006150A6" w:rsidRDefault="00BD540A" w:rsidP="00BD540A">
            <w:pPr>
              <w:ind w:firstLineChars="200" w:firstLine="442"/>
              <w:jc w:val="right"/>
              <w:rPr>
                <w:rFonts w:ascii="Arial" w:hAnsi="Arial" w:cs="Arial"/>
                <w:b/>
                <w:bCs/>
                <w:color w:val="000000"/>
                <w:sz w:val="22"/>
                <w:szCs w:val="22"/>
              </w:rPr>
            </w:pPr>
            <w:r>
              <w:rPr>
                <w:rFonts w:ascii="Arial" w:hAnsi="Arial" w:cs="Arial"/>
                <w:b/>
                <w:bCs/>
                <w:color w:val="000000"/>
                <w:sz w:val="22"/>
                <w:szCs w:val="22"/>
              </w:rPr>
              <w:t>497</w:t>
            </w:r>
          </w:p>
        </w:tc>
      </w:tr>
      <w:tr w:rsidR="00BD540A" w:rsidRPr="006150A6" w14:paraId="6D162403" w14:textId="77777777" w:rsidTr="004A4D70">
        <w:trPr>
          <w:trHeight w:val="262"/>
          <w:jc w:val="center"/>
        </w:trPr>
        <w:tc>
          <w:tcPr>
            <w:tcW w:w="2987" w:type="dxa"/>
            <w:noWrap/>
            <w:hideMark/>
          </w:tcPr>
          <w:p w14:paraId="6D1623FE" w14:textId="77777777" w:rsidR="00BD540A" w:rsidRPr="006150A6" w:rsidRDefault="00BD540A" w:rsidP="00BD540A">
            <w:pPr>
              <w:autoSpaceDE w:val="0"/>
              <w:autoSpaceDN w:val="0"/>
              <w:adjustRightInd w:val="0"/>
              <w:ind w:left="426" w:hanging="426"/>
              <w:rPr>
                <w:rFonts w:ascii="Arial" w:hAnsi="Arial" w:cs="Arial"/>
                <w:b/>
                <w:bCs/>
                <w:color w:val="000000"/>
                <w:sz w:val="22"/>
                <w:szCs w:val="22"/>
              </w:rPr>
            </w:pPr>
            <w:r w:rsidRPr="006150A6">
              <w:rPr>
                <w:rFonts w:ascii="Arial" w:hAnsi="Arial" w:cs="Arial"/>
                <w:b/>
                <w:bCs/>
                <w:color w:val="000000"/>
                <w:sz w:val="22"/>
                <w:szCs w:val="22"/>
              </w:rPr>
              <w:t>Cash</w:t>
            </w:r>
          </w:p>
        </w:tc>
        <w:tc>
          <w:tcPr>
            <w:tcW w:w="1521" w:type="dxa"/>
            <w:tcBorders>
              <w:top w:val="nil"/>
              <w:left w:val="nil"/>
              <w:bottom w:val="single" w:sz="8" w:space="0" w:color="auto"/>
              <w:right w:val="single" w:sz="8" w:space="0" w:color="auto"/>
            </w:tcBorders>
            <w:shd w:val="clear" w:color="auto" w:fill="auto"/>
            <w:noWrap/>
            <w:vAlign w:val="center"/>
            <w:hideMark/>
          </w:tcPr>
          <w:p w14:paraId="6D1623FF" w14:textId="243DF9F2" w:rsidR="00BD540A" w:rsidRPr="006150A6" w:rsidRDefault="00BD540A" w:rsidP="00BD540A">
            <w:pPr>
              <w:jc w:val="right"/>
              <w:rPr>
                <w:rFonts w:ascii="Arial" w:hAnsi="Arial" w:cs="Arial"/>
                <w:color w:val="000000"/>
                <w:sz w:val="22"/>
                <w:szCs w:val="22"/>
              </w:rPr>
            </w:pPr>
            <w:r>
              <w:rPr>
                <w:rFonts w:ascii="Arial" w:hAnsi="Arial" w:cs="Arial"/>
                <w:color w:val="000000"/>
                <w:sz w:val="22"/>
                <w:szCs w:val="22"/>
              </w:rPr>
              <w:t>-10</w:t>
            </w:r>
          </w:p>
        </w:tc>
        <w:tc>
          <w:tcPr>
            <w:tcW w:w="1521" w:type="dxa"/>
            <w:tcBorders>
              <w:top w:val="nil"/>
              <w:left w:val="nil"/>
              <w:bottom w:val="single" w:sz="8" w:space="0" w:color="auto"/>
              <w:right w:val="single" w:sz="8" w:space="0" w:color="auto"/>
            </w:tcBorders>
            <w:shd w:val="clear" w:color="auto" w:fill="auto"/>
            <w:noWrap/>
            <w:vAlign w:val="center"/>
            <w:hideMark/>
          </w:tcPr>
          <w:p w14:paraId="6D162400" w14:textId="40BBDF95" w:rsidR="00BD540A" w:rsidRPr="006150A6" w:rsidRDefault="00BD540A" w:rsidP="00BD540A">
            <w:pPr>
              <w:ind w:firstLineChars="200" w:firstLine="440"/>
              <w:jc w:val="right"/>
              <w:rPr>
                <w:rFonts w:ascii="Arial" w:hAnsi="Arial" w:cs="Arial"/>
                <w:color w:val="000000"/>
                <w:sz w:val="22"/>
                <w:szCs w:val="22"/>
              </w:rPr>
            </w:pPr>
            <w:r>
              <w:rPr>
                <w:rFonts w:ascii="Arial" w:hAnsi="Arial" w:cs="Arial"/>
                <w:color w:val="000000"/>
                <w:sz w:val="22"/>
                <w:szCs w:val="22"/>
              </w:rPr>
              <w:t xml:space="preserve"> - </w:t>
            </w:r>
          </w:p>
        </w:tc>
        <w:tc>
          <w:tcPr>
            <w:tcW w:w="1521" w:type="dxa"/>
            <w:tcBorders>
              <w:top w:val="nil"/>
              <w:left w:val="nil"/>
              <w:bottom w:val="single" w:sz="8" w:space="0" w:color="auto"/>
              <w:right w:val="single" w:sz="8" w:space="0" w:color="auto"/>
            </w:tcBorders>
            <w:shd w:val="clear" w:color="auto" w:fill="auto"/>
            <w:noWrap/>
            <w:vAlign w:val="center"/>
            <w:hideMark/>
          </w:tcPr>
          <w:p w14:paraId="6D162401" w14:textId="1667FBCE" w:rsidR="00BD540A" w:rsidRPr="006150A6" w:rsidRDefault="00BD540A" w:rsidP="00BD540A">
            <w:pPr>
              <w:ind w:firstLineChars="200" w:firstLine="440"/>
              <w:jc w:val="right"/>
              <w:rPr>
                <w:rFonts w:ascii="Arial" w:hAnsi="Arial" w:cs="Arial"/>
                <w:color w:val="000000"/>
                <w:sz w:val="22"/>
                <w:szCs w:val="22"/>
              </w:rPr>
            </w:pPr>
            <w:r>
              <w:rPr>
                <w:rFonts w:ascii="Arial" w:hAnsi="Arial" w:cs="Arial"/>
                <w:color w:val="000000"/>
                <w:sz w:val="22"/>
                <w:szCs w:val="22"/>
              </w:rPr>
              <w:t xml:space="preserve"> - </w:t>
            </w:r>
          </w:p>
        </w:tc>
        <w:tc>
          <w:tcPr>
            <w:tcW w:w="1522" w:type="dxa"/>
            <w:tcBorders>
              <w:top w:val="nil"/>
              <w:left w:val="nil"/>
              <w:bottom w:val="single" w:sz="8" w:space="0" w:color="auto"/>
              <w:right w:val="single" w:sz="8" w:space="0" w:color="auto"/>
            </w:tcBorders>
            <w:shd w:val="clear" w:color="auto" w:fill="auto"/>
            <w:noWrap/>
            <w:vAlign w:val="center"/>
            <w:hideMark/>
          </w:tcPr>
          <w:p w14:paraId="6D162402" w14:textId="14522E4F" w:rsidR="00BD540A" w:rsidRPr="006150A6" w:rsidRDefault="00BD540A" w:rsidP="00BD540A">
            <w:pPr>
              <w:ind w:firstLineChars="200" w:firstLine="442"/>
              <w:jc w:val="right"/>
              <w:rPr>
                <w:rFonts w:ascii="Arial" w:hAnsi="Arial" w:cs="Arial"/>
                <w:b/>
                <w:bCs/>
                <w:color w:val="000000"/>
                <w:sz w:val="22"/>
                <w:szCs w:val="22"/>
              </w:rPr>
            </w:pPr>
            <w:r>
              <w:rPr>
                <w:rFonts w:ascii="Arial" w:hAnsi="Arial" w:cs="Arial"/>
                <w:b/>
                <w:bCs/>
                <w:color w:val="000000"/>
                <w:sz w:val="22"/>
                <w:szCs w:val="22"/>
              </w:rPr>
              <w:t>-10</w:t>
            </w:r>
          </w:p>
        </w:tc>
      </w:tr>
      <w:tr w:rsidR="00BD540A" w:rsidRPr="006150A6" w14:paraId="6D162409" w14:textId="77777777" w:rsidTr="004A4D70">
        <w:trPr>
          <w:trHeight w:val="262"/>
          <w:jc w:val="center"/>
        </w:trPr>
        <w:tc>
          <w:tcPr>
            <w:tcW w:w="2987" w:type="dxa"/>
            <w:noWrap/>
            <w:hideMark/>
          </w:tcPr>
          <w:p w14:paraId="6D162404" w14:textId="77777777" w:rsidR="00BD540A" w:rsidRPr="006150A6" w:rsidRDefault="00BD540A" w:rsidP="00BD540A">
            <w:pPr>
              <w:autoSpaceDE w:val="0"/>
              <w:autoSpaceDN w:val="0"/>
              <w:adjustRightInd w:val="0"/>
              <w:ind w:left="426" w:hanging="426"/>
              <w:rPr>
                <w:rFonts w:ascii="Arial" w:hAnsi="Arial" w:cs="Arial"/>
                <w:b/>
                <w:bCs/>
                <w:color w:val="000000"/>
                <w:sz w:val="22"/>
                <w:szCs w:val="22"/>
              </w:rPr>
            </w:pPr>
            <w:r w:rsidRPr="006150A6">
              <w:rPr>
                <w:rFonts w:ascii="Arial" w:hAnsi="Arial" w:cs="Arial"/>
                <w:b/>
                <w:bCs/>
                <w:color w:val="000000"/>
                <w:sz w:val="22"/>
                <w:szCs w:val="22"/>
              </w:rPr>
              <w:t>Total</w:t>
            </w:r>
          </w:p>
        </w:tc>
        <w:tc>
          <w:tcPr>
            <w:tcW w:w="1521" w:type="dxa"/>
            <w:tcBorders>
              <w:top w:val="nil"/>
              <w:left w:val="nil"/>
              <w:bottom w:val="single" w:sz="8" w:space="0" w:color="auto"/>
              <w:right w:val="single" w:sz="8" w:space="0" w:color="auto"/>
            </w:tcBorders>
            <w:shd w:val="clear" w:color="auto" w:fill="auto"/>
            <w:noWrap/>
            <w:vAlign w:val="center"/>
            <w:hideMark/>
          </w:tcPr>
          <w:p w14:paraId="6D162405" w14:textId="08B0FEA3" w:rsidR="00BD540A" w:rsidRPr="006150A6" w:rsidRDefault="00BD540A" w:rsidP="00BD540A">
            <w:pPr>
              <w:ind w:firstLineChars="200" w:firstLine="442"/>
              <w:jc w:val="right"/>
              <w:rPr>
                <w:rFonts w:ascii="Arial" w:hAnsi="Arial" w:cs="Arial"/>
                <w:b/>
                <w:bCs/>
                <w:color w:val="000000"/>
                <w:sz w:val="22"/>
                <w:szCs w:val="22"/>
              </w:rPr>
            </w:pPr>
            <w:r>
              <w:rPr>
                <w:rFonts w:ascii="Arial" w:hAnsi="Arial" w:cs="Arial"/>
                <w:b/>
                <w:bCs/>
                <w:color w:val="000000"/>
                <w:sz w:val="22"/>
                <w:szCs w:val="22"/>
              </w:rPr>
              <w:t>327</w:t>
            </w:r>
          </w:p>
        </w:tc>
        <w:tc>
          <w:tcPr>
            <w:tcW w:w="1521" w:type="dxa"/>
            <w:tcBorders>
              <w:top w:val="nil"/>
              <w:left w:val="nil"/>
              <w:bottom w:val="single" w:sz="8" w:space="0" w:color="auto"/>
              <w:right w:val="single" w:sz="8" w:space="0" w:color="auto"/>
            </w:tcBorders>
            <w:shd w:val="clear" w:color="auto" w:fill="auto"/>
            <w:noWrap/>
            <w:vAlign w:val="center"/>
            <w:hideMark/>
          </w:tcPr>
          <w:p w14:paraId="6D162406" w14:textId="7B9C3D90" w:rsidR="00BD540A" w:rsidRPr="006150A6" w:rsidRDefault="00BD540A" w:rsidP="00BD540A">
            <w:pPr>
              <w:ind w:firstLineChars="200" w:firstLine="442"/>
              <w:jc w:val="right"/>
              <w:rPr>
                <w:rFonts w:ascii="Arial" w:hAnsi="Arial" w:cs="Arial"/>
                <w:b/>
                <w:bCs/>
                <w:color w:val="000000"/>
                <w:sz w:val="22"/>
                <w:szCs w:val="22"/>
              </w:rPr>
            </w:pPr>
            <w:r>
              <w:rPr>
                <w:rFonts w:ascii="Arial" w:hAnsi="Arial" w:cs="Arial"/>
                <w:b/>
                <w:bCs/>
                <w:color w:val="000000"/>
                <w:sz w:val="22"/>
                <w:szCs w:val="22"/>
              </w:rPr>
              <w:t>0</w:t>
            </w:r>
          </w:p>
        </w:tc>
        <w:tc>
          <w:tcPr>
            <w:tcW w:w="1521" w:type="dxa"/>
            <w:tcBorders>
              <w:top w:val="nil"/>
              <w:left w:val="nil"/>
              <w:bottom w:val="single" w:sz="8" w:space="0" w:color="auto"/>
              <w:right w:val="single" w:sz="8" w:space="0" w:color="auto"/>
            </w:tcBorders>
            <w:shd w:val="clear" w:color="auto" w:fill="auto"/>
            <w:noWrap/>
            <w:vAlign w:val="center"/>
            <w:hideMark/>
          </w:tcPr>
          <w:p w14:paraId="6D162407" w14:textId="0265E264" w:rsidR="00BD540A" w:rsidRPr="006150A6" w:rsidRDefault="00BD540A" w:rsidP="00BD540A">
            <w:pPr>
              <w:ind w:firstLineChars="200" w:firstLine="442"/>
              <w:jc w:val="right"/>
              <w:rPr>
                <w:rFonts w:ascii="Arial" w:hAnsi="Arial" w:cs="Arial"/>
                <w:b/>
                <w:bCs/>
                <w:color w:val="000000"/>
                <w:sz w:val="22"/>
                <w:szCs w:val="22"/>
              </w:rPr>
            </w:pPr>
            <w:r>
              <w:rPr>
                <w:rFonts w:ascii="Arial" w:hAnsi="Arial" w:cs="Arial"/>
                <w:b/>
                <w:bCs/>
                <w:color w:val="000000"/>
                <w:sz w:val="22"/>
                <w:szCs w:val="22"/>
              </w:rPr>
              <w:t>1,033</w:t>
            </w:r>
          </w:p>
        </w:tc>
        <w:tc>
          <w:tcPr>
            <w:tcW w:w="1522" w:type="dxa"/>
            <w:tcBorders>
              <w:top w:val="nil"/>
              <w:left w:val="nil"/>
              <w:bottom w:val="single" w:sz="8" w:space="0" w:color="auto"/>
              <w:right w:val="single" w:sz="8" w:space="0" w:color="auto"/>
            </w:tcBorders>
            <w:shd w:val="clear" w:color="auto" w:fill="auto"/>
            <w:noWrap/>
            <w:vAlign w:val="center"/>
            <w:hideMark/>
          </w:tcPr>
          <w:p w14:paraId="6D162408" w14:textId="4837D392" w:rsidR="00BD540A" w:rsidRPr="006150A6" w:rsidRDefault="00BD540A" w:rsidP="00BD540A">
            <w:pPr>
              <w:ind w:firstLineChars="200" w:firstLine="442"/>
              <w:jc w:val="right"/>
              <w:rPr>
                <w:rFonts w:ascii="Arial" w:hAnsi="Arial" w:cs="Arial"/>
                <w:b/>
                <w:bCs/>
                <w:color w:val="000000"/>
                <w:sz w:val="22"/>
                <w:szCs w:val="22"/>
              </w:rPr>
            </w:pPr>
            <w:r>
              <w:rPr>
                <w:rFonts w:ascii="Arial" w:hAnsi="Arial" w:cs="Arial"/>
                <w:b/>
                <w:bCs/>
                <w:color w:val="000000"/>
                <w:sz w:val="22"/>
                <w:szCs w:val="22"/>
              </w:rPr>
              <w:t>1,361</w:t>
            </w:r>
          </w:p>
        </w:tc>
      </w:tr>
    </w:tbl>
    <w:p w14:paraId="301552B4" w14:textId="77777777" w:rsidR="00FB498B" w:rsidRDefault="00FB498B" w:rsidP="009D15FB">
      <w:pPr>
        <w:pStyle w:val="NormalWeb"/>
        <w:shd w:val="clear" w:color="auto" w:fill="F9F9F9"/>
        <w:spacing w:before="0" w:beforeAutospacing="0" w:after="0" w:afterAutospacing="0"/>
        <w:ind w:left="426"/>
        <w:rPr>
          <w:rFonts w:ascii="Arial" w:hAnsi="Arial" w:cs="Arial"/>
          <w:b/>
          <w:bCs/>
          <w:color w:val="000000"/>
          <w:sz w:val="22"/>
          <w:szCs w:val="22"/>
        </w:rPr>
      </w:pPr>
    </w:p>
    <w:p w14:paraId="6D16240B" w14:textId="081D4FF9" w:rsidR="00593FC5" w:rsidRPr="00601B12" w:rsidRDefault="00593FC5" w:rsidP="009D15FB">
      <w:pPr>
        <w:pStyle w:val="NormalWeb"/>
        <w:shd w:val="clear" w:color="auto" w:fill="F9F9F9"/>
        <w:spacing w:before="0" w:beforeAutospacing="0" w:after="0" w:afterAutospacing="0"/>
        <w:ind w:left="426"/>
        <w:rPr>
          <w:rFonts w:ascii="Arial" w:hAnsi="Arial" w:cs="Arial"/>
          <w:color w:val="000000"/>
          <w:sz w:val="22"/>
          <w:szCs w:val="22"/>
        </w:rPr>
      </w:pPr>
      <w:r w:rsidRPr="00601B12">
        <w:rPr>
          <w:rFonts w:ascii="Arial" w:hAnsi="Arial" w:cs="Arial"/>
          <w:b/>
          <w:bCs/>
          <w:color w:val="000000"/>
          <w:sz w:val="22"/>
          <w:szCs w:val="22"/>
        </w:rPr>
        <w:t xml:space="preserve">Table </w:t>
      </w:r>
      <w:r w:rsidR="008F36E8" w:rsidRPr="00601B12">
        <w:rPr>
          <w:rFonts w:ascii="Arial" w:hAnsi="Arial" w:cs="Arial"/>
          <w:b/>
          <w:bCs/>
          <w:color w:val="000000"/>
          <w:sz w:val="22"/>
          <w:szCs w:val="22"/>
        </w:rPr>
        <w:t>6</w:t>
      </w:r>
      <w:r w:rsidRPr="00601B12">
        <w:rPr>
          <w:rFonts w:ascii="Arial" w:hAnsi="Arial" w:cs="Arial"/>
          <w:b/>
          <w:bCs/>
          <w:color w:val="000000"/>
          <w:sz w:val="22"/>
          <w:szCs w:val="22"/>
        </w:rPr>
        <w:t>:</w:t>
      </w:r>
      <w:r w:rsidRPr="00601B12">
        <w:rPr>
          <w:rFonts w:ascii="Arial" w:eastAsiaTheme="minorHAnsi" w:hAnsi="Arial" w:cs="Arial"/>
          <w:color w:val="000000"/>
          <w:sz w:val="22"/>
          <w:szCs w:val="22"/>
          <w:lang w:eastAsia="en-US"/>
        </w:rPr>
        <w:t xml:space="preserve"> </w:t>
      </w:r>
      <w:r w:rsidRPr="00601B12">
        <w:rPr>
          <w:rFonts w:ascii="Arial" w:hAnsi="Arial" w:cs="Arial"/>
          <w:b/>
          <w:bCs/>
          <w:color w:val="000000"/>
          <w:sz w:val="22"/>
          <w:szCs w:val="22"/>
        </w:rPr>
        <w:t xml:space="preserve">Investment Income Received in </w:t>
      </w:r>
      <w:r w:rsidR="00F22964">
        <w:rPr>
          <w:rFonts w:ascii="Arial" w:hAnsi="Arial" w:cs="Arial"/>
          <w:b/>
          <w:bCs/>
          <w:color w:val="000000"/>
          <w:sz w:val="22"/>
          <w:szCs w:val="22"/>
        </w:rPr>
        <w:t>202</w:t>
      </w:r>
      <w:r w:rsidR="000D2FFC">
        <w:rPr>
          <w:rFonts w:ascii="Arial" w:hAnsi="Arial" w:cs="Arial"/>
          <w:b/>
          <w:bCs/>
          <w:color w:val="000000"/>
          <w:sz w:val="22"/>
          <w:szCs w:val="22"/>
        </w:rPr>
        <w:t>1</w:t>
      </w:r>
      <w:r w:rsidR="00F22964">
        <w:rPr>
          <w:rFonts w:ascii="Arial" w:hAnsi="Arial" w:cs="Arial"/>
          <w:b/>
          <w:bCs/>
          <w:color w:val="000000"/>
          <w:sz w:val="22"/>
          <w:szCs w:val="22"/>
        </w:rPr>
        <w:t>/2</w:t>
      </w:r>
      <w:r w:rsidR="000D2FFC">
        <w:rPr>
          <w:rFonts w:ascii="Arial" w:hAnsi="Arial" w:cs="Arial"/>
          <w:b/>
          <w:bCs/>
          <w:color w:val="000000"/>
          <w:sz w:val="22"/>
          <w:szCs w:val="22"/>
        </w:rPr>
        <w:t>2</w:t>
      </w:r>
      <w:r w:rsidRPr="00601B12">
        <w:rPr>
          <w:rFonts w:ascii="Arial" w:hAnsi="Arial" w:cs="Arial"/>
          <w:b/>
          <w:bCs/>
          <w:color w:val="000000"/>
          <w:sz w:val="22"/>
          <w:szCs w:val="22"/>
        </w:rPr>
        <w:t>*</w:t>
      </w:r>
    </w:p>
    <w:tbl>
      <w:tblPr>
        <w:tblW w:w="9075" w:type="dxa"/>
        <w:jc w:val="center"/>
        <w:tblLayout w:type="fixed"/>
        <w:tblLook w:val="04A0" w:firstRow="1" w:lastRow="0" w:firstColumn="1" w:lastColumn="0" w:noHBand="0" w:noVBand="1"/>
      </w:tblPr>
      <w:tblGrid>
        <w:gridCol w:w="2976"/>
        <w:gridCol w:w="1524"/>
        <w:gridCol w:w="1525"/>
        <w:gridCol w:w="1525"/>
        <w:gridCol w:w="1525"/>
      </w:tblGrid>
      <w:tr w:rsidR="00593FC5" w:rsidRPr="00601B12" w14:paraId="6D162411" w14:textId="77777777" w:rsidTr="0076066D">
        <w:trPr>
          <w:trHeight w:val="264"/>
          <w:jc w:val="center"/>
        </w:trPr>
        <w:tc>
          <w:tcPr>
            <w:tcW w:w="297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D16240C" w14:textId="77777777" w:rsidR="00593FC5" w:rsidRPr="00601B12" w:rsidRDefault="00593FC5" w:rsidP="004146ED">
            <w:pPr>
              <w:ind w:left="426" w:hanging="426"/>
              <w:jc w:val="center"/>
              <w:rPr>
                <w:rFonts w:ascii="Arial" w:hAnsi="Arial" w:cs="Arial"/>
                <w:b/>
                <w:bCs/>
                <w:color w:val="FFFFFF" w:themeColor="background1"/>
              </w:rPr>
            </w:pPr>
          </w:p>
        </w:tc>
        <w:tc>
          <w:tcPr>
            <w:tcW w:w="1524" w:type="dxa"/>
            <w:tcBorders>
              <w:top w:val="single" w:sz="4" w:space="0" w:color="auto"/>
              <w:left w:val="nil"/>
              <w:bottom w:val="single" w:sz="4" w:space="0" w:color="auto"/>
              <w:right w:val="single" w:sz="4" w:space="0" w:color="auto"/>
            </w:tcBorders>
            <w:shd w:val="clear" w:color="000000" w:fill="FF0000"/>
            <w:vAlign w:val="bottom"/>
            <w:hideMark/>
          </w:tcPr>
          <w:p w14:paraId="6D16240D" w14:textId="77777777" w:rsidR="00593FC5" w:rsidRPr="00601B12" w:rsidRDefault="00593FC5" w:rsidP="004146ED">
            <w:pPr>
              <w:ind w:left="426" w:hanging="426"/>
              <w:jc w:val="center"/>
              <w:rPr>
                <w:rFonts w:ascii="Arial" w:hAnsi="Arial" w:cs="Arial"/>
                <w:b/>
                <w:bCs/>
                <w:color w:val="FFFFFF" w:themeColor="background1"/>
              </w:rPr>
            </w:pPr>
            <w:r w:rsidRPr="00601B12">
              <w:rPr>
                <w:rFonts w:ascii="Arial" w:hAnsi="Arial" w:cs="Arial"/>
                <w:b/>
                <w:bCs/>
                <w:color w:val="FFFFFF" w:themeColor="background1"/>
                <w:sz w:val="22"/>
                <w:szCs w:val="22"/>
              </w:rPr>
              <w:t>UK</w:t>
            </w:r>
          </w:p>
        </w:tc>
        <w:tc>
          <w:tcPr>
            <w:tcW w:w="1525" w:type="dxa"/>
            <w:tcBorders>
              <w:top w:val="single" w:sz="4" w:space="0" w:color="auto"/>
              <w:left w:val="nil"/>
              <w:bottom w:val="single" w:sz="4" w:space="0" w:color="auto"/>
              <w:right w:val="single" w:sz="4" w:space="0" w:color="auto"/>
            </w:tcBorders>
            <w:shd w:val="clear" w:color="000000" w:fill="FF0000"/>
            <w:noWrap/>
            <w:vAlign w:val="bottom"/>
            <w:hideMark/>
          </w:tcPr>
          <w:p w14:paraId="6D16240E" w14:textId="77777777" w:rsidR="00593FC5" w:rsidRPr="00601B12" w:rsidRDefault="00593FC5" w:rsidP="004146ED">
            <w:pPr>
              <w:ind w:left="426" w:hanging="426"/>
              <w:jc w:val="center"/>
              <w:rPr>
                <w:rFonts w:ascii="Arial" w:hAnsi="Arial" w:cs="Arial"/>
                <w:b/>
                <w:bCs/>
                <w:color w:val="FFFFFF" w:themeColor="background1"/>
              </w:rPr>
            </w:pPr>
            <w:r w:rsidRPr="00601B12">
              <w:rPr>
                <w:rFonts w:ascii="Arial" w:hAnsi="Arial" w:cs="Arial"/>
                <w:b/>
                <w:bCs/>
                <w:color w:val="FFFFFF" w:themeColor="background1"/>
                <w:sz w:val="22"/>
                <w:szCs w:val="22"/>
              </w:rPr>
              <w:t>Non-UK</w:t>
            </w:r>
          </w:p>
        </w:tc>
        <w:tc>
          <w:tcPr>
            <w:tcW w:w="1525" w:type="dxa"/>
            <w:tcBorders>
              <w:top w:val="single" w:sz="4" w:space="0" w:color="auto"/>
              <w:left w:val="nil"/>
              <w:bottom w:val="single" w:sz="4" w:space="0" w:color="auto"/>
              <w:right w:val="single" w:sz="4" w:space="0" w:color="auto"/>
            </w:tcBorders>
            <w:shd w:val="clear" w:color="000000" w:fill="FF0000"/>
            <w:noWrap/>
            <w:vAlign w:val="bottom"/>
            <w:hideMark/>
          </w:tcPr>
          <w:p w14:paraId="6D16240F" w14:textId="77777777" w:rsidR="00593FC5" w:rsidRPr="00601B12" w:rsidRDefault="00593FC5" w:rsidP="004146ED">
            <w:pPr>
              <w:ind w:left="426" w:hanging="426"/>
              <w:jc w:val="center"/>
              <w:rPr>
                <w:rFonts w:ascii="Arial" w:hAnsi="Arial" w:cs="Arial"/>
                <w:b/>
                <w:bCs/>
                <w:color w:val="FFFFFF" w:themeColor="background1"/>
              </w:rPr>
            </w:pPr>
            <w:r w:rsidRPr="00601B12">
              <w:rPr>
                <w:rFonts w:ascii="Arial" w:hAnsi="Arial" w:cs="Arial"/>
                <w:b/>
                <w:bCs/>
                <w:color w:val="FFFFFF" w:themeColor="background1"/>
                <w:sz w:val="22"/>
                <w:szCs w:val="22"/>
              </w:rPr>
              <w:t>Global</w:t>
            </w:r>
          </w:p>
        </w:tc>
        <w:tc>
          <w:tcPr>
            <w:tcW w:w="1525" w:type="dxa"/>
            <w:tcBorders>
              <w:top w:val="single" w:sz="4" w:space="0" w:color="auto"/>
              <w:left w:val="nil"/>
              <w:bottom w:val="single" w:sz="4" w:space="0" w:color="auto"/>
              <w:right w:val="single" w:sz="4" w:space="0" w:color="auto"/>
            </w:tcBorders>
            <w:shd w:val="clear" w:color="000000" w:fill="FF0000"/>
            <w:noWrap/>
            <w:vAlign w:val="bottom"/>
            <w:hideMark/>
          </w:tcPr>
          <w:p w14:paraId="6D162410" w14:textId="77777777" w:rsidR="00593FC5" w:rsidRPr="00601B12" w:rsidRDefault="00593FC5" w:rsidP="004146ED">
            <w:pPr>
              <w:ind w:left="426" w:hanging="426"/>
              <w:jc w:val="center"/>
              <w:rPr>
                <w:rFonts w:ascii="Arial" w:hAnsi="Arial" w:cs="Arial"/>
                <w:b/>
                <w:bCs/>
                <w:color w:val="FFFFFF" w:themeColor="background1"/>
              </w:rPr>
            </w:pPr>
            <w:r w:rsidRPr="00601B12">
              <w:rPr>
                <w:rFonts w:ascii="Arial" w:hAnsi="Arial" w:cs="Arial"/>
                <w:b/>
                <w:bCs/>
                <w:color w:val="FFFFFF" w:themeColor="background1"/>
                <w:sz w:val="22"/>
                <w:szCs w:val="22"/>
              </w:rPr>
              <w:t>Total</w:t>
            </w:r>
          </w:p>
        </w:tc>
      </w:tr>
      <w:tr w:rsidR="00593FC5" w:rsidRPr="00601B12" w14:paraId="6D162417" w14:textId="77777777" w:rsidTr="0076066D">
        <w:trPr>
          <w:trHeight w:val="264"/>
          <w:jc w:val="center"/>
        </w:trPr>
        <w:tc>
          <w:tcPr>
            <w:tcW w:w="2976"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6D162412" w14:textId="77777777" w:rsidR="00593FC5" w:rsidRPr="00601B12" w:rsidRDefault="00593FC5" w:rsidP="004146ED">
            <w:pPr>
              <w:ind w:left="426" w:hanging="426"/>
              <w:jc w:val="center"/>
              <w:rPr>
                <w:rFonts w:ascii="Arial" w:hAnsi="Arial" w:cs="Arial"/>
                <w:b/>
                <w:bCs/>
                <w:color w:val="FFFFFF" w:themeColor="background1"/>
              </w:rPr>
            </w:pPr>
          </w:p>
        </w:tc>
        <w:tc>
          <w:tcPr>
            <w:tcW w:w="1524" w:type="dxa"/>
            <w:tcBorders>
              <w:top w:val="single" w:sz="4" w:space="0" w:color="auto"/>
              <w:left w:val="nil"/>
              <w:bottom w:val="single" w:sz="4" w:space="0" w:color="auto"/>
              <w:right w:val="single" w:sz="4" w:space="0" w:color="auto"/>
            </w:tcBorders>
            <w:shd w:val="clear" w:color="000000" w:fill="FF0000"/>
            <w:noWrap/>
            <w:vAlign w:val="bottom"/>
            <w:hideMark/>
          </w:tcPr>
          <w:p w14:paraId="6D162413" w14:textId="77777777" w:rsidR="00593FC5" w:rsidRPr="00601B12" w:rsidRDefault="00593FC5" w:rsidP="004146ED">
            <w:pPr>
              <w:ind w:left="426" w:hanging="426"/>
              <w:jc w:val="center"/>
              <w:rPr>
                <w:rFonts w:ascii="Arial" w:hAnsi="Arial" w:cs="Arial"/>
                <w:b/>
                <w:bCs/>
                <w:color w:val="FFFFFF" w:themeColor="background1"/>
              </w:rPr>
            </w:pPr>
            <w:r w:rsidRPr="00601B12">
              <w:rPr>
                <w:rFonts w:ascii="Arial" w:hAnsi="Arial" w:cs="Arial"/>
                <w:b/>
                <w:bCs/>
                <w:color w:val="FFFFFF" w:themeColor="background1"/>
                <w:sz w:val="22"/>
                <w:szCs w:val="22"/>
              </w:rPr>
              <w:t>£m</w:t>
            </w:r>
          </w:p>
        </w:tc>
        <w:tc>
          <w:tcPr>
            <w:tcW w:w="1525" w:type="dxa"/>
            <w:tcBorders>
              <w:top w:val="single" w:sz="4" w:space="0" w:color="auto"/>
              <w:left w:val="nil"/>
              <w:bottom w:val="single" w:sz="4" w:space="0" w:color="auto"/>
              <w:right w:val="single" w:sz="4" w:space="0" w:color="auto"/>
            </w:tcBorders>
            <w:shd w:val="clear" w:color="000000" w:fill="FF0000"/>
            <w:noWrap/>
            <w:vAlign w:val="bottom"/>
            <w:hideMark/>
          </w:tcPr>
          <w:p w14:paraId="6D162414" w14:textId="77777777" w:rsidR="00593FC5" w:rsidRPr="00601B12" w:rsidRDefault="00593FC5" w:rsidP="004146ED">
            <w:pPr>
              <w:ind w:left="426" w:hanging="426"/>
              <w:jc w:val="center"/>
              <w:rPr>
                <w:rFonts w:ascii="Arial" w:hAnsi="Arial" w:cs="Arial"/>
                <w:b/>
                <w:bCs/>
                <w:color w:val="FFFFFF" w:themeColor="background1"/>
              </w:rPr>
            </w:pPr>
            <w:r w:rsidRPr="00601B12">
              <w:rPr>
                <w:rFonts w:ascii="Arial" w:hAnsi="Arial" w:cs="Arial"/>
                <w:b/>
                <w:bCs/>
                <w:color w:val="FFFFFF" w:themeColor="background1"/>
                <w:sz w:val="22"/>
                <w:szCs w:val="22"/>
              </w:rPr>
              <w:t>£m</w:t>
            </w:r>
          </w:p>
        </w:tc>
        <w:tc>
          <w:tcPr>
            <w:tcW w:w="1525" w:type="dxa"/>
            <w:tcBorders>
              <w:top w:val="single" w:sz="4" w:space="0" w:color="auto"/>
              <w:left w:val="nil"/>
              <w:bottom w:val="single" w:sz="4" w:space="0" w:color="auto"/>
              <w:right w:val="single" w:sz="4" w:space="0" w:color="auto"/>
            </w:tcBorders>
            <w:shd w:val="clear" w:color="000000" w:fill="FF0000"/>
            <w:noWrap/>
            <w:vAlign w:val="bottom"/>
            <w:hideMark/>
          </w:tcPr>
          <w:p w14:paraId="6D162415" w14:textId="77777777" w:rsidR="00593FC5" w:rsidRPr="00601B12" w:rsidRDefault="00593FC5" w:rsidP="004146ED">
            <w:pPr>
              <w:ind w:left="426" w:hanging="426"/>
              <w:jc w:val="center"/>
              <w:rPr>
                <w:rFonts w:ascii="Arial" w:hAnsi="Arial" w:cs="Arial"/>
                <w:b/>
                <w:bCs/>
                <w:color w:val="FFFFFF" w:themeColor="background1"/>
              </w:rPr>
            </w:pPr>
            <w:r w:rsidRPr="00601B12">
              <w:rPr>
                <w:rFonts w:ascii="Arial" w:hAnsi="Arial" w:cs="Arial"/>
                <w:b/>
                <w:bCs/>
                <w:color w:val="FFFFFF" w:themeColor="background1"/>
                <w:sz w:val="22"/>
                <w:szCs w:val="22"/>
              </w:rPr>
              <w:t>£m</w:t>
            </w:r>
          </w:p>
        </w:tc>
        <w:tc>
          <w:tcPr>
            <w:tcW w:w="1525" w:type="dxa"/>
            <w:tcBorders>
              <w:top w:val="single" w:sz="4" w:space="0" w:color="auto"/>
              <w:left w:val="nil"/>
              <w:bottom w:val="single" w:sz="4" w:space="0" w:color="auto"/>
              <w:right w:val="single" w:sz="4" w:space="0" w:color="auto"/>
            </w:tcBorders>
            <w:shd w:val="clear" w:color="000000" w:fill="FF0000"/>
            <w:noWrap/>
            <w:vAlign w:val="bottom"/>
            <w:hideMark/>
          </w:tcPr>
          <w:p w14:paraId="6D162416" w14:textId="77777777" w:rsidR="00593FC5" w:rsidRPr="00601B12" w:rsidRDefault="00593FC5" w:rsidP="004146ED">
            <w:pPr>
              <w:ind w:left="426" w:hanging="426"/>
              <w:jc w:val="center"/>
              <w:rPr>
                <w:rFonts w:ascii="Arial" w:hAnsi="Arial" w:cs="Arial"/>
                <w:b/>
                <w:bCs/>
                <w:color w:val="FFFFFF" w:themeColor="background1"/>
              </w:rPr>
            </w:pPr>
            <w:r w:rsidRPr="00601B12">
              <w:rPr>
                <w:rFonts w:ascii="Arial" w:hAnsi="Arial" w:cs="Arial"/>
                <w:b/>
                <w:bCs/>
                <w:color w:val="FFFFFF" w:themeColor="background1"/>
                <w:sz w:val="22"/>
                <w:szCs w:val="22"/>
              </w:rPr>
              <w:t>£m</w:t>
            </w:r>
          </w:p>
        </w:tc>
      </w:tr>
      <w:tr w:rsidR="000D2FFC" w:rsidRPr="00601B12" w14:paraId="6D16241D" w14:textId="77777777" w:rsidTr="00422CBF">
        <w:trPr>
          <w:trHeight w:val="264"/>
          <w:jc w:val="center"/>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6D162418" w14:textId="77777777" w:rsidR="000D2FFC" w:rsidRPr="00601B12" w:rsidRDefault="000D2FFC" w:rsidP="000D2FFC">
            <w:pPr>
              <w:ind w:left="426" w:hanging="426"/>
              <w:rPr>
                <w:rFonts w:ascii="Arial" w:hAnsi="Arial" w:cs="Arial"/>
                <w:b/>
                <w:bCs/>
                <w:color w:val="000000"/>
              </w:rPr>
            </w:pPr>
            <w:r w:rsidRPr="00601B12">
              <w:rPr>
                <w:rFonts w:ascii="Arial" w:hAnsi="Arial" w:cs="Arial"/>
                <w:b/>
                <w:bCs/>
                <w:color w:val="000000"/>
                <w:sz w:val="22"/>
                <w:szCs w:val="22"/>
              </w:rPr>
              <w:t>Equities</w:t>
            </w:r>
          </w:p>
        </w:tc>
        <w:tc>
          <w:tcPr>
            <w:tcW w:w="1524" w:type="dxa"/>
            <w:tcBorders>
              <w:top w:val="nil"/>
              <w:left w:val="nil"/>
              <w:bottom w:val="single" w:sz="8" w:space="0" w:color="auto"/>
              <w:right w:val="single" w:sz="8" w:space="0" w:color="auto"/>
            </w:tcBorders>
            <w:shd w:val="clear" w:color="000000" w:fill="FFFFFF"/>
            <w:noWrap/>
            <w:vAlign w:val="center"/>
            <w:hideMark/>
          </w:tcPr>
          <w:p w14:paraId="6D162419" w14:textId="2D44E0FD" w:rsidR="000D2FFC" w:rsidRPr="00601B12" w:rsidRDefault="000D2FFC" w:rsidP="000D2FFC">
            <w:pPr>
              <w:autoSpaceDE w:val="0"/>
              <w:autoSpaceDN w:val="0"/>
              <w:adjustRightInd w:val="0"/>
              <w:ind w:left="426" w:hanging="426"/>
              <w:jc w:val="right"/>
              <w:rPr>
                <w:rFonts w:ascii="Arial" w:hAnsi="Arial" w:cs="Arial"/>
                <w:bCs/>
                <w:color w:val="000000"/>
              </w:rPr>
            </w:pPr>
            <w:r>
              <w:rPr>
                <w:rFonts w:ascii="Arial" w:hAnsi="Arial" w:cs="Arial"/>
                <w:bCs/>
                <w:color w:val="000000"/>
                <w:sz w:val="22"/>
                <w:szCs w:val="22"/>
              </w:rPr>
              <w:t xml:space="preserve"> - </w:t>
            </w:r>
          </w:p>
        </w:tc>
        <w:tc>
          <w:tcPr>
            <w:tcW w:w="1525" w:type="dxa"/>
            <w:tcBorders>
              <w:top w:val="nil"/>
              <w:left w:val="nil"/>
              <w:bottom w:val="single" w:sz="8" w:space="0" w:color="auto"/>
              <w:right w:val="single" w:sz="8" w:space="0" w:color="auto"/>
            </w:tcBorders>
            <w:shd w:val="clear" w:color="000000" w:fill="FFFFFF"/>
            <w:noWrap/>
            <w:vAlign w:val="center"/>
            <w:hideMark/>
          </w:tcPr>
          <w:p w14:paraId="6D16241A" w14:textId="05DE7E05" w:rsidR="000D2FFC" w:rsidRPr="00601B12" w:rsidRDefault="000D2FFC" w:rsidP="000D2FFC">
            <w:pPr>
              <w:autoSpaceDE w:val="0"/>
              <w:autoSpaceDN w:val="0"/>
              <w:adjustRightInd w:val="0"/>
              <w:ind w:left="426" w:hanging="426"/>
              <w:jc w:val="right"/>
              <w:rPr>
                <w:rFonts w:ascii="Arial" w:hAnsi="Arial" w:cs="Arial"/>
                <w:bCs/>
                <w:color w:val="000000"/>
              </w:rPr>
            </w:pPr>
            <w:r>
              <w:rPr>
                <w:rFonts w:ascii="Arial" w:hAnsi="Arial" w:cs="Arial"/>
                <w:bCs/>
                <w:color w:val="000000"/>
                <w:sz w:val="22"/>
                <w:szCs w:val="22"/>
              </w:rPr>
              <w:t xml:space="preserve"> - </w:t>
            </w:r>
          </w:p>
        </w:tc>
        <w:tc>
          <w:tcPr>
            <w:tcW w:w="1525" w:type="dxa"/>
            <w:tcBorders>
              <w:top w:val="nil"/>
              <w:left w:val="nil"/>
              <w:bottom w:val="single" w:sz="8" w:space="0" w:color="auto"/>
              <w:right w:val="single" w:sz="8" w:space="0" w:color="auto"/>
            </w:tcBorders>
            <w:shd w:val="clear" w:color="000000" w:fill="FFFFFF"/>
            <w:noWrap/>
            <w:vAlign w:val="center"/>
            <w:hideMark/>
          </w:tcPr>
          <w:p w14:paraId="6D16241B" w14:textId="4C00A3BB" w:rsidR="000D2FFC" w:rsidRPr="00601B12" w:rsidRDefault="000D2FFC" w:rsidP="000D2FFC">
            <w:pPr>
              <w:ind w:left="426" w:hanging="426"/>
              <w:jc w:val="right"/>
              <w:rPr>
                <w:rFonts w:ascii="Arial" w:hAnsi="Arial" w:cs="Arial"/>
              </w:rPr>
            </w:pPr>
            <w:r>
              <w:rPr>
                <w:rFonts w:ascii="Arial" w:hAnsi="Arial" w:cs="Arial"/>
                <w:sz w:val="22"/>
                <w:szCs w:val="22"/>
              </w:rPr>
              <w:t>13.3</w:t>
            </w:r>
          </w:p>
        </w:tc>
        <w:tc>
          <w:tcPr>
            <w:tcW w:w="1525" w:type="dxa"/>
            <w:tcBorders>
              <w:top w:val="nil"/>
              <w:left w:val="nil"/>
              <w:bottom w:val="single" w:sz="8" w:space="0" w:color="auto"/>
              <w:right w:val="single" w:sz="8" w:space="0" w:color="auto"/>
            </w:tcBorders>
            <w:shd w:val="clear" w:color="000000" w:fill="FFFFFF"/>
            <w:noWrap/>
            <w:vAlign w:val="center"/>
            <w:hideMark/>
          </w:tcPr>
          <w:p w14:paraId="6D16241C" w14:textId="4E55E02F" w:rsidR="000D2FFC" w:rsidRPr="00601B12" w:rsidRDefault="000D2FFC" w:rsidP="000D2FFC">
            <w:pPr>
              <w:ind w:left="426" w:hanging="426"/>
              <w:jc w:val="right"/>
              <w:rPr>
                <w:rFonts w:ascii="Arial" w:hAnsi="Arial" w:cs="Arial"/>
              </w:rPr>
            </w:pPr>
            <w:r>
              <w:rPr>
                <w:rFonts w:ascii="Arial" w:hAnsi="Arial" w:cs="Arial"/>
                <w:b/>
                <w:bCs/>
                <w:color w:val="000000"/>
                <w:sz w:val="22"/>
                <w:szCs w:val="22"/>
              </w:rPr>
              <w:t>13.3</w:t>
            </w:r>
          </w:p>
        </w:tc>
      </w:tr>
      <w:tr w:rsidR="000D2FFC" w:rsidRPr="00601B12" w14:paraId="6D162423" w14:textId="77777777" w:rsidTr="00422CBF">
        <w:trPr>
          <w:trHeight w:val="264"/>
          <w:jc w:val="center"/>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6D16241E" w14:textId="77777777" w:rsidR="000D2FFC" w:rsidRPr="00601B12" w:rsidRDefault="000D2FFC" w:rsidP="000D2FFC">
            <w:pPr>
              <w:ind w:left="426" w:hanging="426"/>
              <w:rPr>
                <w:rFonts w:ascii="Arial" w:hAnsi="Arial" w:cs="Arial"/>
                <w:b/>
                <w:bCs/>
                <w:color w:val="000000"/>
              </w:rPr>
            </w:pPr>
            <w:r w:rsidRPr="00601B12">
              <w:rPr>
                <w:rFonts w:ascii="Arial" w:hAnsi="Arial" w:cs="Arial"/>
                <w:b/>
                <w:bCs/>
                <w:color w:val="000000"/>
                <w:sz w:val="22"/>
                <w:szCs w:val="22"/>
              </w:rPr>
              <w:t>Bonds</w:t>
            </w:r>
          </w:p>
        </w:tc>
        <w:tc>
          <w:tcPr>
            <w:tcW w:w="1524" w:type="dxa"/>
            <w:tcBorders>
              <w:top w:val="nil"/>
              <w:left w:val="nil"/>
              <w:bottom w:val="single" w:sz="8" w:space="0" w:color="auto"/>
              <w:right w:val="single" w:sz="8" w:space="0" w:color="auto"/>
            </w:tcBorders>
            <w:shd w:val="clear" w:color="000000" w:fill="FFFFFF"/>
            <w:noWrap/>
            <w:vAlign w:val="center"/>
            <w:hideMark/>
          </w:tcPr>
          <w:p w14:paraId="6D16241F" w14:textId="6E4AC874" w:rsidR="000D2FFC" w:rsidRPr="00601B12" w:rsidRDefault="000D2FFC" w:rsidP="000D2FFC">
            <w:pPr>
              <w:autoSpaceDE w:val="0"/>
              <w:autoSpaceDN w:val="0"/>
              <w:adjustRightInd w:val="0"/>
              <w:ind w:left="426" w:hanging="426"/>
              <w:jc w:val="right"/>
              <w:rPr>
                <w:rFonts w:ascii="Arial" w:hAnsi="Arial" w:cs="Arial"/>
                <w:bCs/>
                <w:color w:val="000000"/>
              </w:rPr>
            </w:pPr>
            <w:r>
              <w:rPr>
                <w:rFonts w:ascii="Arial" w:hAnsi="Arial" w:cs="Arial"/>
                <w:bCs/>
                <w:color w:val="000000"/>
                <w:sz w:val="22"/>
                <w:szCs w:val="22"/>
              </w:rPr>
              <w:t xml:space="preserve"> - </w:t>
            </w:r>
          </w:p>
        </w:tc>
        <w:tc>
          <w:tcPr>
            <w:tcW w:w="1525" w:type="dxa"/>
            <w:tcBorders>
              <w:top w:val="nil"/>
              <w:left w:val="nil"/>
              <w:bottom w:val="single" w:sz="8" w:space="0" w:color="auto"/>
              <w:right w:val="single" w:sz="8" w:space="0" w:color="auto"/>
            </w:tcBorders>
            <w:shd w:val="clear" w:color="000000" w:fill="FFFFFF"/>
            <w:noWrap/>
            <w:vAlign w:val="center"/>
            <w:hideMark/>
          </w:tcPr>
          <w:p w14:paraId="6D162420" w14:textId="794BDA8C" w:rsidR="000D2FFC" w:rsidRPr="00601B12" w:rsidRDefault="000D2FFC" w:rsidP="000D2FFC">
            <w:pPr>
              <w:autoSpaceDE w:val="0"/>
              <w:autoSpaceDN w:val="0"/>
              <w:adjustRightInd w:val="0"/>
              <w:ind w:left="426" w:hanging="426"/>
              <w:jc w:val="right"/>
              <w:rPr>
                <w:rFonts w:ascii="Arial" w:hAnsi="Arial" w:cs="Arial"/>
                <w:bCs/>
                <w:color w:val="000000"/>
              </w:rPr>
            </w:pPr>
            <w:r>
              <w:rPr>
                <w:rFonts w:ascii="Arial" w:hAnsi="Arial" w:cs="Arial"/>
                <w:bCs/>
                <w:color w:val="000000"/>
                <w:sz w:val="22"/>
                <w:szCs w:val="22"/>
              </w:rPr>
              <w:t xml:space="preserve"> - </w:t>
            </w:r>
          </w:p>
        </w:tc>
        <w:tc>
          <w:tcPr>
            <w:tcW w:w="1525" w:type="dxa"/>
            <w:tcBorders>
              <w:top w:val="nil"/>
              <w:left w:val="nil"/>
              <w:bottom w:val="single" w:sz="8" w:space="0" w:color="auto"/>
              <w:right w:val="single" w:sz="8" w:space="0" w:color="auto"/>
            </w:tcBorders>
            <w:shd w:val="clear" w:color="000000" w:fill="FFFFFF"/>
            <w:noWrap/>
            <w:vAlign w:val="center"/>
            <w:hideMark/>
          </w:tcPr>
          <w:p w14:paraId="6D162421" w14:textId="6288C362" w:rsidR="000D2FFC" w:rsidRPr="00601B12" w:rsidRDefault="000D2FFC" w:rsidP="000D2FFC">
            <w:pPr>
              <w:ind w:left="426" w:hanging="426"/>
              <w:jc w:val="right"/>
              <w:rPr>
                <w:rFonts w:ascii="Arial" w:hAnsi="Arial" w:cs="Arial"/>
              </w:rPr>
            </w:pPr>
            <w:r>
              <w:rPr>
                <w:rFonts w:ascii="Arial" w:hAnsi="Arial" w:cs="Arial"/>
                <w:sz w:val="22"/>
                <w:szCs w:val="22"/>
              </w:rPr>
              <w:t>0.4</w:t>
            </w:r>
          </w:p>
        </w:tc>
        <w:tc>
          <w:tcPr>
            <w:tcW w:w="1525" w:type="dxa"/>
            <w:tcBorders>
              <w:top w:val="nil"/>
              <w:left w:val="nil"/>
              <w:bottom w:val="single" w:sz="8" w:space="0" w:color="auto"/>
              <w:right w:val="single" w:sz="8" w:space="0" w:color="auto"/>
            </w:tcBorders>
            <w:shd w:val="clear" w:color="000000" w:fill="FFFFFF"/>
            <w:noWrap/>
            <w:vAlign w:val="center"/>
            <w:hideMark/>
          </w:tcPr>
          <w:p w14:paraId="6D162422" w14:textId="6224E329" w:rsidR="000D2FFC" w:rsidRPr="00601B12" w:rsidRDefault="000D2FFC" w:rsidP="000D2FFC">
            <w:pPr>
              <w:ind w:left="426" w:hanging="426"/>
              <w:jc w:val="right"/>
              <w:rPr>
                <w:rFonts w:ascii="Arial" w:hAnsi="Arial" w:cs="Arial"/>
              </w:rPr>
            </w:pPr>
            <w:r>
              <w:rPr>
                <w:rFonts w:ascii="Arial" w:hAnsi="Arial" w:cs="Arial"/>
                <w:b/>
                <w:bCs/>
                <w:color w:val="000000"/>
                <w:sz w:val="22"/>
                <w:szCs w:val="22"/>
              </w:rPr>
              <w:t>0.4</w:t>
            </w:r>
          </w:p>
        </w:tc>
      </w:tr>
      <w:tr w:rsidR="000D2FFC" w:rsidRPr="00601B12" w14:paraId="6D162429" w14:textId="77777777" w:rsidTr="00422CBF">
        <w:trPr>
          <w:trHeight w:val="264"/>
          <w:jc w:val="center"/>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6D162424" w14:textId="77777777" w:rsidR="000D2FFC" w:rsidRPr="00601B12" w:rsidRDefault="000D2FFC" w:rsidP="000D2FFC">
            <w:pPr>
              <w:ind w:left="426" w:hanging="426"/>
              <w:rPr>
                <w:rFonts w:ascii="Arial" w:hAnsi="Arial" w:cs="Arial"/>
                <w:b/>
                <w:bCs/>
                <w:color w:val="000000"/>
              </w:rPr>
            </w:pPr>
            <w:r w:rsidRPr="00601B12">
              <w:rPr>
                <w:rFonts w:ascii="Arial" w:hAnsi="Arial" w:cs="Arial"/>
                <w:b/>
                <w:bCs/>
                <w:color w:val="000000"/>
                <w:sz w:val="22"/>
                <w:szCs w:val="22"/>
              </w:rPr>
              <w:t>Alternatives</w:t>
            </w:r>
          </w:p>
        </w:tc>
        <w:tc>
          <w:tcPr>
            <w:tcW w:w="1524" w:type="dxa"/>
            <w:tcBorders>
              <w:top w:val="nil"/>
              <w:left w:val="nil"/>
              <w:bottom w:val="single" w:sz="8" w:space="0" w:color="auto"/>
              <w:right w:val="single" w:sz="8" w:space="0" w:color="auto"/>
            </w:tcBorders>
            <w:shd w:val="clear" w:color="000000" w:fill="FFFFFF"/>
            <w:noWrap/>
            <w:vAlign w:val="center"/>
            <w:hideMark/>
          </w:tcPr>
          <w:p w14:paraId="6D162425" w14:textId="6F3B8652" w:rsidR="000D2FFC" w:rsidRPr="00601B12" w:rsidRDefault="000D2FFC" w:rsidP="000D2FFC">
            <w:pPr>
              <w:ind w:left="426" w:hanging="426"/>
              <w:jc w:val="right"/>
              <w:rPr>
                <w:rFonts w:ascii="Arial" w:hAnsi="Arial" w:cs="Arial"/>
                <w:color w:val="000000"/>
              </w:rPr>
            </w:pPr>
            <w:r>
              <w:rPr>
                <w:rFonts w:ascii="Arial" w:hAnsi="Arial" w:cs="Arial"/>
                <w:color w:val="000000"/>
                <w:sz w:val="22"/>
                <w:szCs w:val="22"/>
              </w:rPr>
              <w:t>2.3</w:t>
            </w:r>
          </w:p>
        </w:tc>
        <w:tc>
          <w:tcPr>
            <w:tcW w:w="1525" w:type="dxa"/>
            <w:tcBorders>
              <w:top w:val="nil"/>
              <w:left w:val="nil"/>
              <w:bottom w:val="single" w:sz="8" w:space="0" w:color="auto"/>
              <w:right w:val="single" w:sz="8" w:space="0" w:color="auto"/>
            </w:tcBorders>
            <w:shd w:val="clear" w:color="000000" w:fill="FFFFFF"/>
            <w:noWrap/>
            <w:vAlign w:val="center"/>
            <w:hideMark/>
          </w:tcPr>
          <w:p w14:paraId="6D162426" w14:textId="7586A128" w:rsidR="000D2FFC" w:rsidRPr="00601B12" w:rsidRDefault="000D2FFC" w:rsidP="000D2FFC">
            <w:pPr>
              <w:autoSpaceDE w:val="0"/>
              <w:autoSpaceDN w:val="0"/>
              <w:adjustRightInd w:val="0"/>
              <w:ind w:left="426" w:hanging="426"/>
              <w:jc w:val="right"/>
              <w:rPr>
                <w:rFonts w:ascii="Arial" w:hAnsi="Arial" w:cs="Arial"/>
                <w:bCs/>
                <w:color w:val="000000"/>
              </w:rPr>
            </w:pPr>
            <w:r>
              <w:rPr>
                <w:rFonts w:ascii="Arial" w:hAnsi="Arial" w:cs="Arial"/>
                <w:bCs/>
                <w:color w:val="000000"/>
                <w:sz w:val="22"/>
                <w:szCs w:val="22"/>
              </w:rPr>
              <w:t xml:space="preserve"> - </w:t>
            </w:r>
          </w:p>
        </w:tc>
        <w:tc>
          <w:tcPr>
            <w:tcW w:w="1525" w:type="dxa"/>
            <w:tcBorders>
              <w:top w:val="nil"/>
              <w:left w:val="nil"/>
              <w:bottom w:val="single" w:sz="8" w:space="0" w:color="auto"/>
              <w:right w:val="single" w:sz="8" w:space="0" w:color="auto"/>
            </w:tcBorders>
            <w:shd w:val="clear" w:color="000000" w:fill="FFFFFF"/>
            <w:noWrap/>
            <w:vAlign w:val="center"/>
            <w:hideMark/>
          </w:tcPr>
          <w:p w14:paraId="6D162427" w14:textId="0B12E71E" w:rsidR="000D2FFC" w:rsidRPr="00601B12" w:rsidRDefault="000D2FFC" w:rsidP="000D2FFC">
            <w:pPr>
              <w:ind w:left="426" w:hanging="426"/>
              <w:jc w:val="right"/>
              <w:rPr>
                <w:rFonts w:ascii="Arial" w:hAnsi="Arial" w:cs="Arial"/>
              </w:rPr>
            </w:pPr>
            <w:r>
              <w:rPr>
                <w:rFonts w:ascii="Arial" w:hAnsi="Arial" w:cs="Arial"/>
                <w:sz w:val="22"/>
                <w:szCs w:val="22"/>
              </w:rPr>
              <w:t xml:space="preserve"> - </w:t>
            </w:r>
          </w:p>
        </w:tc>
        <w:tc>
          <w:tcPr>
            <w:tcW w:w="1525" w:type="dxa"/>
            <w:tcBorders>
              <w:top w:val="nil"/>
              <w:left w:val="nil"/>
              <w:bottom w:val="single" w:sz="8" w:space="0" w:color="auto"/>
              <w:right w:val="single" w:sz="8" w:space="0" w:color="auto"/>
            </w:tcBorders>
            <w:shd w:val="clear" w:color="000000" w:fill="FFFFFF"/>
            <w:noWrap/>
            <w:vAlign w:val="center"/>
            <w:hideMark/>
          </w:tcPr>
          <w:p w14:paraId="6D162428" w14:textId="7CD5614B" w:rsidR="000D2FFC" w:rsidRPr="00601B12" w:rsidRDefault="000D2FFC" w:rsidP="000D2FFC">
            <w:pPr>
              <w:ind w:left="426" w:hanging="426"/>
              <w:jc w:val="right"/>
              <w:rPr>
                <w:rFonts w:ascii="Arial" w:hAnsi="Arial" w:cs="Arial"/>
                <w:color w:val="000000"/>
              </w:rPr>
            </w:pPr>
            <w:r>
              <w:rPr>
                <w:rFonts w:ascii="Arial" w:hAnsi="Arial" w:cs="Arial"/>
                <w:b/>
                <w:bCs/>
                <w:color w:val="000000"/>
                <w:sz w:val="22"/>
                <w:szCs w:val="22"/>
              </w:rPr>
              <w:t>2.3</w:t>
            </w:r>
          </w:p>
        </w:tc>
      </w:tr>
      <w:tr w:rsidR="000D2FFC" w:rsidRPr="00601B12" w14:paraId="6D16242F" w14:textId="77777777" w:rsidTr="00422CBF">
        <w:trPr>
          <w:trHeight w:val="264"/>
          <w:jc w:val="center"/>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6D16242A" w14:textId="77777777" w:rsidR="000D2FFC" w:rsidRPr="00601B12" w:rsidRDefault="000D2FFC" w:rsidP="000D2FFC">
            <w:pPr>
              <w:ind w:left="426" w:hanging="426"/>
              <w:rPr>
                <w:rFonts w:ascii="Arial" w:hAnsi="Arial" w:cs="Arial"/>
                <w:b/>
                <w:bCs/>
                <w:color w:val="000000"/>
              </w:rPr>
            </w:pPr>
            <w:r w:rsidRPr="00601B12">
              <w:rPr>
                <w:rFonts w:ascii="Arial" w:hAnsi="Arial" w:cs="Arial"/>
                <w:b/>
                <w:bCs/>
                <w:color w:val="000000"/>
                <w:sz w:val="22"/>
                <w:szCs w:val="22"/>
              </w:rPr>
              <w:t>Cash</w:t>
            </w:r>
          </w:p>
        </w:tc>
        <w:tc>
          <w:tcPr>
            <w:tcW w:w="1524" w:type="dxa"/>
            <w:tcBorders>
              <w:top w:val="nil"/>
              <w:left w:val="nil"/>
              <w:bottom w:val="single" w:sz="8" w:space="0" w:color="auto"/>
              <w:right w:val="single" w:sz="8" w:space="0" w:color="auto"/>
            </w:tcBorders>
            <w:shd w:val="clear" w:color="000000" w:fill="FFFFFF"/>
            <w:noWrap/>
            <w:vAlign w:val="center"/>
            <w:hideMark/>
          </w:tcPr>
          <w:p w14:paraId="6D16242B" w14:textId="77BB988A" w:rsidR="000D2FFC" w:rsidRPr="00601B12" w:rsidRDefault="000D2FFC" w:rsidP="000D2FFC">
            <w:pPr>
              <w:ind w:left="426" w:hanging="426"/>
              <w:jc w:val="right"/>
              <w:rPr>
                <w:rFonts w:ascii="Arial" w:hAnsi="Arial" w:cs="Arial"/>
                <w:color w:val="000000"/>
              </w:rPr>
            </w:pPr>
            <w:r>
              <w:rPr>
                <w:rFonts w:ascii="Arial" w:hAnsi="Arial" w:cs="Arial"/>
                <w:color w:val="000000"/>
                <w:sz w:val="22"/>
                <w:szCs w:val="22"/>
              </w:rPr>
              <w:t>0.8</w:t>
            </w:r>
          </w:p>
        </w:tc>
        <w:tc>
          <w:tcPr>
            <w:tcW w:w="1525" w:type="dxa"/>
            <w:tcBorders>
              <w:top w:val="nil"/>
              <w:left w:val="nil"/>
              <w:bottom w:val="single" w:sz="8" w:space="0" w:color="auto"/>
              <w:right w:val="single" w:sz="8" w:space="0" w:color="auto"/>
            </w:tcBorders>
            <w:shd w:val="clear" w:color="000000" w:fill="FFFFFF"/>
            <w:noWrap/>
            <w:vAlign w:val="center"/>
            <w:hideMark/>
          </w:tcPr>
          <w:p w14:paraId="6D16242C" w14:textId="5C0BCCAF" w:rsidR="000D2FFC" w:rsidRPr="00601B12" w:rsidRDefault="000D2FFC" w:rsidP="000D2FFC">
            <w:pPr>
              <w:autoSpaceDE w:val="0"/>
              <w:autoSpaceDN w:val="0"/>
              <w:adjustRightInd w:val="0"/>
              <w:ind w:left="426" w:hanging="426"/>
              <w:jc w:val="right"/>
              <w:rPr>
                <w:rFonts w:ascii="Arial" w:hAnsi="Arial" w:cs="Arial"/>
                <w:bCs/>
                <w:color w:val="000000"/>
              </w:rPr>
            </w:pPr>
            <w:r>
              <w:rPr>
                <w:rFonts w:ascii="Arial" w:hAnsi="Arial" w:cs="Arial"/>
                <w:bCs/>
                <w:color w:val="000000"/>
                <w:sz w:val="22"/>
                <w:szCs w:val="22"/>
              </w:rPr>
              <w:t xml:space="preserve"> - </w:t>
            </w:r>
          </w:p>
        </w:tc>
        <w:tc>
          <w:tcPr>
            <w:tcW w:w="1525" w:type="dxa"/>
            <w:tcBorders>
              <w:top w:val="nil"/>
              <w:left w:val="nil"/>
              <w:bottom w:val="single" w:sz="8" w:space="0" w:color="auto"/>
              <w:right w:val="single" w:sz="8" w:space="0" w:color="auto"/>
            </w:tcBorders>
            <w:shd w:val="clear" w:color="000000" w:fill="FFFFFF"/>
            <w:noWrap/>
            <w:vAlign w:val="center"/>
            <w:hideMark/>
          </w:tcPr>
          <w:p w14:paraId="6D16242D" w14:textId="77F399A7" w:rsidR="000D2FFC" w:rsidRPr="00601B12" w:rsidRDefault="000D2FFC" w:rsidP="000D2FFC">
            <w:pPr>
              <w:ind w:left="426" w:hanging="426"/>
              <w:jc w:val="right"/>
              <w:rPr>
                <w:rFonts w:ascii="Arial" w:hAnsi="Arial" w:cs="Arial"/>
              </w:rPr>
            </w:pPr>
            <w:r>
              <w:rPr>
                <w:rFonts w:ascii="Arial" w:hAnsi="Arial" w:cs="Arial"/>
                <w:bCs/>
                <w:color w:val="000000"/>
                <w:sz w:val="22"/>
                <w:szCs w:val="22"/>
              </w:rPr>
              <w:t xml:space="preserve"> - </w:t>
            </w:r>
          </w:p>
        </w:tc>
        <w:tc>
          <w:tcPr>
            <w:tcW w:w="1525" w:type="dxa"/>
            <w:tcBorders>
              <w:top w:val="nil"/>
              <w:left w:val="nil"/>
              <w:bottom w:val="single" w:sz="8" w:space="0" w:color="auto"/>
              <w:right w:val="single" w:sz="8" w:space="0" w:color="auto"/>
            </w:tcBorders>
            <w:shd w:val="clear" w:color="000000" w:fill="FFFFFF"/>
            <w:noWrap/>
            <w:vAlign w:val="center"/>
            <w:hideMark/>
          </w:tcPr>
          <w:p w14:paraId="6D16242E" w14:textId="4B1D401E" w:rsidR="000D2FFC" w:rsidRPr="00601B12" w:rsidRDefault="000D2FFC" w:rsidP="000D2FFC">
            <w:pPr>
              <w:ind w:left="426" w:hanging="426"/>
              <w:jc w:val="right"/>
              <w:rPr>
                <w:rFonts w:ascii="Arial" w:hAnsi="Arial" w:cs="Arial"/>
                <w:color w:val="000000"/>
              </w:rPr>
            </w:pPr>
            <w:r>
              <w:rPr>
                <w:rFonts w:ascii="Arial" w:hAnsi="Arial" w:cs="Arial"/>
                <w:b/>
                <w:bCs/>
                <w:color w:val="000000"/>
                <w:sz w:val="22"/>
                <w:szCs w:val="22"/>
              </w:rPr>
              <w:t>0.8</w:t>
            </w:r>
          </w:p>
        </w:tc>
      </w:tr>
      <w:tr w:rsidR="000D2FFC" w:rsidRPr="00601B12" w14:paraId="6D162435" w14:textId="77777777" w:rsidTr="00422CBF">
        <w:trPr>
          <w:trHeight w:val="264"/>
          <w:jc w:val="center"/>
        </w:trPr>
        <w:tc>
          <w:tcPr>
            <w:tcW w:w="2976" w:type="dxa"/>
            <w:tcBorders>
              <w:top w:val="nil"/>
              <w:left w:val="single" w:sz="4" w:space="0" w:color="auto"/>
              <w:bottom w:val="single" w:sz="4" w:space="0" w:color="auto"/>
              <w:right w:val="single" w:sz="4" w:space="0" w:color="auto"/>
            </w:tcBorders>
            <w:shd w:val="clear" w:color="000000" w:fill="FFFFFF"/>
            <w:noWrap/>
            <w:vAlign w:val="bottom"/>
            <w:hideMark/>
          </w:tcPr>
          <w:p w14:paraId="6D162430" w14:textId="77777777" w:rsidR="000D2FFC" w:rsidRPr="00601B12" w:rsidRDefault="000D2FFC" w:rsidP="000D2FFC">
            <w:pPr>
              <w:ind w:left="426" w:hanging="426"/>
              <w:rPr>
                <w:rFonts w:ascii="Arial" w:hAnsi="Arial" w:cs="Arial"/>
                <w:b/>
                <w:bCs/>
                <w:color w:val="000000"/>
              </w:rPr>
            </w:pPr>
            <w:r w:rsidRPr="00601B12">
              <w:rPr>
                <w:rFonts w:ascii="Arial" w:hAnsi="Arial" w:cs="Arial"/>
                <w:b/>
                <w:bCs/>
                <w:color w:val="000000"/>
                <w:sz w:val="22"/>
                <w:szCs w:val="22"/>
              </w:rPr>
              <w:t>Total</w:t>
            </w:r>
          </w:p>
        </w:tc>
        <w:tc>
          <w:tcPr>
            <w:tcW w:w="1524" w:type="dxa"/>
            <w:tcBorders>
              <w:top w:val="nil"/>
              <w:left w:val="nil"/>
              <w:bottom w:val="single" w:sz="8" w:space="0" w:color="auto"/>
              <w:right w:val="single" w:sz="8" w:space="0" w:color="auto"/>
            </w:tcBorders>
            <w:shd w:val="clear" w:color="000000" w:fill="FFFFFF"/>
            <w:noWrap/>
            <w:vAlign w:val="center"/>
            <w:hideMark/>
          </w:tcPr>
          <w:p w14:paraId="6D162431" w14:textId="58A01B18" w:rsidR="000D2FFC" w:rsidRPr="00601B12" w:rsidRDefault="000D2FFC" w:rsidP="000D2FFC">
            <w:pPr>
              <w:ind w:left="426" w:hanging="426"/>
              <w:jc w:val="right"/>
              <w:rPr>
                <w:rFonts w:ascii="Arial" w:hAnsi="Arial" w:cs="Arial"/>
                <w:b/>
                <w:bCs/>
                <w:color w:val="000000"/>
              </w:rPr>
            </w:pPr>
            <w:r>
              <w:rPr>
                <w:rFonts w:ascii="Arial" w:hAnsi="Arial" w:cs="Arial"/>
                <w:b/>
                <w:bCs/>
                <w:color w:val="000000"/>
                <w:sz w:val="22"/>
                <w:szCs w:val="22"/>
              </w:rPr>
              <w:t>3.1</w:t>
            </w:r>
          </w:p>
        </w:tc>
        <w:tc>
          <w:tcPr>
            <w:tcW w:w="1525" w:type="dxa"/>
            <w:tcBorders>
              <w:top w:val="nil"/>
              <w:left w:val="nil"/>
              <w:bottom w:val="single" w:sz="8" w:space="0" w:color="auto"/>
              <w:right w:val="single" w:sz="8" w:space="0" w:color="auto"/>
            </w:tcBorders>
            <w:shd w:val="clear" w:color="000000" w:fill="FFFFFF"/>
            <w:noWrap/>
            <w:vAlign w:val="center"/>
            <w:hideMark/>
          </w:tcPr>
          <w:p w14:paraId="6D162432" w14:textId="51DC6367" w:rsidR="000D2FFC" w:rsidRPr="00601B12" w:rsidRDefault="000D2FFC" w:rsidP="000D2FFC">
            <w:pPr>
              <w:autoSpaceDE w:val="0"/>
              <w:autoSpaceDN w:val="0"/>
              <w:adjustRightInd w:val="0"/>
              <w:ind w:left="426" w:hanging="426"/>
              <w:jc w:val="right"/>
              <w:rPr>
                <w:rFonts w:ascii="Arial" w:hAnsi="Arial" w:cs="Arial"/>
                <w:b/>
                <w:bCs/>
                <w:color w:val="000000"/>
              </w:rPr>
            </w:pPr>
            <w:r>
              <w:rPr>
                <w:rFonts w:ascii="Arial" w:hAnsi="Arial" w:cs="Arial"/>
                <w:b/>
                <w:bCs/>
                <w:color w:val="000000"/>
                <w:sz w:val="22"/>
                <w:szCs w:val="22"/>
              </w:rPr>
              <w:t>0</w:t>
            </w:r>
          </w:p>
        </w:tc>
        <w:tc>
          <w:tcPr>
            <w:tcW w:w="1525" w:type="dxa"/>
            <w:tcBorders>
              <w:top w:val="nil"/>
              <w:left w:val="nil"/>
              <w:bottom w:val="single" w:sz="8" w:space="0" w:color="auto"/>
              <w:right w:val="single" w:sz="8" w:space="0" w:color="auto"/>
            </w:tcBorders>
            <w:shd w:val="clear" w:color="000000" w:fill="FFFFFF"/>
            <w:noWrap/>
            <w:vAlign w:val="center"/>
            <w:hideMark/>
          </w:tcPr>
          <w:p w14:paraId="6D162433" w14:textId="7F9052EE" w:rsidR="000D2FFC" w:rsidRPr="00601B12" w:rsidRDefault="000D2FFC" w:rsidP="000D2FFC">
            <w:pPr>
              <w:ind w:left="426" w:hanging="426"/>
              <w:jc w:val="right"/>
              <w:rPr>
                <w:rFonts w:ascii="Arial" w:hAnsi="Arial" w:cs="Arial"/>
                <w:b/>
                <w:bCs/>
                <w:color w:val="000000"/>
              </w:rPr>
            </w:pPr>
            <w:r>
              <w:rPr>
                <w:rFonts w:ascii="Arial" w:hAnsi="Arial" w:cs="Arial"/>
                <w:b/>
                <w:bCs/>
                <w:color w:val="000000"/>
                <w:sz w:val="22"/>
                <w:szCs w:val="22"/>
              </w:rPr>
              <w:t>13.7</w:t>
            </w:r>
          </w:p>
        </w:tc>
        <w:tc>
          <w:tcPr>
            <w:tcW w:w="1525" w:type="dxa"/>
            <w:tcBorders>
              <w:top w:val="nil"/>
              <w:left w:val="nil"/>
              <w:bottom w:val="single" w:sz="8" w:space="0" w:color="auto"/>
              <w:right w:val="single" w:sz="8" w:space="0" w:color="auto"/>
            </w:tcBorders>
            <w:shd w:val="clear" w:color="000000" w:fill="FFFFFF"/>
            <w:noWrap/>
            <w:vAlign w:val="center"/>
            <w:hideMark/>
          </w:tcPr>
          <w:p w14:paraId="6D162434" w14:textId="1660A14D" w:rsidR="000D2FFC" w:rsidRPr="00601B12" w:rsidRDefault="000D2FFC" w:rsidP="000D2FFC">
            <w:pPr>
              <w:ind w:left="426" w:hanging="426"/>
              <w:jc w:val="right"/>
              <w:rPr>
                <w:rFonts w:ascii="Arial" w:hAnsi="Arial" w:cs="Arial"/>
                <w:b/>
                <w:bCs/>
                <w:color w:val="000000"/>
              </w:rPr>
            </w:pPr>
            <w:r>
              <w:rPr>
                <w:rFonts w:ascii="Arial" w:hAnsi="Arial" w:cs="Arial"/>
                <w:b/>
                <w:bCs/>
                <w:color w:val="000000"/>
                <w:sz w:val="22"/>
                <w:szCs w:val="22"/>
              </w:rPr>
              <w:t>16.8</w:t>
            </w:r>
          </w:p>
        </w:tc>
      </w:tr>
    </w:tbl>
    <w:p w14:paraId="5D251F3E" w14:textId="6703BA9F" w:rsidR="0012274A" w:rsidRPr="00601B12" w:rsidRDefault="00593FC5">
      <w:pPr>
        <w:ind w:left="426"/>
        <w:jc w:val="both"/>
        <w:rPr>
          <w:rFonts w:ascii="Arial" w:hAnsi="Arial" w:cs="Arial"/>
          <w:bCs/>
          <w:color w:val="000000"/>
        </w:rPr>
      </w:pPr>
      <w:r w:rsidRPr="00601B12">
        <w:rPr>
          <w:rFonts w:ascii="Arial" w:hAnsi="Arial" w:cs="Arial"/>
          <w:bCs/>
          <w:color w:val="000000"/>
        </w:rPr>
        <w:t xml:space="preserve">* </w:t>
      </w:r>
      <w:r w:rsidRPr="00601B12">
        <w:rPr>
          <w:rFonts w:ascii="Arial" w:hAnsi="Arial" w:cs="Arial"/>
          <w:bCs/>
          <w:i/>
          <w:color w:val="000000"/>
        </w:rPr>
        <w:t xml:space="preserve">Investment income includes dividends and investment income. </w:t>
      </w:r>
    </w:p>
    <w:p w14:paraId="6D162438" w14:textId="77777777" w:rsidR="00A57A05" w:rsidRPr="00601B12" w:rsidRDefault="00EE48E9" w:rsidP="004146ED">
      <w:pPr>
        <w:autoSpaceDE w:val="0"/>
        <w:autoSpaceDN w:val="0"/>
        <w:adjustRightInd w:val="0"/>
        <w:ind w:left="426" w:hanging="426"/>
        <w:jc w:val="both"/>
        <w:rPr>
          <w:rFonts w:ascii="Arial" w:hAnsi="Arial" w:cs="Arial"/>
          <w:b/>
          <w:bCs/>
          <w:color w:val="FF0000"/>
        </w:rPr>
      </w:pPr>
      <w:r w:rsidRPr="00601B12">
        <w:rPr>
          <w:rFonts w:ascii="Arial" w:hAnsi="Arial" w:cs="Arial"/>
          <w:b/>
          <w:bCs/>
          <w:color w:val="FF0000"/>
        </w:rPr>
        <w:t>6</w:t>
      </w:r>
      <w:r w:rsidR="00A57A05" w:rsidRPr="00601B12">
        <w:rPr>
          <w:rFonts w:ascii="Arial" w:hAnsi="Arial" w:cs="Arial"/>
          <w:b/>
          <w:bCs/>
          <w:color w:val="FF0000"/>
        </w:rPr>
        <w:t>.</w:t>
      </w:r>
      <w:r w:rsidR="00A57A05" w:rsidRPr="00601B12">
        <w:rPr>
          <w:rFonts w:ascii="Arial" w:hAnsi="Arial" w:cs="Arial"/>
          <w:b/>
          <w:bCs/>
          <w:color w:val="FF0000"/>
        </w:rPr>
        <w:tab/>
        <w:t>Member Training and Development</w:t>
      </w:r>
    </w:p>
    <w:p w14:paraId="6D162439" w14:textId="77777777" w:rsidR="00496DFD" w:rsidRPr="00601B12" w:rsidRDefault="00496DFD" w:rsidP="004146ED">
      <w:pPr>
        <w:ind w:left="426" w:hanging="426"/>
        <w:jc w:val="both"/>
        <w:rPr>
          <w:rFonts w:ascii="Arial" w:hAnsi="Arial" w:cs="Arial"/>
          <w:b/>
          <w:bCs/>
          <w:color w:val="C00000"/>
          <w:sz w:val="22"/>
          <w:szCs w:val="22"/>
        </w:rPr>
      </w:pPr>
    </w:p>
    <w:p w14:paraId="6D16243C" w14:textId="615F9213" w:rsidR="00496DFD" w:rsidRPr="00601B12" w:rsidRDefault="00593FC5" w:rsidP="00691939">
      <w:pPr>
        <w:ind w:left="426" w:hanging="426"/>
        <w:jc w:val="both"/>
        <w:rPr>
          <w:rFonts w:ascii="Arial" w:hAnsi="Arial" w:cs="Arial"/>
          <w:bCs/>
          <w:color w:val="000000" w:themeColor="text1"/>
          <w:sz w:val="22"/>
          <w:szCs w:val="22"/>
        </w:rPr>
      </w:pPr>
      <w:r w:rsidRPr="00601B12">
        <w:rPr>
          <w:rFonts w:ascii="Arial" w:hAnsi="Arial" w:cs="Arial"/>
          <w:bCs/>
          <w:color w:val="000000" w:themeColor="text1"/>
          <w:sz w:val="22"/>
          <w:szCs w:val="22"/>
        </w:rPr>
        <w:t>6</w:t>
      </w:r>
      <w:r w:rsidR="00496DFD" w:rsidRPr="00601B12">
        <w:rPr>
          <w:rFonts w:ascii="Arial" w:hAnsi="Arial" w:cs="Arial"/>
          <w:bCs/>
          <w:color w:val="000000" w:themeColor="text1"/>
          <w:sz w:val="22"/>
          <w:szCs w:val="22"/>
        </w:rPr>
        <w:t>.1</w:t>
      </w:r>
      <w:r w:rsidR="00496DFD" w:rsidRPr="00601B12">
        <w:rPr>
          <w:rFonts w:ascii="Arial" w:hAnsi="Arial" w:cs="Arial"/>
          <w:b/>
          <w:bCs/>
          <w:color w:val="C00000"/>
          <w:sz w:val="22"/>
          <w:szCs w:val="22"/>
        </w:rPr>
        <w:tab/>
      </w:r>
      <w:r w:rsidR="00496DFD" w:rsidRPr="00601B12">
        <w:rPr>
          <w:rFonts w:ascii="Arial" w:hAnsi="Arial" w:cs="Arial"/>
          <w:bCs/>
          <w:color w:val="000000" w:themeColor="text1"/>
          <w:sz w:val="22"/>
          <w:szCs w:val="22"/>
        </w:rPr>
        <w:t>In October 2011 CIPFA published a Code of Practice on Public Sector Pensions Finance Knowledge and Skills</w:t>
      </w:r>
      <w:r w:rsidR="006F5BCC" w:rsidRPr="00601B12">
        <w:rPr>
          <w:rFonts w:ascii="Arial" w:hAnsi="Arial" w:cs="Arial"/>
          <w:bCs/>
          <w:color w:val="000000" w:themeColor="text1"/>
          <w:sz w:val="22"/>
          <w:szCs w:val="22"/>
        </w:rPr>
        <w:t xml:space="preserve"> (KSF)</w:t>
      </w:r>
      <w:r w:rsidR="00496DFD" w:rsidRPr="00601B12">
        <w:rPr>
          <w:rFonts w:ascii="Arial" w:hAnsi="Arial" w:cs="Arial"/>
          <w:bCs/>
          <w:color w:val="000000" w:themeColor="text1"/>
          <w:sz w:val="22"/>
          <w:szCs w:val="22"/>
        </w:rPr>
        <w:t>, with the aim of facilitating sound governance in the decision making of the public bodies responsible for administering pension funds.</w:t>
      </w:r>
      <w:r w:rsidR="00691939">
        <w:rPr>
          <w:rFonts w:ascii="Arial" w:hAnsi="Arial" w:cs="Arial"/>
          <w:bCs/>
          <w:color w:val="000000" w:themeColor="text1"/>
          <w:sz w:val="22"/>
          <w:szCs w:val="22"/>
        </w:rPr>
        <w:t xml:space="preserve"> </w:t>
      </w:r>
      <w:r w:rsidR="00496DFD" w:rsidRPr="00601B12">
        <w:rPr>
          <w:rFonts w:ascii="Arial" w:hAnsi="Arial" w:cs="Arial"/>
          <w:bCs/>
          <w:color w:val="000000" w:themeColor="text1"/>
          <w:sz w:val="22"/>
          <w:szCs w:val="22"/>
        </w:rPr>
        <w:t xml:space="preserve">The framework provides a framework for the training and development of officers and members involved in the management and administration of public pension funds. CIPFA now requires a commitment for LGP schemes to adopt the key principles of the </w:t>
      </w:r>
      <w:r w:rsidR="00474AE6" w:rsidRPr="00601B12">
        <w:rPr>
          <w:rFonts w:ascii="Arial" w:hAnsi="Arial" w:cs="Arial"/>
          <w:bCs/>
          <w:color w:val="000000" w:themeColor="text1"/>
          <w:sz w:val="22"/>
          <w:szCs w:val="22"/>
        </w:rPr>
        <w:t xml:space="preserve">KSF </w:t>
      </w:r>
      <w:r w:rsidR="00496DFD" w:rsidRPr="00601B12">
        <w:rPr>
          <w:rFonts w:ascii="Arial" w:hAnsi="Arial" w:cs="Arial"/>
          <w:bCs/>
          <w:color w:val="000000" w:themeColor="text1"/>
          <w:sz w:val="22"/>
          <w:szCs w:val="22"/>
        </w:rPr>
        <w:t>and report how they have implemented the requirement of the code in the Annual Report.</w:t>
      </w:r>
    </w:p>
    <w:p w14:paraId="6D16243D" w14:textId="77777777" w:rsidR="00496DFD" w:rsidRPr="00601B12" w:rsidRDefault="00496DFD" w:rsidP="004146ED">
      <w:pPr>
        <w:ind w:left="426" w:hanging="426"/>
        <w:jc w:val="both"/>
        <w:rPr>
          <w:rFonts w:ascii="Arial" w:hAnsi="Arial" w:cs="Arial"/>
          <w:bCs/>
          <w:color w:val="000000" w:themeColor="text1"/>
          <w:sz w:val="22"/>
          <w:szCs w:val="22"/>
        </w:rPr>
      </w:pPr>
    </w:p>
    <w:p w14:paraId="6D16243E" w14:textId="39BFC149" w:rsidR="00496DFD" w:rsidRPr="00601B12" w:rsidRDefault="00593FC5" w:rsidP="004146ED">
      <w:pPr>
        <w:ind w:left="426" w:hanging="426"/>
        <w:jc w:val="both"/>
        <w:rPr>
          <w:rFonts w:ascii="Arial" w:hAnsi="Arial" w:cs="Arial"/>
          <w:bCs/>
          <w:color w:val="000000" w:themeColor="text1"/>
          <w:sz w:val="22"/>
          <w:szCs w:val="22"/>
        </w:rPr>
      </w:pPr>
      <w:r w:rsidRPr="00601B12">
        <w:rPr>
          <w:rFonts w:ascii="Arial" w:hAnsi="Arial" w:cs="Arial"/>
          <w:bCs/>
          <w:color w:val="000000" w:themeColor="text1"/>
          <w:sz w:val="22"/>
          <w:szCs w:val="22"/>
        </w:rPr>
        <w:t>6</w:t>
      </w:r>
      <w:r w:rsidR="000F03E5" w:rsidRPr="00601B12">
        <w:rPr>
          <w:rFonts w:ascii="Arial" w:hAnsi="Arial" w:cs="Arial"/>
          <w:bCs/>
          <w:color w:val="000000" w:themeColor="text1"/>
          <w:sz w:val="22"/>
          <w:szCs w:val="22"/>
        </w:rPr>
        <w:t>.</w:t>
      </w:r>
      <w:r w:rsidR="00691939">
        <w:rPr>
          <w:rFonts w:ascii="Arial" w:hAnsi="Arial" w:cs="Arial"/>
          <w:bCs/>
          <w:color w:val="000000" w:themeColor="text1"/>
          <w:sz w:val="22"/>
          <w:szCs w:val="22"/>
        </w:rPr>
        <w:t>2</w:t>
      </w:r>
      <w:r w:rsidR="00496DFD" w:rsidRPr="00601B12">
        <w:rPr>
          <w:rFonts w:ascii="Arial" w:hAnsi="Arial" w:cs="Arial"/>
          <w:bCs/>
          <w:color w:val="000000" w:themeColor="text1"/>
          <w:sz w:val="22"/>
          <w:szCs w:val="22"/>
        </w:rPr>
        <w:tab/>
        <w:t xml:space="preserve">This </w:t>
      </w:r>
      <w:r w:rsidR="00474AE6" w:rsidRPr="00601B12">
        <w:rPr>
          <w:rFonts w:ascii="Arial" w:hAnsi="Arial" w:cs="Arial"/>
          <w:bCs/>
          <w:color w:val="000000" w:themeColor="text1"/>
          <w:sz w:val="22"/>
          <w:szCs w:val="22"/>
        </w:rPr>
        <w:t>KSF</w:t>
      </w:r>
      <w:r w:rsidR="00496DFD" w:rsidRPr="00601B12">
        <w:rPr>
          <w:rFonts w:ascii="Arial" w:hAnsi="Arial" w:cs="Arial"/>
          <w:bCs/>
          <w:color w:val="000000" w:themeColor="text1"/>
          <w:sz w:val="22"/>
          <w:szCs w:val="22"/>
        </w:rPr>
        <w:t xml:space="preserve"> is intended as</w:t>
      </w:r>
      <w:r w:rsidR="00626496">
        <w:rPr>
          <w:rFonts w:ascii="Arial" w:hAnsi="Arial" w:cs="Arial"/>
          <w:bCs/>
          <w:color w:val="000000" w:themeColor="text1"/>
          <w:sz w:val="22"/>
          <w:szCs w:val="22"/>
        </w:rPr>
        <w:t xml:space="preserve"> a</w:t>
      </w:r>
      <w:r w:rsidR="00496DFD" w:rsidRPr="00601B12">
        <w:rPr>
          <w:rFonts w:ascii="Arial" w:hAnsi="Arial" w:cs="Arial"/>
          <w:bCs/>
          <w:color w:val="000000" w:themeColor="text1"/>
          <w:sz w:val="22"/>
          <w:szCs w:val="22"/>
        </w:rPr>
        <w:t>:</w:t>
      </w:r>
    </w:p>
    <w:p w14:paraId="6D16243F" w14:textId="77777777" w:rsidR="00496DFD" w:rsidRPr="00601B12" w:rsidRDefault="00496DFD" w:rsidP="004146ED">
      <w:pPr>
        <w:ind w:left="426" w:hanging="426"/>
        <w:jc w:val="both"/>
        <w:rPr>
          <w:rFonts w:ascii="Arial" w:hAnsi="Arial" w:cs="Arial"/>
          <w:bCs/>
          <w:color w:val="000000" w:themeColor="text1"/>
          <w:sz w:val="22"/>
          <w:szCs w:val="22"/>
        </w:rPr>
      </w:pPr>
    </w:p>
    <w:p w14:paraId="6D162440" w14:textId="1A5D9924" w:rsidR="00496DFD" w:rsidRPr="00601B12" w:rsidRDefault="00496DFD" w:rsidP="007337FE">
      <w:pPr>
        <w:pStyle w:val="ListParagraph"/>
        <w:numPr>
          <w:ilvl w:val="0"/>
          <w:numId w:val="93"/>
        </w:numPr>
        <w:spacing w:after="0" w:line="240" w:lineRule="auto"/>
        <w:ind w:left="1134" w:hanging="141"/>
        <w:jc w:val="both"/>
        <w:rPr>
          <w:rFonts w:ascii="Arial" w:hAnsi="Arial" w:cs="Arial"/>
          <w:bCs/>
          <w:color w:val="000000" w:themeColor="text1"/>
        </w:rPr>
      </w:pPr>
      <w:r w:rsidRPr="00601B12">
        <w:rPr>
          <w:rFonts w:ascii="Arial" w:hAnsi="Arial" w:cs="Arial"/>
          <w:bCs/>
          <w:color w:val="000000" w:themeColor="text1"/>
        </w:rPr>
        <w:t xml:space="preserve">tool to determine </w:t>
      </w:r>
      <w:r w:rsidR="006F5BCC" w:rsidRPr="00601B12">
        <w:rPr>
          <w:rFonts w:ascii="Arial" w:hAnsi="Arial" w:cs="Arial"/>
          <w:bCs/>
          <w:color w:val="000000" w:themeColor="text1"/>
        </w:rPr>
        <w:t>if there is</w:t>
      </w:r>
      <w:r w:rsidRPr="00601B12">
        <w:rPr>
          <w:rFonts w:ascii="Arial" w:hAnsi="Arial" w:cs="Arial"/>
          <w:bCs/>
          <w:color w:val="000000" w:themeColor="text1"/>
        </w:rPr>
        <w:t xml:space="preserve"> </w:t>
      </w:r>
      <w:r w:rsidR="00626496">
        <w:rPr>
          <w:rFonts w:ascii="Arial" w:hAnsi="Arial" w:cs="Arial"/>
          <w:bCs/>
          <w:color w:val="000000" w:themeColor="text1"/>
        </w:rPr>
        <w:t>a</w:t>
      </w:r>
      <w:r w:rsidRPr="00601B12">
        <w:rPr>
          <w:rFonts w:ascii="Arial" w:hAnsi="Arial" w:cs="Arial"/>
          <w:bCs/>
          <w:color w:val="000000" w:themeColor="text1"/>
        </w:rPr>
        <w:t xml:space="preserve"> right skill mix to meet scheme financial management </w:t>
      </w:r>
      <w:proofErr w:type="gramStart"/>
      <w:r w:rsidRPr="00601B12">
        <w:rPr>
          <w:rFonts w:ascii="Arial" w:hAnsi="Arial" w:cs="Arial"/>
          <w:bCs/>
          <w:color w:val="000000" w:themeColor="text1"/>
        </w:rPr>
        <w:t>needs;</w:t>
      </w:r>
      <w:proofErr w:type="gramEnd"/>
    </w:p>
    <w:p w14:paraId="6D162441" w14:textId="0B8502F4" w:rsidR="00496DFD" w:rsidRPr="00601B12" w:rsidRDefault="00496DFD" w:rsidP="007337FE">
      <w:pPr>
        <w:pStyle w:val="ListParagraph"/>
        <w:numPr>
          <w:ilvl w:val="0"/>
          <w:numId w:val="93"/>
        </w:numPr>
        <w:spacing w:after="0" w:line="240" w:lineRule="auto"/>
        <w:ind w:left="1134" w:hanging="141"/>
        <w:jc w:val="both"/>
        <w:rPr>
          <w:rFonts w:ascii="Arial" w:hAnsi="Arial" w:cs="Arial"/>
          <w:bCs/>
          <w:color w:val="000000" w:themeColor="text1"/>
        </w:rPr>
      </w:pPr>
      <w:r w:rsidRPr="00601B12">
        <w:rPr>
          <w:rFonts w:ascii="Arial" w:hAnsi="Arial" w:cs="Arial"/>
          <w:bCs/>
          <w:color w:val="000000" w:themeColor="text1"/>
        </w:rPr>
        <w:t>assessment tool to measure their progress and plan their development; and</w:t>
      </w:r>
    </w:p>
    <w:p w14:paraId="6D162442" w14:textId="05B8B070" w:rsidR="00496DFD" w:rsidRPr="00601B12" w:rsidRDefault="00496DFD" w:rsidP="007337FE">
      <w:pPr>
        <w:pStyle w:val="ListParagraph"/>
        <w:numPr>
          <w:ilvl w:val="0"/>
          <w:numId w:val="93"/>
        </w:numPr>
        <w:spacing w:after="0" w:line="240" w:lineRule="auto"/>
        <w:ind w:left="1134" w:hanging="141"/>
        <w:jc w:val="both"/>
        <w:rPr>
          <w:rFonts w:ascii="Arial" w:hAnsi="Arial" w:cs="Arial"/>
          <w:bCs/>
          <w:color w:val="000000" w:themeColor="text1"/>
        </w:rPr>
      </w:pPr>
      <w:r w:rsidRPr="00601B12">
        <w:rPr>
          <w:rFonts w:ascii="Arial" w:hAnsi="Arial" w:cs="Arial"/>
          <w:bCs/>
          <w:color w:val="000000" w:themeColor="text1"/>
        </w:rPr>
        <w:t xml:space="preserve">framework </w:t>
      </w:r>
      <w:r w:rsidR="006F5BCC" w:rsidRPr="00601B12">
        <w:rPr>
          <w:rFonts w:ascii="Arial" w:hAnsi="Arial" w:cs="Arial"/>
          <w:bCs/>
          <w:color w:val="000000" w:themeColor="text1"/>
        </w:rPr>
        <w:t>for</w:t>
      </w:r>
      <w:r w:rsidRPr="00601B12">
        <w:rPr>
          <w:rFonts w:ascii="Arial" w:hAnsi="Arial" w:cs="Arial"/>
          <w:bCs/>
          <w:color w:val="000000" w:themeColor="text1"/>
        </w:rPr>
        <w:t xml:space="preserve"> organisations and individuals </w:t>
      </w:r>
      <w:r w:rsidR="006F5BCC" w:rsidRPr="00601B12">
        <w:rPr>
          <w:rFonts w:ascii="Arial" w:hAnsi="Arial" w:cs="Arial"/>
          <w:bCs/>
          <w:color w:val="000000" w:themeColor="text1"/>
        </w:rPr>
        <w:t xml:space="preserve">to </w:t>
      </w:r>
      <w:r w:rsidRPr="00601B12">
        <w:rPr>
          <w:rFonts w:ascii="Arial" w:hAnsi="Arial" w:cs="Arial"/>
          <w:bCs/>
          <w:color w:val="000000" w:themeColor="text1"/>
        </w:rPr>
        <w:t>tailor to their own circumstances.</w:t>
      </w:r>
    </w:p>
    <w:p w14:paraId="6D162443" w14:textId="77777777" w:rsidR="00474AE6" w:rsidRPr="00601B12" w:rsidRDefault="00474AE6" w:rsidP="004146ED">
      <w:pPr>
        <w:pStyle w:val="ListParagraph"/>
        <w:spacing w:after="0" w:line="240" w:lineRule="auto"/>
        <w:ind w:left="426" w:hanging="426"/>
        <w:jc w:val="both"/>
        <w:rPr>
          <w:rFonts w:ascii="Arial" w:hAnsi="Arial" w:cs="Arial"/>
          <w:bCs/>
          <w:color w:val="000000" w:themeColor="text1"/>
        </w:rPr>
      </w:pPr>
    </w:p>
    <w:p w14:paraId="6D162444" w14:textId="7C9AB73A" w:rsidR="000F03E5" w:rsidRPr="00601B12" w:rsidRDefault="00593FC5" w:rsidP="004146ED">
      <w:pPr>
        <w:ind w:left="426" w:hanging="426"/>
        <w:jc w:val="both"/>
        <w:rPr>
          <w:rFonts w:ascii="Arial" w:hAnsi="Arial" w:cs="Arial"/>
          <w:bCs/>
          <w:color w:val="000000" w:themeColor="text1"/>
          <w:sz w:val="22"/>
          <w:szCs w:val="22"/>
        </w:rPr>
      </w:pPr>
      <w:r w:rsidRPr="00601B12">
        <w:rPr>
          <w:rFonts w:ascii="Arial" w:hAnsi="Arial" w:cs="Arial"/>
          <w:bCs/>
          <w:color w:val="000000" w:themeColor="text1"/>
          <w:sz w:val="22"/>
          <w:szCs w:val="22"/>
        </w:rPr>
        <w:t>6</w:t>
      </w:r>
      <w:r w:rsidR="000F03E5" w:rsidRPr="00601B12">
        <w:rPr>
          <w:rFonts w:ascii="Arial" w:hAnsi="Arial" w:cs="Arial"/>
          <w:bCs/>
          <w:color w:val="000000" w:themeColor="text1"/>
          <w:sz w:val="22"/>
          <w:szCs w:val="22"/>
        </w:rPr>
        <w:t>.</w:t>
      </w:r>
      <w:r w:rsidR="00691939">
        <w:rPr>
          <w:rFonts w:ascii="Arial" w:hAnsi="Arial" w:cs="Arial"/>
          <w:bCs/>
          <w:color w:val="000000" w:themeColor="text1"/>
          <w:sz w:val="22"/>
          <w:szCs w:val="22"/>
        </w:rPr>
        <w:t>3</w:t>
      </w:r>
      <w:r w:rsidR="00496DFD" w:rsidRPr="00601B12">
        <w:rPr>
          <w:rFonts w:ascii="Arial" w:hAnsi="Arial" w:cs="Arial"/>
          <w:bCs/>
          <w:color w:val="000000" w:themeColor="text1"/>
          <w:sz w:val="22"/>
          <w:szCs w:val="22"/>
        </w:rPr>
        <w:tab/>
      </w:r>
      <w:r w:rsidR="000F03E5" w:rsidRPr="00601B12">
        <w:rPr>
          <w:rFonts w:ascii="Arial" w:hAnsi="Arial" w:cs="Arial"/>
          <w:bCs/>
          <w:color w:val="000000" w:themeColor="text1"/>
          <w:sz w:val="22"/>
          <w:szCs w:val="22"/>
        </w:rPr>
        <w:t xml:space="preserve">The </w:t>
      </w:r>
      <w:r w:rsidR="00474AE6" w:rsidRPr="00601B12">
        <w:rPr>
          <w:rFonts w:ascii="Arial" w:hAnsi="Arial" w:cs="Arial"/>
          <w:bCs/>
          <w:color w:val="000000" w:themeColor="text1"/>
          <w:sz w:val="22"/>
          <w:szCs w:val="22"/>
        </w:rPr>
        <w:t>KSF</w:t>
      </w:r>
      <w:r w:rsidR="000F03E5" w:rsidRPr="00601B12">
        <w:rPr>
          <w:rFonts w:ascii="Arial" w:hAnsi="Arial" w:cs="Arial"/>
          <w:bCs/>
          <w:color w:val="000000" w:themeColor="text1"/>
          <w:sz w:val="22"/>
          <w:szCs w:val="22"/>
        </w:rPr>
        <w:t xml:space="preserve"> requires differing degrees of competencies for officers and members. Officers are grouped into categories requiring different levels of competencies. There are six key technical areas for which </w:t>
      </w:r>
      <w:r w:rsidR="006F5BCC" w:rsidRPr="00601B12">
        <w:rPr>
          <w:rFonts w:ascii="Arial" w:hAnsi="Arial" w:cs="Arial"/>
          <w:bCs/>
          <w:color w:val="000000" w:themeColor="text1"/>
          <w:sz w:val="22"/>
          <w:szCs w:val="22"/>
        </w:rPr>
        <w:t>KSF</w:t>
      </w:r>
      <w:r w:rsidR="000F03E5" w:rsidRPr="00601B12">
        <w:rPr>
          <w:rFonts w:ascii="Arial" w:hAnsi="Arial" w:cs="Arial"/>
          <w:bCs/>
          <w:color w:val="000000" w:themeColor="text1"/>
          <w:sz w:val="22"/>
          <w:szCs w:val="22"/>
        </w:rPr>
        <w:t xml:space="preserve"> </w:t>
      </w:r>
      <w:r w:rsidR="00D65EFF">
        <w:rPr>
          <w:rFonts w:ascii="Arial" w:hAnsi="Arial" w:cs="Arial"/>
          <w:bCs/>
          <w:color w:val="000000" w:themeColor="text1"/>
          <w:sz w:val="22"/>
          <w:szCs w:val="22"/>
        </w:rPr>
        <w:t xml:space="preserve">is </w:t>
      </w:r>
      <w:r w:rsidR="000F03E5" w:rsidRPr="00601B12">
        <w:rPr>
          <w:rFonts w:ascii="Arial" w:hAnsi="Arial" w:cs="Arial"/>
          <w:bCs/>
          <w:color w:val="000000" w:themeColor="text1"/>
          <w:sz w:val="22"/>
          <w:szCs w:val="22"/>
        </w:rPr>
        <w:t>acquired by those involved in the decision making of pension funds:</w:t>
      </w:r>
    </w:p>
    <w:p w14:paraId="6D162445" w14:textId="77777777" w:rsidR="000F03E5" w:rsidRPr="00601B12" w:rsidRDefault="000F03E5" w:rsidP="009F6CAB">
      <w:pPr>
        <w:spacing w:line="20" w:lineRule="atLeast"/>
        <w:ind w:left="426" w:hanging="425"/>
        <w:jc w:val="both"/>
        <w:rPr>
          <w:rFonts w:ascii="Arial" w:hAnsi="Arial" w:cs="Arial"/>
          <w:bCs/>
          <w:color w:val="000000" w:themeColor="text1"/>
          <w:sz w:val="22"/>
          <w:szCs w:val="22"/>
        </w:rPr>
      </w:pPr>
    </w:p>
    <w:p w14:paraId="6D162446" w14:textId="77777777" w:rsidR="000F03E5" w:rsidRPr="00601B12" w:rsidRDefault="000F03E5" w:rsidP="007337FE">
      <w:pPr>
        <w:pStyle w:val="ListParagraph"/>
        <w:numPr>
          <w:ilvl w:val="0"/>
          <w:numId w:val="99"/>
        </w:numPr>
        <w:spacing w:line="360" w:lineRule="auto"/>
        <w:ind w:left="1077" w:hanging="357"/>
        <w:jc w:val="both"/>
        <w:rPr>
          <w:rFonts w:ascii="Arial" w:hAnsi="Arial" w:cs="Arial"/>
          <w:bCs/>
          <w:color w:val="000000" w:themeColor="text1"/>
        </w:rPr>
      </w:pPr>
      <w:r w:rsidRPr="00601B12">
        <w:rPr>
          <w:rFonts w:ascii="Arial" w:hAnsi="Arial" w:cs="Arial"/>
          <w:bCs/>
          <w:color w:val="000000" w:themeColor="text1"/>
        </w:rPr>
        <w:t>Pensions Legislative and Governance context</w:t>
      </w:r>
    </w:p>
    <w:p w14:paraId="6D162447" w14:textId="77777777" w:rsidR="000F03E5" w:rsidRPr="00601B12" w:rsidRDefault="000F03E5" w:rsidP="007337FE">
      <w:pPr>
        <w:pStyle w:val="ListParagraph"/>
        <w:numPr>
          <w:ilvl w:val="0"/>
          <w:numId w:val="99"/>
        </w:numPr>
        <w:spacing w:line="360" w:lineRule="auto"/>
        <w:ind w:left="1077" w:hanging="357"/>
        <w:jc w:val="both"/>
        <w:rPr>
          <w:rFonts w:ascii="Arial" w:hAnsi="Arial" w:cs="Arial"/>
          <w:bCs/>
          <w:color w:val="000000" w:themeColor="text1"/>
        </w:rPr>
      </w:pPr>
      <w:r w:rsidRPr="00601B12">
        <w:rPr>
          <w:rFonts w:ascii="Arial" w:hAnsi="Arial" w:cs="Arial"/>
          <w:bCs/>
          <w:color w:val="000000" w:themeColor="text1"/>
        </w:rPr>
        <w:t>Pensions Accounting and Auditing Standards</w:t>
      </w:r>
    </w:p>
    <w:p w14:paraId="6D162448" w14:textId="77777777" w:rsidR="000F03E5" w:rsidRPr="00601B12" w:rsidRDefault="000F03E5" w:rsidP="007337FE">
      <w:pPr>
        <w:pStyle w:val="ListParagraph"/>
        <w:numPr>
          <w:ilvl w:val="0"/>
          <w:numId w:val="99"/>
        </w:numPr>
        <w:spacing w:line="360" w:lineRule="auto"/>
        <w:ind w:left="1077" w:hanging="357"/>
        <w:jc w:val="both"/>
        <w:rPr>
          <w:rFonts w:ascii="Arial" w:hAnsi="Arial" w:cs="Arial"/>
          <w:bCs/>
          <w:color w:val="000000" w:themeColor="text1"/>
        </w:rPr>
      </w:pPr>
      <w:r w:rsidRPr="00601B12">
        <w:rPr>
          <w:rFonts w:ascii="Arial" w:hAnsi="Arial" w:cs="Arial"/>
          <w:bCs/>
          <w:color w:val="000000" w:themeColor="text1"/>
        </w:rPr>
        <w:t>Financial Services procurement and relationship management</w:t>
      </w:r>
    </w:p>
    <w:p w14:paraId="6D162449" w14:textId="77777777" w:rsidR="000F03E5" w:rsidRPr="00601B12" w:rsidRDefault="000F03E5" w:rsidP="007337FE">
      <w:pPr>
        <w:pStyle w:val="ListParagraph"/>
        <w:numPr>
          <w:ilvl w:val="0"/>
          <w:numId w:val="99"/>
        </w:numPr>
        <w:spacing w:line="360" w:lineRule="auto"/>
        <w:ind w:left="1077" w:hanging="357"/>
        <w:jc w:val="both"/>
        <w:rPr>
          <w:rFonts w:ascii="Arial" w:hAnsi="Arial" w:cs="Arial"/>
          <w:bCs/>
          <w:color w:val="000000" w:themeColor="text1"/>
        </w:rPr>
      </w:pPr>
      <w:r w:rsidRPr="00601B12">
        <w:rPr>
          <w:rFonts w:ascii="Arial" w:hAnsi="Arial" w:cs="Arial"/>
          <w:bCs/>
          <w:color w:val="000000" w:themeColor="text1"/>
        </w:rPr>
        <w:t>Investment Performance and Risk management</w:t>
      </w:r>
    </w:p>
    <w:p w14:paraId="6D16244A" w14:textId="77777777" w:rsidR="000F03E5" w:rsidRPr="00601B12" w:rsidRDefault="000F03E5" w:rsidP="007337FE">
      <w:pPr>
        <w:pStyle w:val="ListParagraph"/>
        <w:numPr>
          <w:ilvl w:val="0"/>
          <w:numId w:val="99"/>
        </w:numPr>
        <w:spacing w:line="360" w:lineRule="auto"/>
        <w:ind w:left="1077" w:hanging="357"/>
        <w:jc w:val="both"/>
        <w:rPr>
          <w:rFonts w:ascii="Arial" w:hAnsi="Arial" w:cs="Arial"/>
          <w:bCs/>
          <w:color w:val="000000" w:themeColor="text1"/>
        </w:rPr>
      </w:pPr>
      <w:r w:rsidRPr="00601B12">
        <w:rPr>
          <w:rFonts w:ascii="Arial" w:hAnsi="Arial" w:cs="Arial"/>
          <w:bCs/>
          <w:color w:val="000000" w:themeColor="text1"/>
        </w:rPr>
        <w:t>Financial Markets and Products Knowledge</w:t>
      </w:r>
    </w:p>
    <w:p w14:paraId="6D16244C" w14:textId="3A02ED27" w:rsidR="009F6CAB" w:rsidRPr="00E73ADC" w:rsidRDefault="000F03E5" w:rsidP="007337FE">
      <w:pPr>
        <w:pStyle w:val="ListParagraph"/>
        <w:numPr>
          <w:ilvl w:val="0"/>
          <w:numId w:val="99"/>
        </w:numPr>
        <w:spacing w:line="360" w:lineRule="auto"/>
        <w:ind w:left="1077" w:hanging="357"/>
        <w:jc w:val="both"/>
        <w:rPr>
          <w:rFonts w:ascii="Arial" w:hAnsi="Arial" w:cs="Arial"/>
          <w:bCs/>
          <w:color w:val="000000" w:themeColor="text1"/>
        </w:rPr>
      </w:pPr>
      <w:r w:rsidRPr="00601B12">
        <w:rPr>
          <w:rFonts w:ascii="Arial" w:hAnsi="Arial" w:cs="Arial"/>
          <w:bCs/>
          <w:color w:val="000000" w:themeColor="text1"/>
        </w:rPr>
        <w:t>Actuarial methods standards and practices</w:t>
      </w:r>
    </w:p>
    <w:p w14:paraId="6D16244D" w14:textId="7D3B2942" w:rsidR="00496DFD" w:rsidRPr="00601B12" w:rsidRDefault="00593FC5" w:rsidP="004146ED">
      <w:pPr>
        <w:ind w:left="426" w:hanging="426"/>
        <w:jc w:val="both"/>
        <w:rPr>
          <w:rFonts w:ascii="Arial" w:hAnsi="Arial" w:cs="Arial"/>
          <w:bCs/>
          <w:color w:val="000000" w:themeColor="text1"/>
          <w:sz w:val="22"/>
          <w:szCs w:val="22"/>
        </w:rPr>
      </w:pPr>
      <w:r w:rsidRPr="00601B12">
        <w:rPr>
          <w:rFonts w:ascii="Arial" w:hAnsi="Arial" w:cs="Arial"/>
          <w:bCs/>
          <w:color w:val="000000" w:themeColor="text1"/>
          <w:sz w:val="22"/>
          <w:szCs w:val="22"/>
        </w:rPr>
        <w:t>6</w:t>
      </w:r>
      <w:r w:rsidR="000F03E5" w:rsidRPr="00601B12">
        <w:rPr>
          <w:rFonts w:ascii="Arial" w:hAnsi="Arial" w:cs="Arial"/>
          <w:bCs/>
          <w:color w:val="000000" w:themeColor="text1"/>
          <w:sz w:val="22"/>
          <w:szCs w:val="22"/>
        </w:rPr>
        <w:t>.</w:t>
      </w:r>
      <w:r w:rsidR="00691939">
        <w:rPr>
          <w:rFonts w:ascii="Arial" w:hAnsi="Arial" w:cs="Arial"/>
          <w:bCs/>
          <w:color w:val="000000" w:themeColor="text1"/>
          <w:sz w:val="22"/>
          <w:szCs w:val="22"/>
        </w:rPr>
        <w:t>4</w:t>
      </w:r>
      <w:r w:rsidR="000F03E5" w:rsidRPr="00601B12">
        <w:rPr>
          <w:rFonts w:ascii="Arial" w:hAnsi="Arial" w:cs="Arial"/>
          <w:bCs/>
          <w:color w:val="000000" w:themeColor="text1"/>
          <w:sz w:val="22"/>
          <w:szCs w:val="22"/>
        </w:rPr>
        <w:tab/>
      </w:r>
      <w:r w:rsidR="00496DFD" w:rsidRPr="00601B12">
        <w:rPr>
          <w:rFonts w:ascii="Arial" w:hAnsi="Arial" w:cs="Arial"/>
          <w:bCs/>
          <w:color w:val="000000" w:themeColor="text1"/>
          <w:sz w:val="22"/>
          <w:szCs w:val="22"/>
        </w:rPr>
        <w:t xml:space="preserve">The Fund is committed to ensuring that officers and members acquire relevant </w:t>
      </w:r>
      <w:r w:rsidR="00474AE6" w:rsidRPr="00601B12">
        <w:rPr>
          <w:rFonts w:ascii="Arial" w:hAnsi="Arial" w:cs="Arial"/>
          <w:bCs/>
          <w:color w:val="000000" w:themeColor="text1"/>
          <w:sz w:val="22"/>
          <w:szCs w:val="22"/>
        </w:rPr>
        <w:t>KSF</w:t>
      </w:r>
      <w:r w:rsidR="00496DFD" w:rsidRPr="00601B12">
        <w:rPr>
          <w:rFonts w:ascii="Arial" w:hAnsi="Arial" w:cs="Arial"/>
          <w:bCs/>
          <w:color w:val="000000" w:themeColor="text1"/>
          <w:sz w:val="22"/>
          <w:szCs w:val="22"/>
        </w:rPr>
        <w:t xml:space="preserve"> </w:t>
      </w:r>
      <w:r w:rsidR="001D6311" w:rsidRPr="00601B12">
        <w:rPr>
          <w:rFonts w:ascii="Arial" w:hAnsi="Arial" w:cs="Arial"/>
          <w:bCs/>
          <w:color w:val="000000" w:themeColor="text1"/>
          <w:sz w:val="22"/>
          <w:szCs w:val="22"/>
        </w:rPr>
        <w:tab/>
      </w:r>
      <w:r w:rsidR="00496DFD" w:rsidRPr="00601B12">
        <w:rPr>
          <w:rFonts w:ascii="Arial" w:hAnsi="Arial" w:cs="Arial"/>
          <w:bCs/>
          <w:color w:val="000000" w:themeColor="text1"/>
          <w:sz w:val="22"/>
          <w:szCs w:val="22"/>
        </w:rPr>
        <w:t xml:space="preserve">which are developed through access to training and education from various </w:t>
      </w:r>
      <w:r w:rsidR="00474AE6" w:rsidRPr="00601B12">
        <w:rPr>
          <w:rFonts w:ascii="Arial" w:hAnsi="Arial" w:cs="Arial"/>
          <w:bCs/>
          <w:color w:val="000000" w:themeColor="text1"/>
          <w:sz w:val="22"/>
          <w:szCs w:val="22"/>
        </w:rPr>
        <w:tab/>
      </w:r>
      <w:r w:rsidR="00496DFD" w:rsidRPr="00601B12">
        <w:rPr>
          <w:rFonts w:ascii="Arial" w:hAnsi="Arial" w:cs="Arial"/>
          <w:bCs/>
          <w:color w:val="000000" w:themeColor="text1"/>
          <w:sz w:val="22"/>
          <w:szCs w:val="22"/>
        </w:rPr>
        <w:t>sources including:</w:t>
      </w:r>
    </w:p>
    <w:p w14:paraId="6D16244E" w14:textId="77777777" w:rsidR="00496DFD" w:rsidRPr="00601B12" w:rsidRDefault="00496DFD" w:rsidP="009F6CAB">
      <w:pPr>
        <w:spacing w:line="20" w:lineRule="atLeast"/>
        <w:ind w:left="426" w:hanging="425"/>
        <w:jc w:val="both"/>
        <w:rPr>
          <w:rFonts w:ascii="Arial" w:hAnsi="Arial" w:cs="Arial"/>
          <w:bCs/>
          <w:color w:val="000000" w:themeColor="text1"/>
          <w:sz w:val="22"/>
          <w:szCs w:val="22"/>
        </w:rPr>
      </w:pPr>
    </w:p>
    <w:p w14:paraId="6D16244F" w14:textId="77777777" w:rsidR="00496DFD" w:rsidRPr="00601B12" w:rsidRDefault="00496DFD" w:rsidP="007337FE">
      <w:pPr>
        <w:pStyle w:val="ListParagraph"/>
        <w:numPr>
          <w:ilvl w:val="0"/>
          <w:numId w:val="94"/>
        </w:numPr>
        <w:spacing w:after="0" w:line="360" w:lineRule="auto"/>
        <w:ind w:hanging="437"/>
        <w:jc w:val="both"/>
        <w:rPr>
          <w:rFonts w:ascii="Arial" w:hAnsi="Arial" w:cs="Arial"/>
          <w:bCs/>
          <w:color w:val="000000" w:themeColor="text1"/>
        </w:rPr>
      </w:pPr>
      <w:r w:rsidRPr="00601B12">
        <w:rPr>
          <w:rFonts w:ascii="Arial" w:hAnsi="Arial" w:cs="Arial"/>
          <w:bCs/>
          <w:color w:val="000000" w:themeColor="text1"/>
        </w:rPr>
        <w:t xml:space="preserve">Attendance at relevant conferences, seminars and training </w:t>
      </w:r>
      <w:proofErr w:type="gramStart"/>
      <w:r w:rsidRPr="00601B12">
        <w:rPr>
          <w:rFonts w:ascii="Arial" w:hAnsi="Arial" w:cs="Arial"/>
          <w:bCs/>
          <w:color w:val="000000" w:themeColor="text1"/>
        </w:rPr>
        <w:t>courses;</w:t>
      </w:r>
      <w:proofErr w:type="gramEnd"/>
    </w:p>
    <w:p w14:paraId="6D162450" w14:textId="77777777" w:rsidR="00496DFD" w:rsidRPr="00601B12" w:rsidRDefault="00496DFD" w:rsidP="007337FE">
      <w:pPr>
        <w:pStyle w:val="ListParagraph"/>
        <w:numPr>
          <w:ilvl w:val="0"/>
          <w:numId w:val="94"/>
        </w:numPr>
        <w:spacing w:after="0" w:line="360" w:lineRule="auto"/>
        <w:ind w:hanging="437"/>
        <w:jc w:val="both"/>
        <w:rPr>
          <w:rFonts w:ascii="Arial" w:hAnsi="Arial" w:cs="Arial"/>
          <w:bCs/>
          <w:color w:val="000000" w:themeColor="text1"/>
        </w:rPr>
      </w:pPr>
      <w:r w:rsidRPr="00601B12">
        <w:rPr>
          <w:rFonts w:ascii="Arial" w:hAnsi="Arial" w:cs="Arial"/>
          <w:bCs/>
          <w:color w:val="000000" w:themeColor="text1"/>
        </w:rPr>
        <w:t xml:space="preserve">Update on </w:t>
      </w:r>
      <w:r w:rsidR="001D6311" w:rsidRPr="00601B12">
        <w:rPr>
          <w:rFonts w:ascii="Arial" w:hAnsi="Arial" w:cs="Arial"/>
          <w:bCs/>
          <w:color w:val="000000" w:themeColor="text1"/>
        </w:rPr>
        <w:t>regulations and governance changes</w:t>
      </w:r>
      <w:r w:rsidRPr="00601B12">
        <w:rPr>
          <w:rFonts w:ascii="Arial" w:hAnsi="Arial" w:cs="Arial"/>
          <w:bCs/>
          <w:color w:val="000000" w:themeColor="text1"/>
        </w:rPr>
        <w:t xml:space="preserve"> at every</w:t>
      </w:r>
      <w:r w:rsidR="000F03E5" w:rsidRPr="00601B12">
        <w:rPr>
          <w:rFonts w:ascii="Arial" w:hAnsi="Arial" w:cs="Arial"/>
          <w:bCs/>
          <w:color w:val="000000" w:themeColor="text1"/>
        </w:rPr>
        <w:t xml:space="preserve"> </w:t>
      </w:r>
      <w:proofErr w:type="gramStart"/>
      <w:r w:rsidR="000F03E5" w:rsidRPr="00601B12">
        <w:rPr>
          <w:rFonts w:ascii="Arial" w:hAnsi="Arial" w:cs="Arial"/>
          <w:bCs/>
          <w:color w:val="000000" w:themeColor="text1"/>
        </w:rPr>
        <w:t>meeting</w:t>
      </w:r>
      <w:r w:rsidRPr="00601B12">
        <w:rPr>
          <w:rFonts w:ascii="Arial" w:hAnsi="Arial" w:cs="Arial"/>
          <w:bCs/>
          <w:color w:val="000000" w:themeColor="text1"/>
        </w:rPr>
        <w:t>;</w:t>
      </w:r>
      <w:proofErr w:type="gramEnd"/>
    </w:p>
    <w:p w14:paraId="6D162451" w14:textId="77777777" w:rsidR="00496DFD" w:rsidRPr="00601B12" w:rsidRDefault="00496DFD" w:rsidP="007337FE">
      <w:pPr>
        <w:pStyle w:val="ListParagraph"/>
        <w:numPr>
          <w:ilvl w:val="0"/>
          <w:numId w:val="94"/>
        </w:numPr>
        <w:spacing w:after="0" w:line="360" w:lineRule="auto"/>
        <w:ind w:hanging="437"/>
        <w:jc w:val="both"/>
        <w:rPr>
          <w:rFonts w:ascii="Arial" w:hAnsi="Arial" w:cs="Arial"/>
          <w:bCs/>
          <w:color w:val="000000" w:themeColor="text1"/>
        </w:rPr>
      </w:pPr>
      <w:r w:rsidRPr="00601B12">
        <w:rPr>
          <w:rFonts w:ascii="Arial" w:hAnsi="Arial" w:cs="Arial"/>
          <w:bCs/>
          <w:color w:val="000000" w:themeColor="text1"/>
        </w:rPr>
        <w:t xml:space="preserve">A minimum of 4 Pension Fund </w:t>
      </w:r>
      <w:r w:rsidR="00D576F8" w:rsidRPr="00601B12">
        <w:rPr>
          <w:rFonts w:ascii="Arial" w:hAnsi="Arial" w:cs="Arial"/>
          <w:bCs/>
          <w:color w:val="000000" w:themeColor="text1"/>
        </w:rPr>
        <w:t>Committee</w:t>
      </w:r>
      <w:r w:rsidRPr="00601B12">
        <w:rPr>
          <w:rFonts w:ascii="Arial" w:hAnsi="Arial" w:cs="Arial"/>
          <w:bCs/>
          <w:color w:val="000000" w:themeColor="text1"/>
        </w:rPr>
        <w:t xml:space="preserve"> meetings per year</w:t>
      </w:r>
      <w:r w:rsidR="000F03E5" w:rsidRPr="00601B12">
        <w:rPr>
          <w:rFonts w:ascii="Arial" w:hAnsi="Arial" w:cs="Arial"/>
          <w:bCs/>
          <w:color w:val="000000" w:themeColor="text1"/>
        </w:rPr>
        <w:t>; and</w:t>
      </w:r>
    </w:p>
    <w:p w14:paraId="6D162452" w14:textId="77777777" w:rsidR="000F03E5" w:rsidRPr="00601B12" w:rsidRDefault="009F6CAB" w:rsidP="007337FE">
      <w:pPr>
        <w:pStyle w:val="ListParagraph"/>
        <w:numPr>
          <w:ilvl w:val="0"/>
          <w:numId w:val="94"/>
        </w:numPr>
        <w:spacing w:after="0" w:line="360" w:lineRule="auto"/>
        <w:ind w:hanging="437"/>
        <w:jc w:val="both"/>
        <w:rPr>
          <w:rFonts w:ascii="Arial" w:hAnsi="Arial" w:cs="Arial"/>
          <w:bCs/>
          <w:color w:val="000000" w:themeColor="text1"/>
        </w:rPr>
      </w:pPr>
      <w:r w:rsidRPr="00601B12">
        <w:rPr>
          <w:rFonts w:ascii="Arial" w:hAnsi="Arial" w:cs="Arial"/>
          <w:bCs/>
          <w:color w:val="000000" w:themeColor="text1"/>
        </w:rPr>
        <w:t>T</w:t>
      </w:r>
      <w:r w:rsidR="00496DFD" w:rsidRPr="00601B12">
        <w:rPr>
          <w:rFonts w:ascii="Arial" w:hAnsi="Arial" w:cs="Arial"/>
          <w:bCs/>
          <w:color w:val="000000" w:themeColor="text1"/>
        </w:rPr>
        <w:t xml:space="preserve">raining </w:t>
      </w:r>
      <w:r w:rsidR="000F03E5" w:rsidRPr="00601B12">
        <w:rPr>
          <w:rFonts w:ascii="Arial" w:hAnsi="Arial" w:cs="Arial"/>
          <w:bCs/>
          <w:color w:val="000000" w:themeColor="text1"/>
        </w:rPr>
        <w:t xml:space="preserve">at </w:t>
      </w:r>
      <w:r w:rsidR="00D576F8" w:rsidRPr="00601B12">
        <w:rPr>
          <w:rFonts w:ascii="Arial" w:hAnsi="Arial" w:cs="Arial"/>
          <w:bCs/>
          <w:color w:val="000000" w:themeColor="text1"/>
        </w:rPr>
        <w:t>Committee</w:t>
      </w:r>
      <w:r w:rsidR="000F03E5" w:rsidRPr="00601B12">
        <w:rPr>
          <w:rFonts w:ascii="Arial" w:hAnsi="Arial" w:cs="Arial"/>
          <w:bCs/>
          <w:color w:val="000000" w:themeColor="text1"/>
        </w:rPr>
        <w:t xml:space="preserve"> meetings where required.</w:t>
      </w:r>
    </w:p>
    <w:p w14:paraId="6D162453" w14:textId="77777777" w:rsidR="009F6CAB" w:rsidRPr="00601B12" w:rsidRDefault="009F6CAB" w:rsidP="009F6CAB">
      <w:pPr>
        <w:pStyle w:val="ListParagraph"/>
        <w:spacing w:after="0" w:line="20" w:lineRule="atLeast"/>
        <w:ind w:left="993"/>
        <w:jc w:val="both"/>
        <w:rPr>
          <w:rFonts w:ascii="Arial" w:hAnsi="Arial" w:cs="Arial"/>
          <w:bCs/>
          <w:color w:val="000000" w:themeColor="text1"/>
        </w:rPr>
      </w:pPr>
    </w:p>
    <w:p w14:paraId="6D162454" w14:textId="71F74461" w:rsidR="000F03E5" w:rsidRPr="00601B12" w:rsidRDefault="00CC504E" w:rsidP="004146ED">
      <w:pPr>
        <w:ind w:left="426" w:hanging="426"/>
        <w:jc w:val="both"/>
        <w:rPr>
          <w:rFonts w:ascii="Arial" w:hAnsi="Arial" w:cs="Arial"/>
          <w:bCs/>
          <w:color w:val="000000" w:themeColor="text1"/>
          <w:sz w:val="22"/>
          <w:szCs w:val="22"/>
        </w:rPr>
      </w:pPr>
      <w:r w:rsidRPr="00601B12">
        <w:rPr>
          <w:rFonts w:ascii="Arial" w:hAnsi="Arial" w:cs="Arial"/>
          <w:bCs/>
          <w:color w:val="000000" w:themeColor="text1"/>
          <w:sz w:val="22"/>
          <w:szCs w:val="22"/>
        </w:rPr>
        <w:t>6</w:t>
      </w:r>
      <w:r w:rsidR="00496DFD" w:rsidRPr="00601B12">
        <w:rPr>
          <w:rFonts w:ascii="Arial" w:hAnsi="Arial" w:cs="Arial"/>
          <w:bCs/>
          <w:color w:val="000000" w:themeColor="text1"/>
          <w:sz w:val="22"/>
          <w:szCs w:val="22"/>
        </w:rPr>
        <w:t>.</w:t>
      </w:r>
      <w:r w:rsidR="00691939">
        <w:rPr>
          <w:rFonts w:ascii="Arial" w:hAnsi="Arial" w:cs="Arial"/>
          <w:bCs/>
          <w:color w:val="000000" w:themeColor="text1"/>
          <w:sz w:val="22"/>
          <w:szCs w:val="22"/>
        </w:rPr>
        <w:t>5</w:t>
      </w:r>
      <w:r w:rsidR="00496DFD" w:rsidRPr="00601B12">
        <w:rPr>
          <w:rFonts w:ascii="Arial" w:hAnsi="Arial" w:cs="Arial"/>
          <w:bCs/>
          <w:color w:val="000000" w:themeColor="text1"/>
          <w:sz w:val="22"/>
          <w:szCs w:val="22"/>
        </w:rPr>
        <w:t>.</w:t>
      </w:r>
      <w:r w:rsidR="00496DFD" w:rsidRPr="00601B12">
        <w:rPr>
          <w:rFonts w:ascii="Arial" w:hAnsi="Arial" w:cs="Arial"/>
          <w:bCs/>
          <w:color w:val="000000" w:themeColor="text1"/>
          <w:sz w:val="22"/>
          <w:szCs w:val="22"/>
        </w:rPr>
        <w:tab/>
      </w:r>
      <w:r w:rsidR="000F03E5" w:rsidRPr="00601B12">
        <w:rPr>
          <w:rFonts w:ascii="Arial" w:hAnsi="Arial" w:cs="Arial"/>
          <w:bCs/>
          <w:color w:val="000000" w:themeColor="text1"/>
          <w:sz w:val="22"/>
          <w:szCs w:val="22"/>
        </w:rPr>
        <w:t xml:space="preserve">The Fund has adopted the following statement concerning the training and development of Members and officer responsible for managing </w:t>
      </w:r>
      <w:r w:rsidR="00474AE6" w:rsidRPr="00601B12">
        <w:rPr>
          <w:rFonts w:ascii="Arial" w:hAnsi="Arial" w:cs="Arial"/>
          <w:bCs/>
          <w:color w:val="000000" w:themeColor="text1"/>
          <w:sz w:val="22"/>
          <w:szCs w:val="22"/>
        </w:rPr>
        <w:t>the Fund</w:t>
      </w:r>
      <w:r w:rsidR="000F03E5" w:rsidRPr="00601B12">
        <w:rPr>
          <w:rFonts w:ascii="Arial" w:hAnsi="Arial" w:cs="Arial"/>
          <w:bCs/>
          <w:color w:val="000000" w:themeColor="text1"/>
          <w:sz w:val="22"/>
          <w:szCs w:val="22"/>
        </w:rPr>
        <w:t>:</w:t>
      </w:r>
    </w:p>
    <w:p w14:paraId="6D162455" w14:textId="77777777" w:rsidR="000F03E5" w:rsidRPr="00601B12" w:rsidRDefault="000F03E5" w:rsidP="004146ED">
      <w:pPr>
        <w:spacing w:line="20" w:lineRule="atLeast"/>
        <w:ind w:left="426" w:hanging="426"/>
        <w:jc w:val="both"/>
        <w:rPr>
          <w:rFonts w:ascii="Arial" w:hAnsi="Arial" w:cs="Arial"/>
          <w:bCs/>
          <w:color w:val="000000" w:themeColor="text1"/>
          <w:sz w:val="22"/>
          <w:szCs w:val="22"/>
        </w:rPr>
      </w:pPr>
    </w:p>
    <w:p w14:paraId="6D162456" w14:textId="77777777" w:rsidR="000F03E5" w:rsidRPr="00601B12" w:rsidRDefault="000F03E5" w:rsidP="007337FE">
      <w:pPr>
        <w:pStyle w:val="ListParagraph"/>
        <w:numPr>
          <w:ilvl w:val="0"/>
          <w:numId w:val="53"/>
        </w:numPr>
        <w:spacing w:line="24" w:lineRule="atLeast"/>
        <w:ind w:left="851" w:hanging="425"/>
        <w:jc w:val="both"/>
        <w:rPr>
          <w:rFonts w:ascii="Arial" w:hAnsi="Arial" w:cs="Arial"/>
          <w:bCs/>
          <w:color w:val="000000" w:themeColor="text1"/>
        </w:rPr>
      </w:pPr>
      <w:r w:rsidRPr="00601B12">
        <w:rPr>
          <w:rFonts w:ascii="Arial" w:hAnsi="Arial" w:cs="Arial"/>
          <w:bCs/>
          <w:color w:val="000000" w:themeColor="text1"/>
        </w:rPr>
        <w:t>This Fund adopts the key recommendations of the Code of Practic</w:t>
      </w:r>
      <w:r w:rsidR="006F5BCC" w:rsidRPr="00601B12">
        <w:rPr>
          <w:rFonts w:ascii="Arial" w:hAnsi="Arial" w:cs="Arial"/>
          <w:bCs/>
          <w:color w:val="000000" w:themeColor="text1"/>
        </w:rPr>
        <w:t>e on LGPS</w:t>
      </w:r>
      <w:r w:rsidRPr="00601B12">
        <w:rPr>
          <w:rFonts w:ascii="Arial" w:hAnsi="Arial" w:cs="Arial"/>
          <w:bCs/>
          <w:color w:val="000000" w:themeColor="text1"/>
        </w:rPr>
        <w:t>.</w:t>
      </w:r>
    </w:p>
    <w:p w14:paraId="6D162457" w14:textId="77777777" w:rsidR="00B82FB9" w:rsidRPr="00601B12" w:rsidRDefault="00B82FB9" w:rsidP="004146ED">
      <w:pPr>
        <w:pStyle w:val="ListParagraph"/>
        <w:spacing w:line="24" w:lineRule="atLeast"/>
        <w:ind w:left="851" w:hanging="425"/>
        <w:jc w:val="both"/>
        <w:rPr>
          <w:rFonts w:ascii="Arial" w:hAnsi="Arial" w:cs="Arial"/>
          <w:bCs/>
          <w:color w:val="000000" w:themeColor="text1"/>
        </w:rPr>
      </w:pPr>
    </w:p>
    <w:p w14:paraId="6D162458" w14:textId="77777777" w:rsidR="000F03E5" w:rsidRPr="00601B12" w:rsidRDefault="000F03E5" w:rsidP="007337FE">
      <w:pPr>
        <w:pStyle w:val="ListParagraph"/>
        <w:numPr>
          <w:ilvl w:val="0"/>
          <w:numId w:val="53"/>
        </w:numPr>
        <w:spacing w:line="24" w:lineRule="atLeast"/>
        <w:ind w:left="851" w:hanging="425"/>
        <w:jc w:val="both"/>
        <w:rPr>
          <w:rFonts w:ascii="Arial" w:hAnsi="Arial" w:cs="Arial"/>
          <w:bCs/>
          <w:color w:val="000000" w:themeColor="text1"/>
        </w:rPr>
      </w:pPr>
      <w:r w:rsidRPr="00601B12">
        <w:rPr>
          <w:rFonts w:ascii="Arial" w:hAnsi="Arial" w:cs="Arial"/>
          <w:bCs/>
          <w:color w:val="000000" w:themeColor="text1"/>
        </w:rPr>
        <w:t>This Fund recognises that effective financial administration and decision making can only be achieved where those involved have the requisite knowledge and skills.</w:t>
      </w:r>
    </w:p>
    <w:p w14:paraId="6D162459" w14:textId="77777777" w:rsidR="00B82FB9" w:rsidRPr="00601B12" w:rsidRDefault="00B82FB9" w:rsidP="004146ED">
      <w:pPr>
        <w:pStyle w:val="ListParagraph"/>
        <w:spacing w:line="24" w:lineRule="atLeast"/>
        <w:ind w:left="851" w:hanging="425"/>
        <w:jc w:val="both"/>
        <w:rPr>
          <w:rFonts w:ascii="Arial" w:hAnsi="Arial" w:cs="Arial"/>
          <w:bCs/>
          <w:color w:val="000000" w:themeColor="text1"/>
        </w:rPr>
      </w:pPr>
    </w:p>
    <w:p w14:paraId="6D16245A" w14:textId="77777777" w:rsidR="000F03E5" w:rsidRPr="00601B12" w:rsidRDefault="0005518F" w:rsidP="007337FE">
      <w:pPr>
        <w:pStyle w:val="ListParagraph"/>
        <w:numPr>
          <w:ilvl w:val="0"/>
          <w:numId w:val="53"/>
        </w:numPr>
        <w:spacing w:line="24" w:lineRule="atLeast"/>
        <w:ind w:left="851" w:hanging="425"/>
        <w:jc w:val="both"/>
        <w:rPr>
          <w:rFonts w:ascii="Arial" w:hAnsi="Arial" w:cs="Arial"/>
          <w:bCs/>
          <w:color w:val="000000" w:themeColor="text1"/>
        </w:rPr>
      </w:pPr>
      <w:r w:rsidRPr="00601B12">
        <w:rPr>
          <w:rFonts w:ascii="Arial" w:hAnsi="Arial" w:cs="Arial"/>
          <w:bCs/>
          <w:color w:val="000000" w:themeColor="text1"/>
        </w:rPr>
        <w:t>Accordingly,</w:t>
      </w:r>
      <w:r w:rsidR="000F03E5" w:rsidRPr="00601B12">
        <w:rPr>
          <w:rFonts w:ascii="Arial" w:hAnsi="Arial" w:cs="Arial"/>
          <w:bCs/>
          <w:color w:val="000000" w:themeColor="text1"/>
        </w:rPr>
        <w:t xml:space="preserve"> this Fund will ensure it has formal and comprehensive objectives, policies and practices, strategies and reporting arrangements for the effective acquisition and retention of the relevant </w:t>
      </w:r>
      <w:r w:rsidR="00985B01" w:rsidRPr="00601B12">
        <w:rPr>
          <w:rFonts w:ascii="Arial" w:hAnsi="Arial" w:cs="Arial"/>
          <w:bCs/>
          <w:color w:val="000000" w:themeColor="text1"/>
        </w:rPr>
        <w:t>public-sector</w:t>
      </w:r>
      <w:r w:rsidR="000F03E5" w:rsidRPr="00601B12">
        <w:rPr>
          <w:rFonts w:ascii="Arial" w:hAnsi="Arial" w:cs="Arial"/>
          <w:bCs/>
          <w:color w:val="000000" w:themeColor="text1"/>
        </w:rPr>
        <w:t xml:space="preserve"> pension scheme finance knowledge and skills for those in the organisation responsible for financial administration and decision making.</w:t>
      </w:r>
    </w:p>
    <w:p w14:paraId="6D16245B" w14:textId="77777777" w:rsidR="000F03E5" w:rsidRPr="00601B12" w:rsidRDefault="000F03E5" w:rsidP="007337FE">
      <w:pPr>
        <w:pStyle w:val="ListParagraph"/>
        <w:numPr>
          <w:ilvl w:val="0"/>
          <w:numId w:val="53"/>
        </w:numPr>
        <w:spacing w:line="24" w:lineRule="atLeast"/>
        <w:ind w:left="851" w:hanging="425"/>
        <w:jc w:val="both"/>
        <w:rPr>
          <w:rFonts w:ascii="Arial" w:hAnsi="Arial" w:cs="Arial"/>
          <w:bCs/>
          <w:color w:val="000000" w:themeColor="text1"/>
        </w:rPr>
      </w:pPr>
      <w:r w:rsidRPr="00601B12">
        <w:rPr>
          <w:rFonts w:ascii="Arial" w:hAnsi="Arial" w:cs="Arial"/>
          <w:bCs/>
          <w:color w:val="000000" w:themeColor="text1"/>
        </w:rPr>
        <w:t xml:space="preserve">These policies and practices will be guided by reference to a comprehensive framework of </w:t>
      </w:r>
      <w:r w:rsidR="006F5BCC" w:rsidRPr="00601B12">
        <w:rPr>
          <w:rFonts w:ascii="Arial" w:hAnsi="Arial" w:cs="Arial"/>
          <w:bCs/>
          <w:color w:val="000000" w:themeColor="text1"/>
        </w:rPr>
        <w:t xml:space="preserve">K&amp;s </w:t>
      </w:r>
      <w:r w:rsidRPr="00601B12">
        <w:rPr>
          <w:rFonts w:ascii="Arial" w:hAnsi="Arial" w:cs="Arial"/>
          <w:bCs/>
          <w:color w:val="000000" w:themeColor="text1"/>
        </w:rPr>
        <w:t>requirements such as that set</w:t>
      </w:r>
      <w:r w:rsidR="006F5BCC" w:rsidRPr="00601B12">
        <w:rPr>
          <w:rFonts w:ascii="Arial" w:hAnsi="Arial" w:cs="Arial"/>
          <w:bCs/>
          <w:color w:val="000000" w:themeColor="text1"/>
        </w:rPr>
        <w:t xml:space="preserve"> </w:t>
      </w:r>
      <w:r w:rsidRPr="00601B12">
        <w:rPr>
          <w:rFonts w:ascii="Arial" w:hAnsi="Arial" w:cs="Arial"/>
          <w:bCs/>
          <w:color w:val="000000" w:themeColor="text1"/>
        </w:rPr>
        <w:t xml:space="preserve">in the CIPFA Pensions Finance </w:t>
      </w:r>
      <w:r w:rsidR="00105A03" w:rsidRPr="00601B12">
        <w:rPr>
          <w:rFonts w:ascii="Arial" w:hAnsi="Arial" w:cs="Arial"/>
          <w:bCs/>
          <w:color w:val="000000" w:themeColor="text1"/>
        </w:rPr>
        <w:t>KSF.</w:t>
      </w:r>
    </w:p>
    <w:p w14:paraId="6D16245C" w14:textId="77777777" w:rsidR="00B82FB9" w:rsidRPr="00601B12" w:rsidRDefault="00B82FB9" w:rsidP="004146ED">
      <w:pPr>
        <w:pStyle w:val="ListParagraph"/>
        <w:spacing w:line="24" w:lineRule="atLeast"/>
        <w:ind w:left="851" w:hanging="425"/>
        <w:jc w:val="both"/>
        <w:rPr>
          <w:rFonts w:ascii="Arial" w:hAnsi="Arial" w:cs="Arial"/>
          <w:bCs/>
          <w:color w:val="000000" w:themeColor="text1"/>
        </w:rPr>
      </w:pPr>
    </w:p>
    <w:p w14:paraId="6D16245D" w14:textId="77777777" w:rsidR="000F03E5" w:rsidRPr="00601B12" w:rsidRDefault="000F03E5" w:rsidP="007337FE">
      <w:pPr>
        <w:pStyle w:val="ListParagraph"/>
        <w:numPr>
          <w:ilvl w:val="0"/>
          <w:numId w:val="53"/>
        </w:numPr>
        <w:spacing w:line="24" w:lineRule="atLeast"/>
        <w:ind w:left="851" w:hanging="425"/>
        <w:jc w:val="both"/>
        <w:rPr>
          <w:rFonts w:ascii="Arial" w:hAnsi="Arial" w:cs="Arial"/>
          <w:bCs/>
          <w:color w:val="000000" w:themeColor="text1"/>
        </w:rPr>
      </w:pPr>
      <w:r w:rsidRPr="00601B12">
        <w:rPr>
          <w:rFonts w:ascii="Arial" w:hAnsi="Arial" w:cs="Arial"/>
          <w:bCs/>
          <w:color w:val="000000" w:themeColor="text1"/>
        </w:rPr>
        <w:t>This organisation will report on an annual basis how these policies have been put into practice throughout the financial year.</w:t>
      </w:r>
    </w:p>
    <w:p w14:paraId="6D16245E" w14:textId="77777777" w:rsidR="00B82FB9" w:rsidRPr="00601B12" w:rsidRDefault="00B82FB9" w:rsidP="004146ED">
      <w:pPr>
        <w:pStyle w:val="ListParagraph"/>
        <w:spacing w:line="24" w:lineRule="atLeast"/>
        <w:ind w:left="851" w:hanging="425"/>
        <w:jc w:val="both"/>
        <w:rPr>
          <w:rFonts w:ascii="Arial" w:hAnsi="Arial" w:cs="Arial"/>
          <w:bCs/>
          <w:color w:val="000000" w:themeColor="text1"/>
        </w:rPr>
      </w:pPr>
    </w:p>
    <w:p w14:paraId="6D16245F" w14:textId="77777777" w:rsidR="000F03E5" w:rsidRDefault="000F03E5" w:rsidP="007337FE">
      <w:pPr>
        <w:pStyle w:val="ListParagraph"/>
        <w:numPr>
          <w:ilvl w:val="0"/>
          <w:numId w:val="53"/>
        </w:numPr>
        <w:spacing w:line="24" w:lineRule="atLeast"/>
        <w:ind w:left="851" w:hanging="425"/>
        <w:jc w:val="both"/>
        <w:rPr>
          <w:rFonts w:ascii="Arial" w:hAnsi="Arial" w:cs="Arial"/>
          <w:bCs/>
          <w:color w:val="000000" w:themeColor="text1"/>
        </w:rPr>
      </w:pPr>
      <w:r w:rsidRPr="00601B12">
        <w:rPr>
          <w:rFonts w:ascii="Arial" w:hAnsi="Arial" w:cs="Arial"/>
          <w:bCs/>
          <w:color w:val="000000" w:themeColor="text1"/>
        </w:rPr>
        <w:t xml:space="preserve">This organisation has delegated the responsibility for the implementation of the requirements of the CIPFA Code of Practice to the </w:t>
      </w:r>
      <w:r w:rsidR="00AF5822" w:rsidRPr="00601B12">
        <w:rPr>
          <w:rFonts w:ascii="Arial" w:hAnsi="Arial" w:cs="Arial"/>
          <w:bCs/>
          <w:color w:val="000000" w:themeColor="text1"/>
        </w:rPr>
        <w:t>Chief Operating Officer</w:t>
      </w:r>
      <w:r w:rsidRPr="00601B12">
        <w:rPr>
          <w:rFonts w:ascii="Arial" w:hAnsi="Arial" w:cs="Arial"/>
          <w:bCs/>
          <w:color w:val="000000" w:themeColor="text1"/>
        </w:rPr>
        <w:t xml:space="preserve">, who will act in accordance with the organisation’s policy statement, and where they are a CIPFA member, with CIPFA Standards of Professional </w:t>
      </w:r>
      <w:r w:rsidR="00105A03" w:rsidRPr="00601B12">
        <w:rPr>
          <w:rFonts w:ascii="Arial" w:hAnsi="Arial" w:cs="Arial"/>
          <w:bCs/>
          <w:color w:val="000000" w:themeColor="text1"/>
        </w:rPr>
        <w:t>Practice.</w:t>
      </w:r>
    </w:p>
    <w:p w14:paraId="36EC3CC7" w14:textId="77777777" w:rsidR="00A84941" w:rsidRPr="00601B12" w:rsidRDefault="00A84941" w:rsidP="00A84941">
      <w:pPr>
        <w:pStyle w:val="ListParagraph"/>
        <w:spacing w:line="24" w:lineRule="atLeast"/>
        <w:ind w:left="851"/>
        <w:jc w:val="both"/>
        <w:rPr>
          <w:rFonts w:ascii="Arial" w:hAnsi="Arial" w:cs="Arial"/>
          <w:bCs/>
          <w:color w:val="000000" w:themeColor="text1"/>
        </w:rPr>
      </w:pPr>
    </w:p>
    <w:p w14:paraId="6D162460" w14:textId="77777777" w:rsidR="000F03E5" w:rsidRPr="00601B12" w:rsidRDefault="00CC504E" w:rsidP="004146ED">
      <w:pPr>
        <w:ind w:left="426" w:hanging="426"/>
        <w:jc w:val="both"/>
        <w:rPr>
          <w:rFonts w:ascii="Arial" w:hAnsi="Arial" w:cs="Arial"/>
          <w:b/>
          <w:bCs/>
          <w:color w:val="0070C0"/>
          <w:sz w:val="22"/>
          <w:szCs w:val="22"/>
        </w:rPr>
      </w:pPr>
      <w:r w:rsidRPr="00601B12">
        <w:rPr>
          <w:rFonts w:ascii="Arial" w:hAnsi="Arial" w:cs="Arial"/>
          <w:b/>
          <w:bCs/>
          <w:color w:val="0070C0"/>
          <w:sz w:val="22"/>
          <w:szCs w:val="22"/>
        </w:rPr>
        <w:t>6</w:t>
      </w:r>
      <w:r w:rsidR="000F03E5" w:rsidRPr="00601B12">
        <w:rPr>
          <w:rFonts w:ascii="Arial" w:hAnsi="Arial" w:cs="Arial"/>
          <w:b/>
          <w:bCs/>
          <w:color w:val="0070C0"/>
          <w:sz w:val="22"/>
          <w:szCs w:val="22"/>
        </w:rPr>
        <w:t xml:space="preserve">.7 </w:t>
      </w:r>
      <w:r w:rsidR="000F03E5" w:rsidRPr="00601B12">
        <w:rPr>
          <w:rFonts w:ascii="Arial" w:hAnsi="Arial" w:cs="Arial"/>
          <w:b/>
          <w:bCs/>
          <w:color w:val="0070C0"/>
          <w:sz w:val="22"/>
          <w:szCs w:val="22"/>
        </w:rPr>
        <w:tab/>
        <w:t xml:space="preserve">Summary of training provided to </w:t>
      </w:r>
      <w:r w:rsidR="00C2528A" w:rsidRPr="00601B12">
        <w:rPr>
          <w:rFonts w:ascii="Arial" w:hAnsi="Arial" w:cs="Arial"/>
          <w:b/>
          <w:bCs/>
          <w:color w:val="0070C0"/>
          <w:sz w:val="22"/>
          <w:szCs w:val="22"/>
        </w:rPr>
        <w:t xml:space="preserve">Pension </w:t>
      </w:r>
      <w:r w:rsidR="00D576F8" w:rsidRPr="00601B12">
        <w:rPr>
          <w:rFonts w:ascii="Arial" w:hAnsi="Arial" w:cs="Arial"/>
          <w:b/>
          <w:bCs/>
          <w:color w:val="0070C0"/>
          <w:sz w:val="22"/>
          <w:szCs w:val="22"/>
        </w:rPr>
        <w:t>Committee</w:t>
      </w:r>
      <w:r w:rsidR="00C2528A" w:rsidRPr="00601B12">
        <w:rPr>
          <w:rFonts w:ascii="Arial" w:hAnsi="Arial" w:cs="Arial"/>
          <w:b/>
          <w:bCs/>
          <w:color w:val="0070C0"/>
          <w:sz w:val="22"/>
          <w:szCs w:val="22"/>
        </w:rPr>
        <w:t xml:space="preserve"> </w:t>
      </w:r>
      <w:r w:rsidR="000F03E5" w:rsidRPr="00601B12">
        <w:rPr>
          <w:rFonts w:ascii="Arial" w:hAnsi="Arial" w:cs="Arial"/>
          <w:b/>
          <w:bCs/>
          <w:color w:val="0070C0"/>
          <w:sz w:val="22"/>
          <w:szCs w:val="22"/>
        </w:rPr>
        <w:t>and Officer</w:t>
      </w:r>
      <w:r w:rsidR="00C2528A" w:rsidRPr="00601B12">
        <w:rPr>
          <w:rFonts w:ascii="Arial" w:hAnsi="Arial" w:cs="Arial"/>
          <w:b/>
          <w:bCs/>
          <w:color w:val="0070C0"/>
          <w:sz w:val="22"/>
          <w:szCs w:val="22"/>
        </w:rPr>
        <w:t>s</w:t>
      </w:r>
      <w:r w:rsidR="004635AF" w:rsidRPr="00601B12">
        <w:rPr>
          <w:rFonts w:ascii="Arial" w:hAnsi="Arial" w:cs="Arial"/>
          <w:b/>
          <w:bCs/>
          <w:color w:val="0070C0"/>
          <w:sz w:val="22"/>
          <w:szCs w:val="22"/>
        </w:rPr>
        <w:t xml:space="preserve">. </w:t>
      </w:r>
    </w:p>
    <w:p w14:paraId="6D162461" w14:textId="77777777" w:rsidR="000F03E5" w:rsidRPr="00601B12" w:rsidRDefault="000F03E5" w:rsidP="00135E04">
      <w:pPr>
        <w:ind w:left="426" w:hanging="426"/>
        <w:jc w:val="both"/>
        <w:rPr>
          <w:rFonts w:ascii="Arial" w:hAnsi="Arial" w:cs="Arial"/>
          <w:bCs/>
          <w:color w:val="000000" w:themeColor="text1"/>
          <w:sz w:val="22"/>
          <w:szCs w:val="22"/>
        </w:rPr>
      </w:pPr>
    </w:p>
    <w:p w14:paraId="6D162462" w14:textId="77777777" w:rsidR="00782E85" w:rsidRPr="00601B12" w:rsidRDefault="000F03E5" w:rsidP="007337FE">
      <w:pPr>
        <w:pStyle w:val="ListParagraph"/>
        <w:numPr>
          <w:ilvl w:val="0"/>
          <w:numId w:val="54"/>
        </w:numPr>
        <w:spacing w:after="0" w:line="240" w:lineRule="auto"/>
        <w:ind w:left="851" w:hanging="426"/>
        <w:jc w:val="both"/>
        <w:rPr>
          <w:rFonts w:ascii="Arial" w:hAnsi="Arial" w:cs="Arial"/>
          <w:bCs/>
          <w:color w:val="000000" w:themeColor="text1"/>
        </w:rPr>
      </w:pPr>
      <w:r w:rsidRPr="00601B12">
        <w:rPr>
          <w:rFonts w:ascii="Arial" w:hAnsi="Arial" w:cs="Arial"/>
          <w:bCs/>
          <w:color w:val="000000" w:themeColor="text1"/>
        </w:rPr>
        <w:t xml:space="preserve">Training was provided on </w:t>
      </w:r>
      <w:r w:rsidR="00474AE6" w:rsidRPr="00601B12">
        <w:rPr>
          <w:rFonts w:ascii="Arial" w:hAnsi="Arial" w:cs="Arial"/>
          <w:bCs/>
          <w:color w:val="000000" w:themeColor="text1"/>
        </w:rPr>
        <w:t xml:space="preserve">the following Knowledge and Skills </w:t>
      </w:r>
      <w:r w:rsidR="00B906F1" w:rsidRPr="00601B12">
        <w:rPr>
          <w:rFonts w:ascii="Arial" w:hAnsi="Arial" w:cs="Arial"/>
          <w:bCs/>
          <w:color w:val="000000" w:themeColor="text1"/>
        </w:rPr>
        <w:t xml:space="preserve">as outlined below. </w:t>
      </w:r>
    </w:p>
    <w:p w14:paraId="6D162463" w14:textId="77777777" w:rsidR="00782E85" w:rsidRPr="00601B12" w:rsidRDefault="00782E85" w:rsidP="00135E04">
      <w:pPr>
        <w:pStyle w:val="ListParagraph"/>
        <w:spacing w:after="0" w:line="240" w:lineRule="auto"/>
        <w:ind w:left="851"/>
        <w:jc w:val="both"/>
        <w:rPr>
          <w:rFonts w:ascii="Arial" w:hAnsi="Arial" w:cs="Arial"/>
          <w:bCs/>
          <w:color w:val="000000" w:themeColor="text1"/>
        </w:rPr>
      </w:pPr>
    </w:p>
    <w:p w14:paraId="6D162465" w14:textId="2A0932B8" w:rsidR="00782E85" w:rsidRDefault="00782E85" w:rsidP="007337FE">
      <w:pPr>
        <w:pStyle w:val="ListParagraph"/>
        <w:numPr>
          <w:ilvl w:val="0"/>
          <w:numId w:val="74"/>
        </w:numPr>
        <w:spacing w:line="240" w:lineRule="auto"/>
        <w:ind w:left="1305" w:hanging="312"/>
        <w:jc w:val="both"/>
        <w:rPr>
          <w:rFonts w:ascii="Arial" w:hAnsi="Arial" w:cs="Arial"/>
          <w:bCs/>
          <w:color w:val="000000" w:themeColor="text1"/>
          <w:u w:val="single"/>
        </w:rPr>
      </w:pPr>
      <w:r w:rsidRPr="00601B12">
        <w:rPr>
          <w:rFonts w:ascii="Arial" w:hAnsi="Arial" w:cs="Arial"/>
          <w:bCs/>
          <w:color w:val="000000" w:themeColor="text1"/>
          <w:u w:val="single"/>
        </w:rPr>
        <w:t xml:space="preserve">Investments </w:t>
      </w:r>
      <w:r w:rsidR="00985B01" w:rsidRPr="00601B12">
        <w:rPr>
          <w:rFonts w:ascii="Arial" w:hAnsi="Arial" w:cs="Arial"/>
          <w:bCs/>
          <w:color w:val="000000" w:themeColor="text1"/>
          <w:u w:val="single"/>
        </w:rPr>
        <w:t>Strategy</w:t>
      </w:r>
      <w:r w:rsidRPr="00601B12">
        <w:rPr>
          <w:rFonts w:ascii="Arial" w:hAnsi="Arial" w:cs="Arial"/>
          <w:bCs/>
          <w:color w:val="000000" w:themeColor="text1"/>
          <w:u w:val="single"/>
        </w:rPr>
        <w:t>:</w:t>
      </w:r>
    </w:p>
    <w:p w14:paraId="412214E8" w14:textId="77777777" w:rsidR="00871AC0" w:rsidRPr="0076066D" w:rsidRDefault="00871AC0" w:rsidP="00871AC0">
      <w:pPr>
        <w:pStyle w:val="ListParagraph"/>
        <w:spacing w:line="240" w:lineRule="auto"/>
        <w:ind w:left="1305"/>
        <w:jc w:val="both"/>
        <w:rPr>
          <w:rFonts w:ascii="Arial" w:hAnsi="Arial" w:cs="Arial"/>
          <w:bCs/>
          <w:color w:val="000000" w:themeColor="text1"/>
          <w:u w:val="single"/>
        </w:rPr>
      </w:pPr>
    </w:p>
    <w:p w14:paraId="6D162468" w14:textId="07A4BB5C" w:rsidR="00985B01" w:rsidRDefault="00495F34" w:rsidP="007337FE">
      <w:pPr>
        <w:pStyle w:val="ListParagraph"/>
        <w:numPr>
          <w:ilvl w:val="1"/>
          <w:numId w:val="75"/>
        </w:numPr>
        <w:spacing w:after="0"/>
        <w:ind w:left="1845" w:hanging="312"/>
        <w:jc w:val="both"/>
        <w:rPr>
          <w:rFonts w:ascii="Arial" w:hAnsi="Arial" w:cs="Arial"/>
          <w:color w:val="000000"/>
        </w:rPr>
      </w:pPr>
      <w:r>
        <w:rPr>
          <w:rFonts w:ascii="Arial" w:hAnsi="Arial" w:cs="Arial"/>
          <w:color w:val="000000"/>
        </w:rPr>
        <w:t>Responsible Investment</w:t>
      </w:r>
      <w:r w:rsidR="003B67C7">
        <w:rPr>
          <w:rFonts w:ascii="Arial" w:hAnsi="Arial" w:cs="Arial"/>
          <w:color w:val="000000"/>
        </w:rPr>
        <w:t xml:space="preserve"> Implementation (active and passive)</w:t>
      </w:r>
    </w:p>
    <w:p w14:paraId="2E9727C2" w14:textId="3918EF59" w:rsidR="0039308C" w:rsidRDefault="0039308C" w:rsidP="007337FE">
      <w:pPr>
        <w:pStyle w:val="ListParagraph"/>
        <w:numPr>
          <w:ilvl w:val="1"/>
          <w:numId w:val="75"/>
        </w:numPr>
        <w:spacing w:after="0"/>
        <w:ind w:left="1845" w:hanging="312"/>
        <w:jc w:val="both"/>
        <w:rPr>
          <w:rFonts w:ascii="Arial" w:hAnsi="Arial" w:cs="Arial"/>
          <w:color w:val="000000"/>
        </w:rPr>
      </w:pPr>
      <w:r>
        <w:rPr>
          <w:rFonts w:ascii="Arial" w:hAnsi="Arial" w:cs="Arial"/>
          <w:color w:val="000000"/>
        </w:rPr>
        <w:t xml:space="preserve">Setting </w:t>
      </w:r>
      <w:r w:rsidR="00BA3579">
        <w:rPr>
          <w:rFonts w:ascii="Arial" w:hAnsi="Arial" w:cs="Arial"/>
          <w:color w:val="000000"/>
        </w:rPr>
        <w:t>Investment Strategies</w:t>
      </w:r>
    </w:p>
    <w:p w14:paraId="442F83C3" w14:textId="003F1D89" w:rsidR="00495F34" w:rsidRPr="00601B12" w:rsidRDefault="00BA3579" w:rsidP="007337FE">
      <w:pPr>
        <w:pStyle w:val="ListParagraph"/>
        <w:numPr>
          <w:ilvl w:val="1"/>
          <w:numId w:val="75"/>
        </w:numPr>
        <w:spacing w:after="0"/>
        <w:ind w:left="1845" w:hanging="312"/>
        <w:jc w:val="both"/>
        <w:rPr>
          <w:rFonts w:ascii="Arial" w:hAnsi="Arial" w:cs="Arial"/>
          <w:color w:val="000000"/>
        </w:rPr>
      </w:pPr>
      <w:r>
        <w:rPr>
          <w:rFonts w:ascii="Arial" w:hAnsi="Arial" w:cs="Arial"/>
          <w:color w:val="000000"/>
        </w:rPr>
        <w:t>Asset Liability Modelling</w:t>
      </w:r>
    </w:p>
    <w:p w14:paraId="6D162469" w14:textId="77777777" w:rsidR="00782E85" w:rsidRPr="00601B12" w:rsidRDefault="00782E85" w:rsidP="00135E04">
      <w:pPr>
        <w:pStyle w:val="ListParagraph"/>
        <w:spacing w:after="0"/>
        <w:ind w:left="1431" w:hanging="312"/>
        <w:jc w:val="both"/>
        <w:rPr>
          <w:rFonts w:ascii="Arial" w:hAnsi="Arial" w:cs="Arial"/>
          <w:color w:val="000000"/>
        </w:rPr>
      </w:pPr>
    </w:p>
    <w:p w14:paraId="6D16246B" w14:textId="35EF6442" w:rsidR="00782E85" w:rsidRDefault="00782E85" w:rsidP="007337FE">
      <w:pPr>
        <w:pStyle w:val="ListParagraph"/>
        <w:numPr>
          <w:ilvl w:val="0"/>
          <w:numId w:val="74"/>
        </w:numPr>
        <w:ind w:left="1305" w:hanging="312"/>
        <w:jc w:val="both"/>
        <w:rPr>
          <w:rFonts w:ascii="Arial" w:hAnsi="Arial" w:cs="Arial"/>
          <w:color w:val="000000"/>
          <w:u w:val="single"/>
        </w:rPr>
      </w:pPr>
      <w:r w:rsidRPr="00601B12">
        <w:rPr>
          <w:rFonts w:ascii="Arial" w:hAnsi="Arial" w:cs="Arial"/>
          <w:color w:val="000000"/>
          <w:u w:val="single"/>
        </w:rPr>
        <w:t>Knowledge and Skills</w:t>
      </w:r>
    </w:p>
    <w:p w14:paraId="6719CC6C" w14:textId="77777777" w:rsidR="00871AC0" w:rsidRPr="0076066D" w:rsidRDefault="00871AC0" w:rsidP="00871AC0">
      <w:pPr>
        <w:pStyle w:val="ListParagraph"/>
        <w:ind w:left="1305"/>
        <w:jc w:val="both"/>
        <w:rPr>
          <w:rFonts w:ascii="Arial" w:hAnsi="Arial" w:cs="Arial"/>
          <w:color w:val="000000"/>
          <w:u w:val="single"/>
        </w:rPr>
      </w:pPr>
    </w:p>
    <w:p w14:paraId="6D16246C" w14:textId="41C912F0" w:rsidR="00782E85" w:rsidRPr="00601B12" w:rsidRDefault="00985B01" w:rsidP="007337FE">
      <w:pPr>
        <w:pStyle w:val="ListParagraph"/>
        <w:numPr>
          <w:ilvl w:val="0"/>
          <w:numId w:val="76"/>
        </w:numPr>
        <w:spacing w:after="0" w:line="288" w:lineRule="auto"/>
        <w:ind w:left="1843" w:hanging="312"/>
        <w:jc w:val="both"/>
        <w:rPr>
          <w:rFonts w:ascii="Arial" w:hAnsi="Arial" w:cs="Arial"/>
          <w:bCs/>
          <w:color w:val="000000" w:themeColor="text1"/>
        </w:rPr>
      </w:pPr>
      <w:r w:rsidRPr="00601B12">
        <w:rPr>
          <w:rFonts w:ascii="Arial" w:hAnsi="Arial" w:cs="Arial"/>
          <w:bCs/>
          <w:color w:val="000000" w:themeColor="text1"/>
        </w:rPr>
        <w:t xml:space="preserve">Updates on </w:t>
      </w:r>
      <w:r w:rsidR="006F5BCC" w:rsidRPr="00601B12">
        <w:rPr>
          <w:rFonts w:ascii="Arial" w:hAnsi="Arial" w:cs="Arial"/>
          <w:bCs/>
          <w:color w:val="000000" w:themeColor="text1"/>
        </w:rPr>
        <w:t xml:space="preserve">Pensions Legislative, Governance, </w:t>
      </w:r>
      <w:r w:rsidR="00782E85" w:rsidRPr="00601B12">
        <w:rPr>
          <w:rFonts w:ascii="Arial" w:hAnsi="Arial" w:cs="Arial"/>
          <w:bCs/>
          <w:color w:val="000000" w:themeColor="text1"/>
        </w:rPr>
        <w:t>Accounting and Auditing Standards</w:t>
      </w:r>
      <w:r w:rsidRPr="00601B12">
        <w:rPr>
          <w:rFonts w:ascii="Arial" w:hAnsi="Arial" w:cs="Arial"/>
          <w:bCs/>
          <w:color w:val="000000" w:themeColor="text1"/>
        </w:rPr>
        <w:t xml:space="preserve"> </w:t>
      </w:r>
      <w:proofErr w:type="gramStart"/>
      <w:r w:rsidRPr="00601B12">
        <w:rPr>
          <w:rFonts w:ascii="Arial" w:hAnsi="Arial" w:cs="Arial"/>
          <w:bCs/>
          <w:color w:val="000000" w:themeColor="text1"/>
        </w:rPr>
        <w:t>changes</w:t>
      </w:r>
      <w:r w:rsidR="004635AF" w:rsidRPr="00601B12">
        <w:rPr>
          <w:rFonts w:ascii="Arial" w:hAnsi="Arial" w:cs="Arial"/>
          <w:bCs/>
          <w:color w:val="000000" w:themeColor="text1"/>
        </w:rPr>
        <w:t>;</w:t>
      </w:r>
      <w:proofErr w:type="gramEnd"/>
      <w:r w:rsidRPr="00601B12">
        <w:rPr>
          <w:rFonts w:ascii="Arial" w:hAnsi="Arial" w:cs="Arial"/>
          <w:bCs/>
          <w:color w:val="000000" w:themeColor="text1"/>
        </w:rPr>
        <w:t xml:space="preserve"> </w:t>
      </w:r>
    </w:p>
    <w:p w14:paraId="69C3F54C" w14:textId="77777777" w:rsidR="003B67C7" w:rsidRDefault="00985B01" w:rsidP="007337FE">
      <w:pPr>
        <w:pStyle w:val="ListParagraph"/>
        <w:numPr>
          <w:ilvl w:val="0"/>
          <w:numId w:val="76"/>
        </w:numPr>
        <w:spacing w:after="0" w:line="288" w:lineRule="auto"/>
        <w:ind w:left="1843" w:hanging="312"/>
        <w:jc w:val="both"/>
        <w:rPr>
          <w:rFonts w:ascii="Arial" w:hAnsi="Arial" w:cs="Arial"/>
          <w:bCs/>
          <w:color w:val="000000" w:themeColor="text1"/>
        </w:rPr>
      </w:pPr>
      <w:r w:rsidRPr="00601B12">
        <w:rPr>
          <w:rFonts w:ascii="Arial" w:hAnsi="Arial" w:cs="Arial"/>
          <w:bCs/>
          <w:color w:val="000000" w:themeColor="text1"/>
        </w:rPr>
        <w:t xml:space="preserve">Updates on </w:t>
      </w:r>
      <w:r w:rsidR="00782E85" w:rsidRPr="00601B12">
        <w:rPr>
          <w:rFonts w:ascii="Arial" w:hAnsi="Arial" w:cs="Arial"/>
          <w:bCs/>
          <w:color w:val="000000" w:themeColor="text1"/>
        </w:rPr>
        <w:t>Financial Markets and Products Knowledge</w:t>
      </w:r>
      <w:r w:rsidR="003B67C7">
        <w:rPr>
          <w:rFonts w:ascii="Arial" w:hAnsi="Arial" w:cs="Arial"/>
          <w:bCs/>
          <w:color w:val="000000" w:themeColor="text1"/>
        </w:rPr>
        <w:t>; and</w:t>
      </w:r>
    </w:p>
    <w:p w14:paraId="05F4ACBC" w14:textId="3BD80852" w:rsidR="00F864B1" w:rsidRPr="00F864B1" w:rsidRDefault="00F864B1" w:rsidP="007337FE">
      <w:pPr>
        <w:pStyle w:val="ListParagraph"/>
        <w:numPr>
          <w:ilvl w:val="0"/>
          <w:numId w:val="76"/>
        </w:numPr>
        <w:spacing w:after="0" w:line="288" w:lineRule="auto"/>
        <w:ind w:left="1843" w:hanging="312"/>
        <w:jc w:val="both"/>
        <w:rPr>
          <w:rFonts w:ascii="Arial" w:hAnsi="Arial" w:cs="Arial"/>
          <w:bCs/>
          <w:color w:val="000000" w:themeColor="text1"/>
        </w:rPr>
      </w:pPr>
      <w:r w:rsidRPr="00F864B1">
        <w:rPr>
          <w:rFonts w:ascii="Arial" w:hAnsi="Arial" w:cs="Arial"/>
          <w:color w:val="000000"/>
        </w:rPr>
        <w:t>Responsible Investment</w:t>
      </w:r>
    </w:p>
    <w:p w14:paraId="6D16246E" w14:textId="77777777" w:rsidR="009F6CAB" w:rsidRPr="00601B12" w:rsidRDefault="009F6CAB" w:rsidP="00135E04">
      <w:pPr>
        <w:pStyle w:val="ListParagraph"/>
        <w:spacing w:after="0" w:line="288" w:lineRule="auto"/>
        <w:ind w:left="1276"/>
        <w:jc w:val="both"/>
        <w:rPr>
          <w:rFonts w:ascii="Arial" w:hAnsi="Arial" w:cs="Arial"/>
          <w:bCs/>
          <w:color w:val="000000" w:themeColor="text1"/>
        </w:rPr>
      </w:pPr>
    </w:p>
    <w:p w14:paraId="6D162470" w14:textId="4E572AD5" w:rsidR="00985B01" w:rsidRPr="00871AC0" w:rsidRDefault="004635AF" w:rsidP="007337FE">
      <w:pPr>
        <w:pStyle w:val="ListParagraph"/>
        <w:numPr>
          <w:ilvl w:val="0"/>
          <w:numId w:val="74"/>
        </w:numPr>
        <w:spacing w:before="240" w:after="0" w:line="288" w:lineRule="auto"/>
        <w:ind w:left="1276" w:hanging="283"/>
        <w:jc w:val="both"/>
        <w:rPr>
          <w:rFonts w:ascii="Arial" w:hAnsi="Arial" w:cs="Arial"/>
          <w:bCs/>
          <w:color w:val="000000" w:themeColor="text1"/>
        </w:rPr>
      </w:pPr>
      <w:r w:rsidRPr="00601B12">
        <w:rPr>
          <w:rFonts w:ascii="Arial" w:hAnsi="Arial" w:cs="Arial"/>
          <w:color w:val="000000"/>
          <w:u w:val="single"/>
        </w:rPr>
        <w:t>Alternatives</w:t>
      </w:r>
      <w:r w:rsidR="009F6CAB" w:rsidRPr="00601B12">
        <w:rPr>
          <w:rFonts w:ascii="Arial" w:hAnsi="Arial" w:cs="Arial"/>
          <w:color w:val="000000"/>
        </w:rPr>
        <w:t xml:space="preserve"> </w:t>
      </w:r>
    </w:p>
    <w:p w14:paraId="7BA603D5" w14:textId="77777777" w:rsidR="00871AC0" w:rsidRPr="0076066D" w:rsidRDefault="00871AC0" w:rsidP="00871AC0">
      <w:pPr>
        <w:pStyle w:val="ListParagraph"/>
        <w:spacing w:before="240" w:after="0" w:line="288" w:lineRule="auto"/>
        <w:ind w:left="1276"/>
        <w:jc w:val="both"/>
        <w:rPr>
          <w:rFonts w:ascii="Arial" w:hAnsi="Arial" w:cs="Arial"/>
          <w:bCs/>
          <w:color w:val="000000" w:themeColor="text1"/>
        </w:rPr>
      </w:pPr>
    </w:p>
    <w:p w14:paraId="6D162471" w14:textId="77777777" w:rsidR="004635AF" w:rsidRPr="00601B12" w:rsidRDefault="00985B01" w:rsidP="007337FE">
      <w:pPr>
        <w:pStyle w:val="ListParagraph"/>
        <w:numPr>
          <w:ilvl w:val="0"/>
          <w:numId w:val="89"/>
        </w:numPr>
        <w:spacing w:after="0" w:line="288" w:lineRule="auto"/>
        <w:jc w:val="both"/>
        <w:rPr>
          <w:rFonts w:ascii="Arial" w:hAnsi="Arial" w:cs="Arial"/>
          <w:bCs/>
          <w:color w:val="000000" w:themeColor="text1"/>
        </w:rPr>
      </w:pPr>
      <w:r w:rsidRPr="00601B12">
        <w:rPr>
          <w:rFonts w:ascii="Arial" w:hAnsi="Arial" w:cs="Arial"/>
          <w:color w:val="000000"/>
        </w:rPr>
        <w:t>H</w:t>
      </w:r>
      <w:r w:rsidR="004635AF" w:rsidRPr="00601B12">
        <w:rPr>
          <w:rFonts w:ascii="Arial" w:hAnsi="Arial" w:cs="Arial"/>
          <w:color w:val="000000"/>
        </w:rPr>
        <w:t>edge Funds and Private Equity</w:t>
      </w:r>
      <w:r w:rsidR="00EE7443" w:rsidRPr="00601B12">
        <w:rPr>
          <w:rFonts w:ascii="Arial" w:hAnsi="Arial" w:cs="Arial"/>
          <w:color w:val="000000"/>
        </w:rPr>
        <w:t xml:space="preserve"> Update</w:t>
      </w:r>
    </w:p>
    <w:p w14:paraId="6D162472" w14:textId="77777777" w:rsidR="004635AF" w:rsidRPr="00601B12" w:rsidRDefault="004635AF" w:rsidP="00135E04">
      <w:pPr>
        <w:jc w:val="both"/>
        <w:rPr>
          <w:rFonts w:ascii="Arial" w:hAnsi="Arial" w:cs="Arial"/>
          <w:color w:val="000000"/>
        </w:rPr>
      </w:pPr>
    </w:p>
    <w:p w14:paraId="6D162474" w14:textId="0164DF59" w:rsidR="004635AF" w:rsidRDefault="004635AF" w:rsidP="007337FE">
      <w:pPr>
        <w:pStyle w:val="ListParagraph"/>
        <w:numPr>
          <w:ilvl w:val="0"/>
          <w:numId w:val="54"/>
        </w:numPr>
        <w:spacing w:after="0" w:line="240" w:lineRule="auto"/>
        <w:ind w:left="851" w:hanging="426"/>
        <w:jc w:val="both"/>
        <w:rPr>
          <w:rFonts w:ascii="Arial" w:hAnsi="Arial" w:cs="Arial"/>
          <w:bCs/>
          <w:color w:val="000000" w:themeColor="text1"/>
        </w:rPr>
      </w:pPr>
      <w:r w:rsidRPr="00601B12">
        <w:rPr>
          <w:rFonts w:ascii="Arial" w:hAnsi="Arial" w:cs="Arial"/>
          <w:bCs/>
          <w:color w:val="000000" w:themeColor="text1"/>
        </w:rPr>
        <w:t xml:space="preserve">In </w:t>
      </w:r>
      <w:r w:rsidR="0005518F" w:rsidRPr="00601B12">
        <w:rPr>
          <w:rFonts w:ascii="Arial" w:hAnsi="Arial" w:cs="Arial"/>
          <w:bCs/>
          <w:color w:val="000000" w:themeColor="text1"/>
        </w:rPr>
        <w:t>addition,</w:t>
      </w:r>
      <w:r w:rsidRPr="00601B12">
        <w:rPr>
          <w:rFonts w:ascii="Arial" w:hAnsi="Arial" w:cs="Arial"/>
          <w:bCs/>
          <w:color w:val="000000" w:themeColor="text1"/>
        </w:rPr>
        <w:t xml:space="preserve"> further training was provided to Pension Board Members, including:</w:t>
      </w:r>
    </w:p>
    <w:p w14:paraId="5F67E0DD" w14:textId="0A326AE2" w:rsidR="00156F80" w:rsidRPr="00E73ADC" w:rsidRDefault="00156F80" w:rsidP="00156F80">
      <w:pPr>
        <w:pStyle w:val="ListParagraph"/>
        <w:spacing w:after="0" w:line="240" w:lineRule="auto"/>
        <w:ind w:left="851"/>
        <w:jc w:val="both"/>
        <w:rPr>
          <w:rFonts w:ascii="Arial" w:hAnsi="Arial" w:cs="Arial"/>
          <w:bCs/>
          <w:color w:val="000000" w:themeColor="text1"/>
        </w:rPr>
      </w:pPr>
    </w:p>
    <w:p w14:paraId="6D162476" w14:textId="32300265" w:rsidR="00C24D09" w:rsidRPr="00DD0616" w:rsidRDefault="00C24D09" w:rsidP="007337FE">
      <w:pPr>
        <w:pStyle w:val="ListParagraph"/>
        <w:numPr>
          <w:ilvl w:val="0"/>
          <w:numId w:val="74"/>
        </w:numPr>
        <w:autoSpaceDE w:val="0"/>
        <w:autoSpaceDN w:val="0"/>
        <w:adjustRightInd w:val="0"/>
        <w:spacing w:after="0"/>
        <w:ind w:left="1276" w:hanging="283"/>
        <w:rPr>
          <w:rFonts w:ascii="Arial" w:eastAsiaTheme="minorHAnsi" w:hAnsi="Arial" w:cs="Arial"/>
        </w:rPr>
      </w:pPr>
      <w:r w:rsidRPr="00E35F96">
        <w:rPr>
          <w:rFonts w:ascii="Arial" w:eastAsiaTheme="minorHAnsi" w:hAnsi="Arial" w:cs="Arial"/>
          <w:u w:val="single"/>
        </w:rPr>
        <w:t>Delivery and Decision Making</w:t>
      </w:r>
    </w:p>
    <w:p w14:paraId="7024BF0C" w14:textId="77777777" w:rsidR="00DD0616" w:rsidRPr="0076066D" w:rsidRDefault="00DD0616" w:rsidP="00DD0616">
      <w:pPr>
        <w:pStyle w:val="ListParagraph"/>
        <w:autoSpaceDE w:val="0"/>
        <w:autoSpaceDN w:val="0"/>
        <w:adjustRightInd w:val="0"/>
        <w:spacing w:after="0"/>
        <w:ind w:left="1276"/>
        <w:rPr>
          <w:rFonts w:ascii="Arial" w:eastAsiaTheme="minorHAnsi" w:hAnsi="Arial" w:cs="Arial"/>
        </w:rPr>
      </w:pPr>
    </w:p>
    <w:p w14:paraId="6D162477" w14:textId="77777777" w:rsidR="00C24D09" w:rsidRPr="00E35F96" w:rsidRDefault="00C24D09" w:rsidP="007337FE">
      <w:pPr>
        <w:pStyle w:val="ListParagraph"/>
        <w:numPr>
          <w:ilvl w:val="0"/>
          <w:numId w:val="77"/>
        </w:numPr>
        <w:autoSpaceDE w:val="0"/>
        <w:autoSpaceDN w:val="0"/>
        <w:adjustRightInd w:val="0"/>
        <w:spacing w:after="0"/>
        <w:ind w:left="1843" w:hanging="283"/>
        <w:rPr>
          <w:rFonts w:ascii="Arial" w:eastAsiaTheme="minorHAnsi" w:hAnsi="Arial" w:cs="Arial"/>
        </w:rPr>
      </w:pPr>
      <w:r w:rsidRPr="00E35F96">
        <w:rPr>
          <w:rFonts w:ascii="Arial" w:eastAsiaTheme="minorHAnsi" w:hAnsi="Arial" w:cs="Arial"/>
        </w:rPr>
        <w:t>Business Plan</w:t>
      </w:r>
      <w:r w:rsidR="002C7D08" w:rsidRPr="00E35F96">
        <w:rPr>
          <w:rFonts w:ascii="Arial" w:eastAsiaTheme="minorHAnsi" w:hAnsi="Arial" w:cs="Arial"/>
        </w:rPr>
        <w:t xml:space="preserve">, </w:t>
      </w:r>
      <w:r w:rsidRPr="00E35F96">
        <w:rPr>
          <w:rFonts w:ascii="Arial" w:eastAsiaTheme="minorHAnsi" w:hAnsi="Arial" w:cs="Arial"/>
        </w:rPr>
        <w:t>Triennial Valuation</w:t>
      </w:r>
      <w:r w:rsidR="002C7D08" w:rsidRPr="00E35F96">
        <w:rPr>
          <w:rFonts w:ascii="Arial" w:eastAsiaTheme="minorHAnsi" w:hAnsi="Arial" w:cs="Arial"/>
        </w:rPr>
        <w:t xml:space="preserve"> and </w:t>
      </w:r>
      <w:r w:rsidRPr="00E35F96">
        <w:rPr>
          <w:rFonts w:ascii="Arial" w:eastAsiaTheme="minorHAnsi" w:hAnsi="Arial" w:cs="Arial"/>
        </w:rPr>
        <w:t xml:space="preserve">Risk register and monitoring </w:t>
      </w:r>
      <w:proofErr w:type="gramStart"/>
      <w:r w:rsidRPr="00E35F96">
        <w:rPr>
          <w:rFonts w:ascii="Arial" w:eastAsiaTheme="minorHAnsi" w:hAnsi="Arial" w:cs="Arial"/>
        </w:rPr>
        <w:t>risks;</w:t>
      </w:r>
      <w:proofErr w:type="gramEnd"/>
    </w:p>
    <w:p w14:paraId="6D162478" w14:textId="77777777" w:rsidR="00C24D09" w:rsidRPr="00E35F96" w:rsidRDefault="00C24D09" w:rsidP="007337FE">
      <w:pPr>
        <w:pStyle w:val="ListParagraph"/>
        <w:numPr>
          <w:ilvl w:val="0"/>
          <w:numId w:val="77"/>
        </w:numPr>
        <w:autoSpaceDE w:val="0"/>
        <w:autoSpaceDN w:val="0"/>
        <w:adjustRightInd w:val="0"/>
        <w:spacing w:after="0"/>
        <w:ind w:left="1843" w:hanging="283"/>
        <w:rPr>
          <w:rFonts w:ascii="Arial" w:eastAsiaTheme="minorHAnsi" w:hAnsi="Arial" w:cs="Arial"/>
        </w:rPr>
      </w:pPr>
      <w:r w:rsidRPr="00E35F96">
        <w:rPr>
          <w:rFonts w:ascii="Arial" w:eastAsiaTheme="minorHAnsi" w:hAnsi="Arial" w:cs="Arial"/>
        </w:rPr>
        <w:t xml:space="preserve">Governance arrangements for the Board; and </w:t>
      </w:r>
    </w:p>
    <w:p w14:paraId="045C36D3" w14:textId="1A23238A" w:rsidR="00871AC0" w:rsidRPr="002206B2" w:rsidRDefault="00C24D09" w:rsidP="002206B2">
      <w:pPr>
        <w:pStyle w:val="ListParagraph"/>
        <w:numPr>
          <w:ilvl w:val="0"/>
          <w:numId w:val="77"/>
        </w:numPr>
        <w:autoSpaceDE w:val="0"/>
        <w:autoSpaceDN w:val="0"/>
        <w:adjustRightInd w:val="0"/>
        <w:spacing w:after="0" w:line="240" w:lineRule="auto"/>
        <w:ind w:left="1843" w:hanging="283"/>
        <w:jc w:val="both"/>
        <w:rPr>
          <w:rFonts w:ascii="Arial" w:hAnsi="Arial" w:cs="Arial"/>
          <w:bCs/>
          <w:color w:val="000000" w:themeColor="text1"/>
        </w:rPr>
      </w:pPr>
      <w:r w:rsidRPr="00E35F96">
        <w:rPr>
          <w:rFonts w:ascii="Arial" w:eastAsiaTheme="minorHAnsi" w:hAnsi="Arial" w:cs="Arial"/>
        </w:rPr>
        <w:t xml:space="preserve">Roles and responsibilities of the Pension Board and Pensions </w:t>
      </w:r>
      <w:r w:rsidR="00D576F8" w:rsidRPr="00E35F96">
        <w:rPr>
          <w:rFonts w:ascii="Arial" w:eastAsiaTheme="minorHAnsi" w:hAnsi="Arial" w:cs="Arial"/>
        </w:rPr>
        <w:t>Committee</w:t>
      </w:r>
      <w:r w:rsidRPr="00E35F96">
        <w:rPr>
          <w:rFonts w:ascii="Arial" w:eastAsiaTheme="minorHAnsi" w:hAnsi="Arial" w:cs="Arial"/>
        </w:rPr>
        <w:t>.</w:t>
      </w:r>
    </w:p>
    <w:p w14:paraId="5B05F7DB" w14:textId="77777777" w:rsidR="00871AC0" w:rsidRDefault="00871AC0" w:rsidP="00985B01">
      <w:pPr>
        <w:pStyle w:val="ListParagraph"/>
        <w:autoSpaceDE w:val="0"/>
        <w:autoSpaceDN w:val="0"/>
        <w:adjustRightInd w:val="0"/>
        <w:spacing w:after="0" w:line="240" w:lineRule="auto"/>
        <w:ind w:left="1843"/>
        <w:jc w:val="both"/>
        <w:rPr>
          <w:rFonts w:ascii="Arial" w:hAnsi="Arial" w:cs="Arial"/>
          <w:bCs/>
          <w:color w:val="000000" w:themeColor="text1"/>
        </w:rPr>
      </w:pPr>
    </w:p>
    <w:p w14:paraId="69810FD6" w14:textId="77777777" w:rsidR="00871AC0" w:rsidRDefault="00871AC0" w:rsidP="00985B01">
      <w:pPr>
        <w:pStyle w:val="ListParagraph"/>
        <w:autoSpaceDE w:val="0"/>
        <w:autoSpaceDN w:val="0"/>
        <w:adjustRightInd w:val="0"/>
        <w:spacing w:after="0" w:line="240" w:lineRule="auto"/>
        <w:ind w:left="1843"/>
        <w:jc w:val="both"/>
        <w:rPr>
          <w:rFonts w:ascii="Arial" w:hAnsi="Arial" w:cs="Arial"/>
          <w:bCs/>
          <w:color w:val="000000" w:themeColor="text1"/>
        </w:rPr>
      </w:pPr>
    </w:p>
    <w:p w14:paraId="6D16247F" w14:textId="6FF5A66A" w:rsidR="00C41C82" w:rsidRPr="0076066D" w:rsidRDefault="00F536EE" w:rsidP="006C0C12">
      <w:pPr>
        <w:spacing w:after="200" w:line="276" w:lineRule="auto"/>
        <w:ind w:left="567" w:hanging="567"/>
        <w:jc w:val="both"/>
        <w:rPr>
          <w:rFonts w:ascii="Arial" w:hAnsi="Arial" w:cs="Arial"/>
          <w:b/>
          <w:bCs/>
          <w:color w:val="000000"/>
        </w:rPr>
      </w:pPr>
      <w:r w:rsidRPr="009C5592">
        <w:rPr>
          <w:rFonts w:ascii="Arial" w:hAnsi="Arial" w:cs="Arial"/>
          <w:b/>
          <w:bCs/>
          <w:color w:val="FF0000"/>
        </w:rPr>
        <w:t>7</w:t>
      </w:r>
      <w:r w:rsidR="00C41C82" w:rsidRPr="009C5592">
        <w:rPr>
          <w:rFonts w:ascii="Arial" w:hAnsi="Arial" w:cs="Arial"/>
          <w:b/>
          <w:bCs/>
          <w:color w:val="FF0000"/>
        </w:rPr>
        <w:t>.</w:t>
      </w:r>
      <w:r w:rsidR="00C41C82" w:rsidRPr="009C5592">
        <w:rPr>
          <w:rFonts w:ascii="Arial" w:hAnsi="Arial" w:cs="Arial"/>
          <w:b/>
          <w:bCs/>
          <w:color w:val="FF0000"/>
        </w:rPr>
        <w:tab/>
        <w:t>Fund Membership Details</w:t>
      </w:r>
    </w:p>
    <w:p w14:paraId="6D162480" w14:textId="77777777" w:rsidR="00C41C82" w:rsidRPr="00601B12" w:rsidRDefault="00F536EE" w:rsidP="00EF47C8">
      <w:pPr>
        <w:pStyle w:val="ListParagraph"/>
        <w:autoSpaceDE w:val="0"/>
        <w:autoSpaceDN w:val="0"/>
        <w:adjustRightInd w:val="0"/>
        <w:spacing w:after="0" w:line="240" w:lineRule="auto"/>
        <w:ind w:left="426" w:hanging="426"/>
        <w:jc w:val="both"/>
        <w:rPr>
          <w:rFonts w:ascii="Arial" w:hAnsi="Arial" w:cs="Arial"/>
          <w:b/>
          <w:bCs/>
          <w:color w:val="0070C0"/>
        </w:rPr>
      </w:pPr>
      <w:r w:rsidRPr="00601B12">
        <w:rPr>
          <w:rFonts w:ascii="Arial" w:hAnsi="Arial" w:cs="Arial"/>
          <w:b/>
          <w:bCs/>
          <w:color w:val="0070C0"/>
        </w:rPr>
        <w:t>7</w:t>
      </w:r>
      <w:r w:rsidR="00C41C82" w:rsidRPr="00601B12">
        <w:rPr>
          <w:rFonts w:ascii="Arial" w:hAnsi="Arial" w:cs="Arial"/>
          <w:b/>
          <w:bCs/>
          <w:color w:val="0070C0"/>
        </w:rPr>
        <w:t>.1</w:t>
      </w:r>
      <w:r w:rsidR="00C41C82" w:rsidRPr="00601B12">
        <w:rPr>
          <w:rFonts w:ascii="Arial" w:hAnsi="Arial" w:cs="Arial"/>
          <w:b/>
          <w:bCs/>
          <w:color w:val="0070C0"/>
        </w:rPr>
        <w:tab/>
        <w:t>Scheme Membership</w:t>
      </w:r>
    </w:p>
    <w:p w14:paraId="6D162481" w14:textId="77777777" w:rsidR="00C41C82" w:rsidRPr="00601B12" w:rsidRDefault="00C41C82" w:rsidP="00EF47C8">
      <w:pPr>
        <w:autoSpaceDE w:val="0"/>
        <w:autoSpaceDN w:val="0"/>
        <w:adjustRightInd w:val="0"/>
        <w:ind w:left="426" w:hanging="426"/>
        <w:jc w:val="both"/>
        <w:rPr>
          <w:rFonts w:ascii="Arial" w:hAnsi="Arial" w:cs="Arial"/>
          <w:color w:val="000000"/>
          <w:sz w:val="22"/>
          <w:szCs w:val="22"/>
        </w:rPr>
      </w:pPr>
    </w:p>
    <w:p w14:paraId="6D162482" w14:textId="4526BAD5" w:rsidR="00C41C82" w:rsidRPr="00601B12" w:rsidRDefault="00EF47C8" w:rsidP="00EF47C8">
      <w:pPr>
        <w:autoSpaceDE w:val="0"/>
        <w:autoSpaceDN w:val="0"/>
        <w:adjustRightInd w:val="0"/>
        <w:ind w:left="426"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chart below shows the membership of the </w:t>
      </w:r>
      <w:r w:rsidR="00485A6B" w:rsidRPr="00601B12">
        <w:rPr>
          <w:rFonts w:ascii="Arial" w:hAnsi="Arial" w:cs="Arial"/>
          <w:color w:val="000000"/>
          <w:sz w:val="22"/>
          <w:szCs w:val="22"/>
        </w:rPr>
        <w:t>F</w:t>
      </w:r>
      <w:r w:rsidR="00C41C82" w:rsidRPr="00601B12">
        <w:rPr>
          <w:rFonts w:ascii="Arial" w:hAnsi="Arial" w:cs="Arial"/>
          <w:color w:val="000000"/>
          <w:sz w:val="22"/>
          <w:szCs w:val="22"/>
        </w:rPr>
        <w:t xml:space="preserve">und over </w:t>
      </w:r>
      <w:r w:rsidR="00F92A4F">
        <w:rPr>
          <w:rFonts w:ascii="Arial" w:hAnsi="Arial" w:cs="Arial"/>
          <w:color w:val="000000"/>
          <w:sz w:val="22"/>
          <w:szCs w:val="22"/>
        </w:rPr>
        <w:t>8</w:t>
      </w:r>
      <w:r w:rsidR="00C41C82" w:rsidRPr="00601B12">
        <w:rPr>
          <w:rFonts w:ascii="Arial" w:hAnsi="Arial" w:cs="Arial"/>
          <w:color w:val="000000"/>
          <w:sz w:val="22"/>
          <w:szCs w:val="22"/>
        </w:rPr>
        <w:t xml:space="preserve"> years. </w:t>
      </w:r>
      <w:proofErr w:type="gramStart"/>
      <w:r w:rsidR="00C41C82" w:rsidRPr="00601B12">
        <w:rPr>
          <w:rFonts w:ascii="Arial" w:hAnsi="Arial" w:cs="Arial"/>
          <w:color w:val="000000"/>
          <w:sz w:val="22"/>
          <w:szCs w:val="22"/>
        </w:rPr>
        <w:t>All of</w:t>
      </w:r>
      <w:proofErr w:type="gramEnd"/>
      <w:r w:rsidR="00C41C82" w:rsidRPr="00601B12">
        <w:rPr>
          <w:rFonts w:ascii="Arial" w:hAnsi="Arial" w:cs="Arial"/>
          <w:color w:val="000000"/>
          <w:sz w:val="22"/>
          <w:szCs w:val="22"/>
        </w:rPr>
        <w:t xml:space="preserve"> the Council’s employees, except those covered by the </w:t>
      </w:r>
      <w:r w:rsidR="0005518F" w:rsidRPr="00601B12">
        <w:rPr>
          <w:rFonts w:ascii="Arial" w:hAnsi="Arial" w:cs="Arial"/>
          <w:color w:val="000000"/>
          <w:sz w:val="22"/>
          <w:szCs w:val="22"/>
        </w:rPr>
        <w:t>Teachers’</w:t>
      </w:r>
      <w:r w:rsidR="00C41C82" w:rsidRPr="00601B12">
        <w:rPr>
          <w:rFonts w:ascii="Arial" w:hAnsi="Arial" w:cs="Arial"/>
          <w:color w:val="000000"/>
          <w:sz w:val="22"/>
          <w:szCs w:val="22"/>
        </w:rPr>
        <w:t xml:space="preserve"> Pension Scheme Regulations, can join the Council’s Pension Scheme. The LGPS regulations also provide for specified bodies (employers) to be admitted into the Fund. </w:t>
      </w:r>
    </w:p>
    <w:p w14:paraId="6D162483" w14:textId="77777777" w:rsidR="00C41C82" w:rsidRPr="00601B12" w:rsidRDefault="00C41C82" w:rsidP="00EF47C8">
      <w:pPr>
        <w:autoSpaceDE w:val="0"/>
        <w:autoSpaceDN w:val="0"/>
        <w:adjustRightInd w:val="0"/>
        <w:ind w:left="426" w:hanging="426"/>
        <w:jc w:val="both"/>
        <w:rPr>
          <w:rFonts w:ascii="Arial" w:hAnsi="Arial" w:cs="Arial"/>
          <w:color w:val="000000"/>
          <w:sz w:val="22"/>
          <w:szCs w:val="22"/>
        </w:rPr>
      </w:pPr>
    </w:p>
    <w:p w14:paraId="6D162486" w14:textId="58C28876" w:rsidR="00135E04" w:rsidRPr="0076066D" w:rsidRDefault="00EF47C8" w:rsidP="0076066D">
      <w:pPr>
        <w:autoSpaceDE w:val="0"/>
        <w:autoSpaceDN w:val="0"/>
        <w:adjustRightInd w:val="0"/>
        <w:ind w:left="426" w:hanging="426"/>
        <w:rPr>
          <w:rFonts w:ascii="Arial" w:hAnsi="Arial" w:cs="Arial"/>
          <w:b/>
          <w:bCs/>
          <w:color w:val="000000"/>
        </w:rPr>
      </w:pPr>
      <w:r w:rsidRPr="00601B12">
        <w:rPr>
          <w:rFonts w:ascii="Arial" w:hAnsi="Arial" w:cs="Arial"/>
          <w:b/>
          <w:color w:val="000000"/>
          <w:sz w:val="22"/>
          <w:szCs w:val="22"/>
        </w:rPr>
        <w:tab/>
      </w:r>
      <w:r w:rsidR="00C41C82" w:rsidRPr="00601B12">
        <w:rPr>
          <w:rFonts w:ascii="Arial" w:hAnsi="Arial" w:cs="Arial"/>
          <w:b/>
          <w:color w:val="000000"/>
          <w:sz w:val="22"/>
          <w:szCs w:val="22"/>
        </w:rPr>
        <w:t xml:space="preserve">Chart </w:t>
      </w:r>
      <w:r w:rsidR="00133469">
        <w:rPr>
          <w:rFonts w:ascii="Arial" w:hAnsi="Arial" w:cs="Arial"/>
          <w:b/>
          <w:color w:val="000000"/>
          <w:sz w:val="22"/>
          <w:szCs w:val="22"/>
        </w:rPr>
        <w:t>6</w:t>
      </w:r>
      <w:r w:rsidR="00C41C82" w:rsidRPr="00601B12">
        <w:rPr>
          <w:rFonts w:ascii="Arial" w:hAnsi="Arial" w:cs="Arial"/>
          <w:b/>
          <w:color w:val="000000"/>
          <w:sz w:val="22"/>
          <w:szCs w:val="22"/>
        </w:rPr>
        <w:t>: Scheme Membership</w:t>
      </w:r>
      <w:r w:rsidR="002136C6" w:rsidRPr="00601B12">
        <w:rPr>
          <w:rFonts w:ascii="Arial" w:hAnsi="Arial" w:cs="Arial"/>
          <w:b/>
          <w:color w:val="000000"/>
          <w:sz w:val="22"/>
          <w:szCs w:val="22"/>
        </w:rPr>
        <w:t xml:space="preserve"> (20</w:t>
      </w:r>
      <w:r w:rsidR="009F7E6C" w:rsidRPr="00601B12">
        <w:rPr>
          <w:rFonts w:ascii="Arial" w:hAnsi="Arial" w:cs="Arial"/>
          <w:b/>
          <w:color w:val="000000"/>
          <w:sz w:val="22"/>
          <w:szCs w:val="22"/>
        </w:rPr>
        <w:t>1</w:t>
      </w:r>
      <w:r w:rsidR="002C0D2C">
        <w:rPr>
          <w:rFonts w:ascii="Arial" w:hAnsi="Arial" w:cs="Arial"/>
          <w:b/>
          <w:color w:val="000000"/>
          <w:sz w:val="22"/>
          <w:szCs w:val="22"/>
        </w:rPr>
        <w:t>3</w:t>
      </w:r>
      <w:r w:rsidR="00C41C82" w:rsidRPr="00601B12">
        <w:rPr>
          <w:rFonts w:ascii="Arial" w:hAnsi="Arial" w:cs="Arial"/>
          <w:b/>
          <w:color w:val="000000"/>
          <w:sz w:val="22"/>
          <w:szCs w:val="22"/>
        </w:rPr>
        <w:t>-20</w:t>
      </w:r>
      <w:r w:rsidR="00AB2A67">
        <w:rPr>
          <w:rFonts w:ascii="Arial" w:hAnsi="Arial" w:cs="Arial"/>
          <w:b/>
          <w:color w:val="000000"/>
          <w:sz w:val="22"/>
          <w:szCs w:val="22"/>
        </w:rPr>
        <w:t>2</w:t>
      </w:r>
      <w:r w:rsidR="00F92A4F">
        <w:rPr>
          <w:rFonts w:ascii="Arial" w:hAnsi="Arial" w:cs="Arial"/>
          <w:b/>
          <w:color w:val="000000"/>
          <w:sz w:val="22"/>
          <w:szCs w:val="22"/>
        </w:rPr>
        <w:t>2</w:t>
      </w:r>
      <w:r w:rsidR="00C41C82" w:rsidRPr="00601B12">
        <w:rPr>
          <w:rFonts w:ascii="Arial" w:hAnsi="Arial" w:cs="Arial"/>
          <w:b/>
          <w:color w:val="000000"/>
          <w:sz w:val="22"/>
          <w:szCs w:val="22"/>
        </w:rPr>
        <w:t>)</w:t>
      </w:r>
      <w:r w:rsidR="00C41C82" w:rsidRPr="00601B12">
        <w:rPr>
          <w:rFonts w:ascii="Arial" w:hAnsi="Arial" w:cs="Arial"/>
          <w:noProof/>
          <w:sz w:val="22"/>
          <w:szCs w:val="22"/>
        </w:rPr>
        <w:t xml:space="preserve"> </w:t>
      </w:r>
    </w:p>
    <w:p w14:paraId="25109CDE" w14:textId="52F7109C" w:rsidR="00D545FB" w:rsidRDefault="00F92A4F" w:rsidP="0076066D">
      <w:pPr>
        <w:pStyle w:val="ListParagraph"/>
        <w:autoSpaceDE w:val="0"/>
        <w:autoSpaceDN w:val="0"/>
        <w:adjustRightInd w:val="0"/>
        <w:spacing w:after="0" w:line="240" w:lineRule="auto"/>
        <w:ind w:left="426"/>
        <w:rPr>
          <w:rFonts w:ascii="Arial" w:hAnsi="Arial" w:cs="Arial"/>
          <w:b/>
          <w:bCs/>
          <w:color w:val="000000"/>
        </w:rPr>
      </w:pPr>
      <w:r>
        <w:rPr>
          <w:noProof/>
        </w:rPr>
        <w:drawing>
          <wp:inline distT="0" distB="0" distL="0" distR="0" wp14:anchorId="6B451E4A" wp14:editId="281842A5">
            <wp:extent cx="5684520" cy="2529840"/>
            <wp:effectExtent l="0" t="0" r="11430" b="3810"/>
            <wp:docPr id="21" name="Chart 21">
              <a:extLst xmlns:a="http://schemas.openxmlformats.org/drawingml/2006/main">
                <a:ext uri="{FF2B5EF4-FFF2-40B4-BE49-F238E27FC236}">
                  <a16:creationId xmlns:a16="http://schemas.microsoft.com/office/drawing/2014/main" id="{5F31935F-DB8A-46C7-80CD-B075362DB5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38DFA77" w14:textId="77777777" w:rsidR="00D545FB" w:rsidRPr="00601B12" w:rsidRDefault="00D545FB" w:rsidP="00EF47C8">
      <w:pPr>
        <w:pStyle w:val="ListParagraph"/>
        <w:autoSpaceDE w:val="0"/>
        <w:autoSpaceDN w:val="0"/>
        <w:adjustRightInd w:val="0"/>
        <w:spacing w:after="0" w:line="240" w:lineRule="auto"/>
        <w:ind w:left="426" w:hanging="426"/>
        <w:rPr>
          <w:rFonts w:ascii="Arial" w:hAnsi="Arial" w:cs="Arial"/>
          <w:b/>
          <w:bCs/>
          <w:color w:val="000000"/>
        </w:rPr>
      </w:pPr>
    </w:p>
    <w:p w14:paraId="6D162487" w14:textId="77777777" w:rsidR="00C41C82" w:rsidRPr="00601B12" w:rsidRDefault="00F536EE" w:rsidP="00EF47C8">
      <w:pPr>
        <w:pStyle w:val="ListParagraph"/>
        <w:autoSpaceDE w:val="0"/>
        <w:autoSpaceDN w:val="0"/>
        <w:adjustRightInd w:val="0"/>
        <w:spacing w:after="0" w:line="240" w:lineRule="auto"/>
        <w:ind w:left="426" w:hanging="426"/>
        <w:rPr>
          <w:rFonts w:ascii="Arial" w:hAnsi="Arial" w:cs="Arial"/>
          <w:b/>
          <w:bCs/>
          <w:color w:val="0070C0"/>
        </w:rPr>
      </w:pPr>
      <w:r w:rsidRPr="00601B12">
        <w:rPr>
          <w:rFonts w:ascii="Arial" w:hAnsi="Arial" w:cs="Arial"/>
          <w:b/>
          <w:bCs/>
          <w:color w:val="0070C0"/>
        </w:rPr>
        <w:t>7</w:t>
      </w:r>
      <w:r w:rsidR="00C41C82" w:rsidRPr="00601B12">
        <w:rPr>
          <w:rFonts w:ascii="Arial" w:hAnsi="Arial" w:cs="Arial"/>
          <w:b/>
          <w:bCs/>
          <w:color w:val="0070C0"/>
        </w:rPr>
        <w:t>.2</w:t>
      </w:r>
      <w:r w:rsidR="00C41C82" w:rsidRPr="00601B12">
        <w:rPr>
          <w:rFonts w:ascii="Arial" w:hAnsi="Arial" w:cs="Arial"/>
          <w:b/>
          <w:bCs/>
          <w:color w:val="0070C0"/>
        </w:rPr>
        <w:tab/>
        <w:t>Members Cash Flow</w:t>
      </w:r>
    </w:p>
    <w:p w14:paraId="6D162488" w14:textId="77777777" w:rsidR="00C41C82" w:rsidRPr="00601B12" w:rsidRDefault="00C41C82" w:rsidP="00EF47C8">
      <w:pPr>
        <w:pStyle w:val="ListParagraph"/>
        <w:autoSpaceDE w:val="0"/>
        <w:autoSpaceDN w:val="0"/>
        <w:adjustRightInd w:val="0"/>
        <w:spacing w:after="0" w:line="240" w:lineRule="auto"/>
        <w:ind w:left="426" w:hanging="426"/>
        <w:rPr>
          <w:rFonts w:ascii="Arial" w:hAnsi="Arial" w:cs="Arial"/>
          <w:b/>
          <w:bCs/>
          <w:color w:val="000000"/>
        </w:rPr>
      </w:pPr>
    </w:p>
    <w:p w14:paraId="6D16248A" w14:textId="26AA6392" w:rsidR="0005518F" w:rsidRDefault="00EF47C8" w:rsidP="00E73ADC">
      <w:pPr>
        <w:pStyle w:val="ListParagraph"/>
        <w:autoSpaceDE w:val="0"/>
        <w:autoSpaceDN w:val="0"/>
        <w:adjustRightInd w:val="0"/>
        <w:spacing w:after="0" w:line="240" w:lineRule="auto"/>
        <w:ind w:left="426" w:hanging="426"/>
        <w:jc w:val="both"/>
        <w:rPr>
          <w:rFonts w:ascii="Arial" w:hAnsi="Arial" w:cs="Arial"/>
          <w:color w:val="000000"/>
        </w:rPr>
      </w:pPr>
      <w:r w:rsidRPr="00601B12">
        <w:rPr>
          <w:rFonts w:ascii="Arial" w:hAnsi="Arial" w:cs="Arial"/>
          <w:color w:val="000000"/>
        </w:rPr>
        <w:tab/>
      </w:r>
      <w:r w:rsidR="00C41C82" w:rsidRPr="00601B12">
        <w:rPr>
          <w:rFonts w:ascii="Arial" w:hAnsi="Arial" w:cs="Arial"/>
          <w:color w:val="000000"/>
        </w:rPr>
        <w:t xml:space="preserve">The chart below summarises the contributions paid to the Fund and the amounts paid out by the Fund in respect of members over the past </w:t>
      </w:r>
      <w:r w:rsidR="00A87A82">
        <w:rPr>
          <w:rFonts w:ascii="Arial" w:hAnsi="Arial" w:cs="Arial"/>
          <w:color w:val="000000"/>
        </w:rPr>
        <w:t>10</w:t>
      </w:r>
      <w:r w:rsidR="00C41C82" w:rsidRPr="00601B12">
        <w:rPr>
          <w:rFonts w:ascii="Arial" w:hAnsi="Arial" w:cs="Arial"/>
          <w:color w:val="000000"/>
        </w:rPr>
        <w:t xml:space="preserve"> years. </w:t>
      </w:r>
    </w:p>
    <w:p w14:paraId="139B8E7E" w14:textId="77777777" w:rsidR="00E73ADC" w:rsidRDefault="00E73ADC" w:rsidP="00E73ADC">
      <w:pPr>
        <w:pStyle w:val="ListParagraph"/>
        <w:autoSpaceDE w:val="0"/>
        <w:autoSpaceDN w:val="0"/>
        <w:adjustRightInd w:val="0"/>
        <w:spacing w:after="0" w:line="240" w:lineRule="auto"/>
        <w:ind w:left="426" w:hanging="426"/>
        <w:jc w:val="both"/>
        <w:rPr>
          <w:rFonts w:ascii="Arial" w:hAnsi="Arial" w:cs="Arial"/>
          <w:color w:val="000000"/>
        </w:rPr>
      </w:pPr>
    </w:p>
    <w:p w14:paraId="7E73E634" w14:textId="77777777" w:rsidR="002206B2" w:rsidRDefault="002206B2" w:rsidP="00E73ADC">
      <w:pPr>
        <w:pStyle w:val="ListParagraph"/>
        <w:autoSpaceDE w:val="0"/>
        <w:autoSpaceDN w:val="0"/>
        <w:adjustRightInd w:val="0"/>
        <w:spacing w:after="0" w:line="240" w:lineRule="auto"/>
        <w:ind w:left="426" w:hanging="426"/>
        <w:jc w:val="both"/>
        <w:rPr>
          <w:rFonts w:ascii="Arial" w:hAnsi="Arial" w:cs="Arial"/>
          <w:color w:val="000000"/>
        </w:rPr>
      </w:pPr>
    </w:p>
    <w:p w14:paraId="78F89D35" w14:textId="77777777" w:rsidR="002206B2" w:rsidRPr="00E73ADC" w:rsidRDefault="002206B2" w:rsidP="00E73ADC">
      <w:pPr>
        <w:pStyle w:val="ListParagraph"/>
        <w:autoSpaceDE w:val="0"/>
        <w:autoSpaceDN w:val="0"/>
        <w:adjustRightInd w:val="0"/>
        <w:spacing w:after="0" w:line="240" w:lineRule="auto"/>
        <w:ind w:left="426" w:hanging="426"/>
        <w:jc w:val="both"/>
        <w:rPr>
          <w:rFonts w:ascii="Arial" w:hAnsi="Arial" w:cs="Arial"/>
          <w:color w:val="000000"/>
        </w:rPr>
      </w:pPr>
    </w:p>
    <w:p w14:paraId="12C66101" w14:textId="17556694" w:rsidR="00A43F54" w:rsidRPr="00A43F54" w:rsidRDefault="00EF47C8" w:rsidP="00A43F54">
      <w:pPr>
        <w:autoSpaceDE w:val="0"/>
        <w:autoSpaceDN w:val="0"/>
        <w:adjustRightInd w:val="0"/>
        <w:ind w:left="426" w:hanging="426"/>
        <w:jc w:val="both"/>
        <w:rPr>
          <w:rFonts w:ascii="Arial" w:hAnsi="Arial" w:cs="Arial"/>
          <w:b/>
          <w:color w:val="000000"/>
          <w:sz w:val="22"/>
          <w:szCs w:val="22"/>
        </w:rPr>
      </w:pPr>
      <w:r w:rsidRPr="00601B12">
        <w:rPr>
          <w:rFonts w:ascii="Arial" w:hAnsi="Arial" w:cs="Arial"/>
          <w:b/>
          <w:color w:val="000000"/>
          <w:sz w:val="22"/>
          <w:szCs w:val="22"/>
        </w:rPr>
        <w:tab/>
      </w:r>
      <w:r w:rsidR="00C41C82" w:rsidRPr="00601B12">
        <w:rPr>
          <w:rFonts w:ascii="Arial" w:hAnsi="Arial" w:cs="Arial"/>
          <w:b/>
          <w:color w:val="000000"/>
          <w:sz w:val="22"/>
          <w:szCs w:val="22"/>
        </w:rPr>
        <w:t xml:space="preserve">Chart </w:t>
      </w:r>
      <w:r w:rsidR="00133469">
        <w:rPr>
          <w:rFonts w:ascii="Arial" w:hAnsi="Arial" w:cs="Arial"/>
          <w:b/>
          <w:color w:val="000000"/>
          <w:sz w:val="22"/>
          <w:szCs w:val="22"/>
        </w:rPr>
        <w:t>7</w:t>
      </w:r>
      <w:r w:rsidR="00C41C82" w:rsidRPr="00601B12">
        <w:rPr>
          <w:rFonts w:ascii="Arial" w:hAnsi="Arial" w:cs="Arial"/>
          <w:b/>
          <w:color w:val="000000"/>
          <w:sz w:val="22"/>
          <w:szCs w:val="22"/>
        </w:rPr>
        <w:t>: Contributions Received and Pension Payments Made (</w:t>
      </w:r>
      <w:r w:rsidR="009F7E6C" w:rsidRPr="00601B12">
        <w:rPr>
          <w:rFonts w:ascii="Arial" w:hAnsi="Arial" w:cs="Arial"/>
          <w:b/>
          <w:color w:val="000000"/>
          <w:sz w:val="22"/>
          <w:szCs w:val="22"/>
        </w:rPr>
        <w:t>201</w:t>
      </w:r>
      <w:r w:rsidR="001852C0">
        <w:rPr>
          <w:rFonts w:ascii="Arial" w:hAnsi="Arial" w:cs="Arial"/>
          <w:b/>
          <w:color w:val="000000"/>
          <w:sz w:val="22"/>
          <w:szCs w:val="22"/>
        </w:rPr>
        <w:t>3</w:t>
      </w:r>
      <w:r w:rsidR="009F7E6C" w:rsidRPr="00601B12">
        <w:rPr>
          <w:rFonts w:ascii="Arial" w:hAnsi="Arial" w:cs="Arial"/>
          <w:b/>
          <w:color w:val="000000"/>
          <w:sz w:val="22"/>
          <w:szCs w:val="22"/>
        </w:rPr>
        <w:t>-20</w:t>
      </w:r>
      <w:r w:rsidR="00AA2464">
        <w:rPr>
          <w:rFonts w:ascii="Arial" w:hAnsi="Arial" w:cs="Arial"/>
          <w:b/>
          <w:color w:val="000000"/>
          <w:sz w:val="22"/>
          <w:szCs w:val="22"/>
        </w:rPr>
        <w:t>2</w:t>
      </w:r>
      <w:r w:rsidR="00CE7154">
        <w:rPr>
          <w:rFonts w:ascii="Arial" w:hAnsi="Arial" w:cs="Arial"/>
          <w:b/>
          <w:color w:val="000000"/>
          <w:sz w:val="22"/>
          <w:szCs w:val="22"/>
        </w:rPr>
        <w:t>2</w:t>
      </w:r>
      <w:r w:rsidR="00C41C82" w:rsidRPr="00601B12">
        <w:rPr>
          <w:rFonts w:ascii="Arial" w:hAnsi="Arial" w:cs="Arial"/>
          <w:b/>
          <w:color w:val="000000"/>
          <w:sz w:val="22"/>
          <w:szCs w:val="22"/>
        </w:rPr>
        <w:t>)</w:t>
      </w:r>
    </w:p>
    <w:p w14:paraId="0A117711" w14:textId="05DB7C39" w:rsidR="00713F12" w:rsidRDefault="00CE7154" w:rsidP="0076066D">
      <w:pPr>
        <w:ind w:right="402" w:firstLine="426"/>
        <w:rPr>
          <w:rFonts w:ascii="Arial" w:hAnsi="Arial" w:cs="Arial"/>
          <w:color w:val="000000"/>
          <w:sz w:val="22"/>
          <w:szCs w:val="22"/>
        </w:rPr>
        <w:sectPr w:rsidR="00713F12" w:rsidSect="00510382">
          <w:headerReference w:type="default" r:id="rId33"/>
          <w:footerReference w:type="default" r:id="rId34"/>
          <w:headerReference w:type="first" r:id="rId35"/>
          <w:pgSz w:w="12240" w:h="15840"/>
          <w:pgMar w:top="851"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r>
        <w:rPr>
          <w:noProof/>
        </w:rPr>
        <w:drawing>
          <wp:inline distT="0" distB="0" distL="0" distR="0" wp14:anchorId="50394DA1" wp14:editId="611623F2">
            <wp:extent cx="5478780" cy="2819400"/>
            <wp:effectExtent l="0" t="0" r="7620" b="0"/>
            <wp:docPr id="22" name="Chart 22">
              <a:extLst xmlns:a="http://schemas.openxmlformats.org/drawingml/2006/main">
                <a:ext uri="{FF2B5EF4-FFF2-40B4-BE49-F238E27FC236}">
                  <a16:creationId xmlns:a16="http://schemas.microsoft.com/office/drawing/2014/main" id="{453832A0-E501-4113-B8AF-66E4C3D198C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D16248E" w14:textId="77777777" w:rsidR="004848CB" w:rsidRPr="00601B12" w:rsidRDefault="004848CB" w:rsidP="0076066D">
      <w:pPr>
        <w:rPr>
          <w:rFonts w:ascii="Arial" w:hAnsi="Arial" w:cs="Arial"/>
          <w:b/>
          <w:bCs/>
          <w:color w:val="000000"/>
        </w:rPr>
      </w:pPr>
      <w:r w:rsidRPr="00601B12">
        <w:rPr>
          <w:rFonts w:ascii="Arial" w:hAnsi="Arial" w:cs="Arial"/>
          <w:b/>
          <w:bCs/>
          <w:color w:val="000000"/>
        </w:rPr>
        <w:t>7.3</w:t>
      </w:r>
      <w:r w:rsidRPr="00601B12">
        <w:rPr>
          <w:rFonts w:ascii="Arial" w:hAnsi="Arial" w:cs="Arial"/>
          <w:b/>
          <w:bCs/>
          <w:color w:val="000000"/>
        </w:rPr>
        <w:tab/>
        <w:t xml:space="preserve">Membership </w:t>
      </w:r>
      <w:r w:rsidR="006D593E" w:rsidRPr="00601B12">
        <w:rPr>
          <w:rFonts w:ascii="Arial" w:hAnsi="Arial" w:cs="Arial"/>
          <w:b/>
          <w:bCs/>
          <w:color w:val="000000"/>
        </w:rPr>
        <w:t>Details</w:t>
      </w:r>
    </w:p>
    <w:p w14:paraId="6D16248F" w14:textId="77777777" w:rsidR="006F3377" w:rsidRPr="00601B12" w:rsidRDefault="006F3377" w:rsidP="00C41C82">
      <w:pPr>
        <w:pStyle w:val="ListParagraph"/>
        <w:autoSpaceDE w:val="0"/>
        <w:autoSpaceDN w:val="0"/>
        <w:adjustRightInd w:val="0"/>
        <w:spacing w:after="0" w:line="240" w:lineRule="auto"/>
        <w:ind w:left="0"/>
        <w:jc w:val="both"/>
        <w:rPr>
          <w:rFonts w:ascii="Arial" w:hAnsi="Arial" w:cs="Arial"/>
          <w:b/>
          <w:bCs/>
          <w:color w:val="000000"/>
        </w:rPr>
      </w:pPr>
    </w:p>
    <w:p w14:paraId="6D162490" w14:textId="3DDDEE36" w:rsidR="006D593E" w:rsidRPr="00601B12" w:rsidRDefault="006F3377" w:rsidP="00C41C82">
      <w:pPr>
        <w:pStyle w:val="ListParagraph"/>
        <w:autoSpaceDE w:val="0"/>
        <w:autoSpaceDN w:val="0"/>
        <w:adjustRightInd w:val="0"/>
        <w:spacing w:after="0" w:line="240" w:lineRule="auto"/>
        <w:ind w:left="0"/>
        <w:jc w:val="both"/>
        <w:rPr>
          <w:rFonts w:ascii="Arial" w:hAnsi="Arial" w:cs="Arial"/>
          <w:bCs/>
          <w:color w:val="000000"/>
        </w:rPr>
      </w:pPr>
      <w:r w:rsidRPr="00601B12">
        <w:rPr>
          <w:rFonts w:ascii="Arial" w:hAnsi="Arial" w:cs="Arial"/>
          <w:bCs/>
          <w:color w:val="000000"/>
        </w:rPr>
        <w:t xml:space="preserve">As </w:t>
      </w:r>
      <w:proofErr w:type="gramStart"/>
      <w:r w:rsidRPr="00601B12">
        <w:rPr>
          <w:rFonts w:ascii="Arial" w:hAnsi="Arial" w:cs="Arial"/>
          <w:bCs/>
          <w:color w:val="000000"/>
        </w:rPr>
        <w:t>at</w:t>
      </w:r>
      <w:proofErr w:type="gramEnd"/>
      <w:r w:rsidRPr="00601B12">
        <w:rPr>
          <w:rFonts w:ascii="Arial" w:hAnsi="Arial" w:cs="Arial"/>
          <w:bCs/>
          <w:color w:val="000000"/>
        </w:rPr>
        <w:t xml:space="preserve"> </w:t>
      </w:r>
      <w:r w:rsidR="00453250">
        <w:rPr>
          <w:rFonts w:ascii="Arial" w:hAnsi="Arial" w:cs="Arial"/>
          <w:bCs/>
          <w:color w:val="000000"/>
        </w:rPr>
        <w:t>31 March 202</w:t>
      </w:r>
      <w:r w:rsidR="00A43030">
        <w:rPr>
          <w:rFonts w:ascii="Arial" w:hAnsi="Arial" w:cs="Arial"/>
          <w:bCs/>
          <w:color w:val="000000"/>
        </w:rPr>
        <w:t>2</w:t>
      </w:r>
      <w:r w:rsidRPr="00601B12">
        <w:rPr>
          <w:rFonts w:ascii="Arial" w:hAnsi="Arial" w:cs="Arial"/>
          <w:bCs/>
          <w:color w:val="000000"/>
        </w:rPr>
        <w:t xml:space="preserve"> the Fund had </w:t>
      </w:r>
      <w:r w:rsidR="003A0431" w:rsidRPr="00601B12">
        <w:rPr>
          <w:rFonts w:ascii="Arial" w:hAnsi="Arial" w:cs="Arial"/>
          <w:bCs/>
          <w:color w:val="000000"/>
        </w:rPr>
        <w:t xml:space="preserve">a total membership of </w:t>
      </w:r>
      <w:r w:rsidR="00EB718E" w:rsidRPr="00EB718E">
        <w:rPr>
          <w:rFonts w:ascii="Arial" w:hAnsi="Arial" w:cs="Arial"/>
          <w:bCs/>
          <w:color w:val="000000"/>
        </w:rPr>
        <w:t>1</w:t>
      </w:r>
      <w:r w:rsidR="00C367FE">
        <w:rPr>
          <w:rFonts w:ascii="Arial" w:hAnsi="Arial" w:cs="Arial"/>
          <w:bCs/>
          <w:color w:val="000000"/>
        </w:rPr>
        <w:t>9,470</w:t>
      </w:r>
      <w:r w:rsidR="003A0431" w:rsidRPr="00601B12">
        <w:rPr>
          <w:rFonts w:ascii="Arial" w:hAnsi="Arial" w:cs="Arial"/>
          <w:bCs/>
          <w:color w:val="000000"/>
        </w:rPr>
        <w:t xml:space="preserve">, split into </w:t>
      </w:r>
      <w:r w:rsidR="00086C77">
        <w:rPr>
          <w:rFonts w:ascii="Arial" w:hAnsi="Arial" w:cs="Arial"/>
          <w:bCs/>
          <w:color w:val="000000"/>
        </w:rPr>
        <w:t>6,225</w:t>
      </w:r>
      <w:r w:rsidRPr="00601B12">
        <w:rPr>
          <w:rFonts w:ascii="Arial" w:hAnsi="Arial" w:cs="Arial"/>
          <w:bCs/>
          <w:color w:val="000000"/>
        </w:rPr>
        <w:t xml:space="preserve"> active members, </w:t>
      </w:r>
      <w:r w:rsidR="00D07082">
        <w:rPr>
          <w:rFonts w:ascii="Arial" w:hAnsi="Arial" w:cs="Arial"/>
          <w:bCs/>
          <w:color w:val="000000"/>
        </w:rPr>
        <w:t>7,029</w:t>
      </w:r>
      <w:r w:rsidRPr="00601B12">
        <w:rPr>
          <w:rFonts w:ascii="Arial" w:hAnsi="Arial" w:cs="Arial"/>
          <w:bCs/>
          <w:color w:val="000000"/>
        </w:rPr>
        <w:t xml:space="preserve"> deferred members </w:t>
      </w:r>
      <w:r w:rsidR="00FC2B55">
        <w:rPr>
          <w:rFonts w:ascii="Arial" w:hAnsi="Arial" w:cs="Arial"/>
          <w:bCs/>
          <w:color w:val="000000"/>
        </w:rPr>
        <w:t>and</w:t>
      </w:r>
      <w:r w:rsidR="00810C38">
        <w:rPr>
          <w:rFonts w:ascii="Arial" w:hAnsi="Arial" w:cs="Arial"/>
          <w:bCs/>
          <w:color w:val="000000"/>
        </w:rPr>
        <w:t xml:space="preserve"> 5,</w:t>
      </w:r>
      <w:r w:rsidR="008F25CB">
        <w:rPr>
          <w:rFonts w:ascii="Arial" w:hAnsi="Arial" w:cs="Arial"/>
          <w:bCs/>
          <w:color w:val="000000"/>
        </w:rPr>
        <w:t>998 pensioners</w:t>
      </w:r>
      <w:r w:rsidR="006D593E" w:rsidRPr="00601B12">
        <w:rPr>
          <w:rFonts w:ascii="Arial" w:hAnsi="Arial" w:cs="Arial"/>
          <w:bCs/>
          <w:color w:val="000000"/>
        </w:rPr>
        <w:t xml:space="preserve">. The Fund membership is </w:t>
      </w:r>
      <w:r w:rsidR="006D593E" w:rsidRPr="009D037E">
        <w:rPr>
          <w:rFonts w:ascii="Arial" w:hAnsi="Arial" w:cs="Arial"/>
          <w:bCs/>
          <w:color w:val="000000"/>
        </w:rPr>
        <w:t>split 6</w:t>
      </w:r>
      <w:r w:rsidR="0077366F" w:rsidRPr="0076066D">
        <w:rPr>
          <w:rFonts w:ascii="Arial" w:hAnsi="Arial" w:cs="Arial"/>
          <w:bCs/>
          <w:color w:val="000000"/>
        </w:rPr>
        <w:t>9.</w:t>
      </w:r>
      <w:r w:rsidR="009D762D">
        <w:rPr>
          <w:rFonts w:ascii="Arial" w:hAnsi="Arial" w:cs="Arial"/>
          <w:bCs/>
          <w:color w:val="000000"/>
        </w:rPr>
        <w:t>5</w:t>
      </w:r>
      <w:r w:rsidR="006D593E" w:rsidRPr="009D037E">
        <w:rPr>
          <w:rFonts w:ascii="Arial" w:hAnsi="Arial" w:cs="Arial"/>
          <w:bCs/>
          <w:color w:val="000000"/>
        </w:rPr>
        <w:t>% female and 3</w:t>
      </w:r>
      <w:r w:rsidR="009D037E" w:rsidRPr="0076066D">
        <w:rPr>
          <w:rFonts w:ascii="Arial" w:hAnsi="Arial" w:cs="Arial"/>
          <w:bCs/>
          <w:color w:val="000000"/>
        </w:rPr>
        <w:t>0.</w:t>
      </w:r>
      <w:r w:rsidR="009D762D">
        <w:rPr>
          <w:rFonts w:ascii="Arial" w:hAnsi="Arial" w:cs="Arial"/>
          <w:bCs/>
          <w:color w:val="000000"/>
        </w:rPr>
        <w:t>5</w:t>
      </w:r>
      <w:r w:rsidR="00B20C02" w:rsidRPr="009D037E">
        <w:rPr>
          <w:rFonts w:ascii="Arial" w:hAnsi="Arial" w:cs="Arial"/>
          <w:bCs/>
          <w:color w:val="000000"/>
        </w:rPr>
        <w:t>% male</w:t>
      </w:r>
      <w:r w:rsidR="006D593E" w:rsidRPr="002D3E0A">
        <w:rPr>
          <w:rFonts w:ascii="Arial" w:hAnsi="Arial" w:cs="Arial"/>
          <w:bCs/>
          <w:color w:val="000000"/>
        </w:rPr>
        <w:t>. Chart</w:t>
      </w:r>
      <w:r w:rsidR="00B906F1" w:rsidRPr="002D3E0A">
        <w:rPr>
          <w:rFonts w:ascii="Arial" w:hAnsi="Arial" w:cs="Arial"/>
          <w:bCs/>
          <w:color w:val="000000"/>
        </w:rPr>
        <w:t xml:space="preserve"> </w:t>
      </w:r>
      <w:r w:rsidR="00133469" w:rsidRPr="002D3E0A">
        <w:rPr>
          <w:rFonts w:ascii="Arial" w:hAnsi="Arial" w:cs="Arial"/>
          <w:bCs/>
          <w:color w:val="000000"/>
        </w:rPr>
        <w:t>8</w:t>
      </w:r>
      <w:r w:rsidR="006D593E" w:rsidRPr="002D3E0A">
        <w:rPr>
          <w:rFonts w:ascii="Arial" w:hAnsi="Arial" w:cs="Arial"/>
          <w:bCs/>
          <w:color w:val="000000"/>
        </w:rPr>
        <w:t xml:space="preserve"> shows the Fund age p</w:t>
      </w:r>
      <w:r w:rsidR="00B20C02" w:rsidRPr="002D3E0A">
        <w:rPr>
          <w:rFonts w:ascii="Arial" w:hAnsi="Arial" w:cs="Arial"/>
          <w:bCs/>
          <w:color w:val="000000"/>
        </w:rPr>
        <w:t xml:space="preserve">rofile </w:t>
      </w:r>
      <w:proofErr w:type="gramStart"/>
      <w:r w:rsidR="00B20C02" w:rsidRPr="002D3E0A">
        <w:rPr>
          <w:rFonts w:ascii="Arial" w:hAnsi="Arial" w:cs="Arial"/>
          <w:bCs/>
          <w:color w:val="000000"/>
        </w:rPr>
        <w:t>at</w:t>
      </w:r>
      <w:proofErr w:type="gramEnd"/>
      <w:r w:rsidR="00B20C02" w:rsidRPr="002D3E0A">
        <w:rPr>
          <w:rFonts w:ascii="Arial" w:hAnsi="Arial" w:cs="Arial"/>
          <w:bCs/>
          <w:color w:val="000000"/>
        </w:rPr>
        <w:t xml:space="preserve"> </w:t>
      </w:r>
      <w:r w:rsidR="00453250">
        <w:rPr>
          <w:rFonts w:ascii="Arial" w:hAnsi="Arial" w:cs="Arial"/>
          <w:bCs/>
          <w:color w:val="000000"/>
        </w:rPr>
        <w:t>31 March 202</w:t>
      </w:r>
      <w:r w:rsidR="00C93D70">
        <w:rPr>
          <w:rFonts w:ascii="Arial" w:hAnsi="Arial" w:cs="Arial"/>
          <w:bCs/>
          <w:color w:val="000000"/>
        </w:rPr>
        <w:t>2</w:t>
      </w:r>
      <w:r w:rsidR="006D593E" w:rsidRPr="002D3E0A">
        <w:rPr>
          <w:rFonts w:ascii="Arial" w:hAnsi="Arial" w:cs="Arial"/>
          <w:bCs/>
          <w:color w:val="000000"/>
        </w:rPr>
        <w:t>.</w:t>
      </w:r>
    </w:p>
    <w:p w14:paraId="6D162491" w14:textId="77777777" w:rsidR="006F3377" w:rsidRPr="00601B12" w:rsidRDefault="006F3377" w:rsidP="006F3377">
      <w:pPr>
        <w:pStyle w:val="ListParagraph"/>
        <w:autoSpaceDE w:val="0"/>
        <w:autoSpaceDN w:val="0"/>
        <w:adjustRightInd w:val="0"/>
        <w:spacing w:after="0" w:line="240" w:lineRule="auto"/>
        <w:ind w:left="0"/>
        <w:rPr>
          <w:rFonts w:ascii="Arial" w:eastAsiaTheme="minorHAnsi" w:hAnsi="Arial" w:cs="Arial"/>
          <w:b/>
          <w:bCs/>
        </w:rPr>
      </w:pPr>
    </w:p>
    <w:p w14:paraId="616E13F8" w14:textId="6CAEFB83" w:rsidR="00905B21" w:rsidRDefault="006D593E" w:rsidP="00D817A4">
      <w:pPr>
        <w:pStyle w:val="ListParagraph"/>
        <w:autoSpaceDE w:val="0"/>
        <w:autoSpaceDN w:val="0"/>
        <w:adjustRightInd w:val="0"/>
        <w:spacing w:after="0" w:line="240" w:lineRule="auto"/>
        <w:ind w:left="0"/>
        <w:rPr>
          <w:rFonts w:ascii="Arial" w:eastAsiaTheme="minorHAnsi" w:hAnsi="Arial" w:cs="Arial"/>
          <w:b/>
          <w:bCs/>
        </w:rPr>
      </w:pPr>
      <w:r w:rsidRPr="00601B12">
        <w:rPr>
          <w:rFonts w:ascii="Arial" w:eastAsiaTheme="minorHAnsi" w:hAnsi="Arial" w:cs="Arial"/>
          <w:b/>
          <w:bCs/>
        </w:rPr>
        <w:t>C</w:t>
      </w:r>
      <w:r w:rsidR="006F3377" w:rsidRPr="00601B12">
        <w:rPr>
          <w:rFonts w:ascii="Arial" w:eastAsiaTheme="minorHAnsi" w:hAnsi="Arial" w:cs="Arial"/>
          <w:b/>
          <w:bCs/>
        </w:rPr>
        <w:t xml:space="preserve">hart </w:t>
      </w:r>
      <w:r w:rsidR="00133469">
        <w:rPr>
          <w:rFonts w:ascii="Arial" w:eastAsiaTheme="minorHAnsi" w:hAnsi="Arial" w:cs="Arial"/>
          <w:b/>
          <w:bCs/>
        </w:rPr>
        <w:t>8</w:t>
      </w:r>
      <w:r w:rsidR="006F3377" w:rsidRPr="00601B12">
        <w:rPr>
          <w:rFonts w:ascii="Arial" w:eastAsiaTheme="minorHAnsi" w:hAnsi="Arial" w:cs="Arial"/>
          <w:b/>
          <w:bCs/>
        </w:rPr>
        <w:t xml:space="preserve">: Fund </w:t>
      </w:r>
      <w:r w:rsidR="004848CB" w:rsidRPr="00601B12">
        <w:rPr>
          <w:rFonts w:ascii="Arial" w:eastAsiaTheme="minorHAnsi" w:hAnsi="Arial" w:cs="Arial"/>
          <w:b/>
          <w:bCs/>
        </w:rPr>
        <w:t xml:space="preserve">Age Distribution as </w:t>
      </w:r>
      <w:proofErr w:type="gramStart"/>
      <w:r w:rsidR="004848CB" w:rsidRPr="00601B12">
        <w:rPr>
          <w:rFonts w:ascii="Arial" w:eastAsiaTheme="minorHAnsi" w:hAnsi="Arial" w:cs="Arial"/>
          <w:b/>
          <w:bCs/>
        </w:rPr>
        <w:t>at</w:t>
      </w:r>
      <w:proofErr w:type="gramEnd"/>
      <w:r w:rsidR="004848CB" w:rsidRPr="00601B12">
        <w:rPr>
          <w:rFonts w:ascii="Arial" w:eastAsiaTheme="minorHAnsi" w:hAnsi="Arial" w:cs="Arial"/>
          <w:b/>
          <w:bCs/>
        </w:rPr>
        <w:t xml:space="preserve"> </w:t>
      </w:r>
      <w:r w:rsidR="00453250">
        <w:rPr>
          <w:rFonts w:ascii="Arial" w:eastAsiaTheme="minorHAnsi" w:hAnsi="Arial" w:cs="Arial"/>
          <w:b/>
          <w:bCs/>
        </w:rPr>
        <w:t>31 March 202</w:t>
      </w:r>
      <w:r w:rsidR="00967954">
        <w:rPr>
          <w:rFonts w:ascii="Arial" w:eastAsiaTheme="minorHAnsi" w:hAnsi="Arial" w:cs="Arial"/>
          <w:b/>
          <w:bCs/>
        </w:rPr>
        <w:t>2</w:t>
      </w:r>
    </w:p>
    <w:p w14:paraId="5BB1686E" w14:textId="5B4A01B5" w:rsidR="00905B21" w:rsidRPr="00601B12" w:rsidRDefault="00967954">
      <w:pPr>
        <w:pStyle w:val="ListParagraph"/>
        <w:autoSpaceDE w:val="0"/>
        <w:autoSpaceDN w:val="0"/>
        <w:adjustRightInd w:val="0"/>
        <w:spacing w:after="0" w:line="240" w:lineRule="auto"/>
        <w:ind w:left="0"/>
        <w:rPr>
          <w:rFonts w:ascii="Arial" w:eastAsiaTheme="minorHAnsi" w:hAnsi="Arial" w:cs="Arial"/>
          <w:b/>
          <w:bCs/>
        </w:rPr>
      </w:pPr>
      <w:r>
        <w:rPr>
          <w:noProof/>
        </w:rPr>
        <w:drawing>
          <wp:inline distT="0" distB="0" distL="0" distR="0" wp14:anchorId="413070AB" wp14:editId="77E757E8">
            <wp:extent cx="8328660" cy="3970020"/>
            <wp:effectExtent l="0" t="0" r="15240" b="11430"/>
            <wp:docPr id="5" name="Chart 5">
              <a:extLst xmlns:a="http://schemas.openxmlformats.org/drawingml/2006/main">
                <a:ext uri="{FF2B5EF4-FFF2-40B4-BE49-F238E27FC236}">
                  <a16:creationId xmlns:a16="http://schemas.microsoft.com/office/drawing/2014/main" id="{ED565453-2581-4190-9394-D6C10A614B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D162493" w14:textId="3381B9EB" w:rsidR="006433E8" w:rsidRPr="00601B12" w:rsidRDefault="006433E8" w:rsidP="0076066D">
      <w:pPr>
        <w:pStyle w:val="ListParagraph"/>
        <w:autoSpaceDE w:val="0"/>
        <w:autoSpaceDN w:val="0"/>
        <w:adjustRightInd w:val="0"/>
        <w:spacing w:after="0" w:line="240" w:lineRule="auto"/>
        <w:ind w:left="0"/>
        <w:rPr>
          <w:rFonts w:ascii="Arial" w:hAnsi="Arial" w:cs="Arial"/>
          <w:b/>
          <w:bCs/>
          <w:color w:val="000000"/>
        </w:rPr>
        <w:sectPr w:rsidR="006433E8" w:rsidRPr="00601B12" w:rsidSect="00713F12">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6D162494" w14:textId="34CC0B06" w:rsidR="00C41C82" w:rsidRPr="00601B12" w:rsidRDefault="00F536EE" w:rsidP="0025121F">
      <w:pPr>
        <w:pStyle w:val="ListParagraph"/>
        <w:autoSpaceDE w:val="0"/>
        <w:autoSpaceDN w:val="0"/>
        <w:adjustRightInd w:val="0"/>
        <w:spacing w:after="0" w:line="240" w:lineRule="auto"/>
        <w:ind w:left="426" w:right="568" w:hanging="426"/>
        <w:jc w:val="both"/>
        <w:rPr>
          <w:rFonts w:ascii="Arial" w:hAnsi="Arial" w:cs="Arial"/>
          <w:bCs/>
          <w:color w:val="000000"/>
        </w:rPr>
      </w:pPr>
      <w:r w:rsidRPr="00601B12">
        <w:rPr>
          <w:rFonts w:ascii="Arial" w:hAnsi="Arial" w:cs="Arial"/>
          <w:b/>
          <w:bCs/>
          <w:color w:val="000000"/>
        </w:rPr>
        <w:t>7</w:t>
      </w:r>
      <w:r w:rsidR="00C41C82" w:rsidRPr="00601B12">
        <w:rPr>
          <w:rFonts w:ascii="Arial" w:hAnsi="Arial" w:cs="Arial"/>
          <w:b/>
          <w:bCs/>
          <w:color w:val="000000"/>
        </w:rPr>
        <w:t>.</w:t>
      </w:r>
      <w:r w:rsidR="004146ED" w:rsidRPr="00601B12">
        <w:rPr>
          <w:rFonts w:ascii="Arial" w:hAnsi="Arial" w:cs="Arial"/>
          <w:b/>
          <w:bCs/>
          <w:color w:val="000000"/>
        </w:rPr>
        <w:t>5</w:t>
      </w:r>
      <w:r w:rsidR="00C41C82" w:rsidRPr="00601B12">
        <w:rPr>
          <w:rFonts w:ascii="Arial" w:hAnsi="Arial" w:cs="Arial"/>
          <w:b/>
          <w:bCs/>
          <w:color w:val="000000"/>
        </w:rPr>
        <w:tab/>
        <w:t>Employers</w:t>
      </w:r>
      <w:r w:rsidR="00767E84" w:rsidRPr="00601B12">
        <w:rPr>
          <w:rFonts w:ascii="Arial" w:hAnsi="Arial" w:cs="Arial"/>
          <w:b/>
          <w:bCs/>
          <w:color w:val="000000"/>
        </w:rPr>
        <w:t xml:space="preserve">: </w:t>
      </w:r>
      <w:r w:rsidR="00C41C82" w:rsidRPr="00601B12">
        <w:rPr>
          <w:rFonts w:ascii="Arial" w:hAnsi="Arial" w:cs="Arial"/>
          <w:color w:val="000000"/>
        </w:rPr>
        <w:t xml:space="preserve">The Scheme had </w:t>
      </w:r>
      <w:r w:rsidR="005145F1">
        <w:rPr>
          <w:rFonts w:ascii="Arial" w:hAnsi="Arial" w:cs="Arial"/>
          <w:color w:val="000000"/>
        </w:rPr>
        <w:t>41</w:t>
      </w:r>
      <w:r w:rsidR="006175B2" w:rsidRPr="00601B12">
        <w:rPr>
          <w:rFonts w:ascii="Arial" w:hAnsi="Arial" w:cs="Arial"/>
          <w:color w:val="000000"/>
        </w:rPr>
        <w:t xml:space="preserve"> active</w:t>
      </w:r>
      <w:r w:rsidR="00C41C82" w:rsidRPr="00601B12">
        <w:rPr>
          <w:rFonts w:ascii="Arial" w:hAnsi="Arial" w:cs="Arial"/>
          <w:color w:val="000000"/>
        </w:rPr>
        <w:t xml:space="preserve"> employers </w:t>
      </w:r>
      <w:r w:rsidR="00767E84" w:rsidRPr="00601B12">
        <w:rPr>
          <w:rFonts w:ascii="Arial" w:hAnsi="Arial" w:cs="Arial"/>
          <w:color w:val="000000"/>
        </w:rPr>
        <w:t xml:space="preserve">as </w:t>
      </w:r>
      <w:proofErr w:type="gramStart"/>
      <w:r w:rsidR="00C41C82" w:rsidRPr="00601B12">
        <w:rPr>
          <w:rFonts w:ascii="Arial" w:hAnsi="Arial" w:cs="Arial"/>
          <w:color w:val="000000"/>
        </w:rPr>
        <w:t>at</w:t>
      </w:r>
      <w:proofErr w:type="gramEnd"/>
      <w:r w:rsidR="00C41C82" w:rsidRPr="00601B12">
        <w:rPr>
          <w:rFonts w:ascii="Arial" w:hAnsi="Arial" w:cs="Arial"/>
          <w:color w:val="000000"/>
        </w:rPr>
        <w:t xml:space="preserve"> </w:t>
      </w:r>
      <w:r w:rsidR="00453250">
        <w:rPr>
          <w:rFonts w:ascii="Arial" w:hAnsi="Arial" w:cs="Arial"/>
          <w:color w:val="000000"/>
        </w:rPr>
        <w:t>31 March 202</w:t>
      </w:r>
      <w:r w:rsidR="008D47D9">
        <w:rPr>
          <w:rFonts w:ascii="Arial" w:hAnsi="Arial" w:cs="Arial"/>
          <w:color w:val="000000"/>
        </w:rPr>
        <w:t>2</w:t>
      </w:r>
      <w:r w:rsidR="00B94ECA" w:rsidRPr="00601B12">
        <w:rPr>
          <w:rFonts w:ascii="Arial" w:hAnsi="Arial" w:cs="Arial"/>
          <w:color w:val="000000"/>
        </w:rPr>
        <w:t xml:space="preserve">. </w:t>
      </w:r>
      <w:r w:rsidR="00767E84" w:rsidRPr="00601B12">
        <w:rPr>
          <w:rFonts w:ascii="Arial" w:hAnsi="Arial" w:cs="Arial"/>
          <w:bCs/>
          <w:color w:val="000000"/>
        </w:rPr>
        <w:t>A summary of the employers analysed by scheduled body and admitted body and separated further into active (with active members) and ceased (no active members) is provided below:</w:t>
      </w:r>
    </w:p>
    <w:p w14:paraId="57BC9DAD" w14:textId="79F9CB0A" w:rsidR="00DC64D8" w:rsidRPr="00601B12" w:rsidRDefault="00DC64D8" w:rsidP="0025121F">
      <w:pPr>
        <w:pStyle w:val="ListParagraph"/>
        <w:autoSpaceDE w:val="0"/>
        <w:autoSpaceDN w:val="0"/>
        <w:adjustRightInd w:val="0"/>
        <w:spacing w:after="0" w:line="240" w:lineRule="auto"/>
        <w:ind w:left="426" w:right="568" w:hanging="426"/>
        <w:jc w:val="both"/>
        <w:rPr>
          <w:rFonts w:ascii="Arial" w:hAnsi="Arial" w:cs="Arial"/>
          <w:color w:val="000000"/>
        </w:rPr>
      </w:pPr>
    </w:p>
    <w:tbl>
      <w:tblPr>
        <w:tblW w:w="8773" w:type="dxa"/>
        <w:tblInd w:w="416" w:type="dxa"/>
        <w:tblLook w:val="04A0" w:firstRow="1" w:lastRow="0" w:firstColumn="1" w:lastColumn="0" w:noHBand="0" w:noVBand="1"/>
      </w:tblPr>
      <w:tblGrid>
        <w:gridCol w:w="3842"/>
        <w:gridCol w:w="4931"/>
      </w:tblGrid>
      <w:tr w:rsidR="00B92376" w:rsidRPr="00C67BAB" w14:paraId="6F3D87D5" w14:textId="77777777" w:rsidTr="00B92376">
        <w:trPr>
          <w:trHeight w:val="280"/>
        </w:trPr>
        <w:tc>
          <w:tcPr>
            <w:tcW w:w="3842" w:type="dxa"/>
            <w:tcBorders>
              <w:top w:val="single" w:sz="8" w:space="0" w:color="auto"/>
              <w:left w:val="single" w:sz="8" w:space="0" w:color="auto"/>
              <w:bottom w:val="single" w:sz="12" w:space="0" w:color="auto"/>
              <w:right w:val="single" w:sz="12" w:space="0" w:color="auto"/>
            </w:tcBorders>
            <w:shd w:val="clear" w:color="000000" w:fill="FFFFFF"/>
            <w:noWrap/>
            <w:vAlign w:val="center"/>
            <w:hideMark/>
          </w:tcPr>
          <w:p w14:paraId="0D91AFC1" w14:textId="77777777" w:rsidR="00B92376" w:rsidRPr="00C67BAB" w:rsidRDefault="00B92376" w:rsidP="00A660AD">
            <w:pPr>
              <w:jc w:val="center"/>
              <w:rPr>
                <w:rFonts w:ascii="Arial" w:hAnsi="Arial" w:cs="Arial"/>
                <w:b/>
                <w:bCs/>
                <w:color w:val="000000"/>
                <w:sz w:val="22"/>
                <w:szCs w:val="22"/>
              </w:rPr>
            </w:pPr>
            <w:r w:rsidRPr="00C67BAB">
              <w:rPr>
                <w:rFonts w:ascii="Arial" w:hAnsi="Arial" w:cs="Arial"/>
                <w:b/>
                <w:bCs/>
                <w:color w:val="000000"/>
                <w:sz w:val="22"/>
                <w:szCs w:val="22"/>
              </w:rPr>
              <w:t>Scheduled Bodies</w:t>
            </w:r>
          </w:p>
        </w:tc>
        <w:tc>
          <w:tcPr>
            <w:tcW w:w="4931" w:type="dxa"/>
            <w:tcBorders>
              <w:top w:val="single" w:sz="8" w:space="0" w:color="auto"/>
              <w:left w:val="nil"/>
              <w:bottom w:val="single" w:sz="12" w:space="0" w:color="auto"/>
              <w:right w:val="single" w:sz="8" w:space="0" w:color="auto"/>
            </w:tcBorders>
            <w:shd w:val="clear" w:color="000000" w:fill="FFFFFF"/>
            <w:noWrap/>
            <w:vAlign w:val="center"/>
            <w:hideMark/>
          </w:tcPr>
          <w:p w14:paraId="29103E94" w14:textId="77777777" w:rsidR="00B92376" w:rsidRPr="00C67BAB" w:rsidRDefault="00B92376" w:rsidP="00A660AD">
            <w:pPr>
              <w:jc w:val="center"/>
              <w:rPr>
                <w:rFonts w:ascii="Arial" w:hAnsi="Arial" w:cs="Arial"/>
                <w:b/>
                <w:bCs/>
                <w:color w:val="000000"/>
                <w:sz w:val="22"/>
                <w:szCs w:val="22"/>
              </w:rPr>
            </w:pPr>
            <w:r w:rsidRPr="00C67BAB">
              <w:rPr>
                <w:rFonts w:ascii="Arial" w:hAnsi="Arial" w:cs="Arial"/>
                <w:b/>
                <w:bCs/>
                <w:color w:val="000000"/>
                <w:sz w:val="22"/>
                <w:szCs w:val="22"/>
              </w:rPr>
              <w:t>Admitted Bodies</w:t>
            </w:r>
          </w:p>
        </w:tc>
      </w:tr>
      <w:tr w:rsidR="00D62F6C" w:rsidRPr="00C67BAB" w14:paraId="15D1D7E3" w14:textId="77777777" w:rsidTr="00B92376">
        <w:trPr>
          <w:trHeight w:val="280"/>
        </w:trPr>
        <w:tc>
          <w:tcPr>
            <w:tcW w:w="3842" w:type="dxa"/>
            <w:tcBorders>
              <w:top w:val="nil"/>
              <w:left w:val="single" w:sz="8" w:space="0" w:color="auto"/>
              <w:bottom w:val="nil"/>
              <w:right w:val="single" w:sz="12" w:space="0" w:color="auto"/>
            </w:tcBorders>
            <w:shd w:val="clear" w:color="000000" w:fill="FFFFFF"/>
            <w:noWrap/>
            <w:vAlign w:val="center"/>
            <w:hideMark/>
          </w:tcPr>
          <w:p w14:paraId="2690EEF1" w14:textId="3164C1F0"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LBBD</w:t>
            </w:r>
          </w:p>
        </w:tc>
        <w:tc>
          <w:tcPr>
            <w:tcW w:w="4931" w:type="dxa"/>
            <w:tcBorders>
              <w:top w:val="nil"/>
              <w:left w:val="single" w:sz="8" w:space="0" w:color="auto"/>
              <w:bottom w:val="nil"/>
              <w:right w:val="single" w:sz="8" w:space="0" w:color="auto"/>
            </w:tcBorders>
            <w:shd w:val="clear" w:color="000000" w:fill="FFFFFF"/>
            <w:noWrap/>
            <w:vAlign w:val="center"/>
            <w:hideMark/>
          </w:tcPr>
          <w:p w14:paraId="212B5112" w14:textId="70A16F3F"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Aspens</w:t>
            </w:r>
          </w:p>
        </w:tc>
      </w:tr>
      <w:tr w:rsidR="00D62F6C" w:rsidRPr="00C67BAB" w14:paraId="22CDD7DC"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E53E9B8" w14:textId="62B08800"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Barking College</w:t>
            </w:r>
          </w:p>
        </w:tc>
        <w:tc>
          <w:tcPr>
            <w:tcW w:w="4931" w:type="dxa"/>
            <w:tcBorders>
              <w:top w:val="nil"/>
              <w:left w:val="single" w:sz="8" w:space="0" w:color="auto"/>
              <w:bottom w:val="nil"/>
              <w:right w:val="single" w:sz="8" w:space="0" w:color="auto"/>
            </w:tcBorders>
            <w:shd w:val="clear" w:color="000000" w:fill="FFFFFF"/>
            <w:noWrap/>
            <w:vAlign w:val="center"/>
            <w:hideMark/>
          </w:tcPr>
          <w:p w14:paraId="643A11E8" w14:textId="361DB330"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Aspens 2</w:t>
            </w:r>
          </w:p>
        </w:tc>
      </w:tr>
      <w:tr w:rsidR="00D62F6C" w:rsidRPr="00C67BAB" w14:paraId="5A1CADAD"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4DDEDFF3" w14:textId="2280762E"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Dorothy Barley Academy</w:t>
            </w:r>
          </w:p>
        </w:tc>
        <w:tc>
          <w:tcPr>
            <w:tcW w:w="4931" w:type="dxa"/>
            <w:tcBorders>
              <w:top w:val="nil"/>
              <w:left w:val="single" w:sz="8" w:space="0" w:color="auto"/>
              <w:bottom w:val="nil"/>
              <w:right w:val="single" w:sz="8" w:space="0" w:color="auto"/>
            </w:tcBorders>
            <w:shd w:val="clear" w:color="000000" w:fill="FFFFFF"/>
            <w:noWrap/>
            <w:vAlign w:val="center"/>
            <w:hideMark/>
          </w:tcPr>
          <w:p w14:paraId="7A423CA0" w14:textId="62FE3984"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 xml:space="preserve">Aspens </w:t>
            </w:r>
            <w:r>
              <w:rPr>
                <w:rFonts w:ascii="Arial" w:hAnsi="Arial" w:cs="Arial"/>
                <w:color w:val="000000"/>
                <w:sz w:val="22"/>
                <w:szCs w:val="22"/>
              </w:rPr>
              <w:t>3</w:t>
            </w:r>
          </w:p>
        </w:tc>
      </w:tr>
      <w:tr w:rsidR="00D62F6C" w:rsidRPr="00C67BAB" w14:paraId="1A647C51"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193FA0E3" w14:textId="546EC212"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Eastbury Academy</w:t>
            </w:r>
          </w:p>
        </w:tc>
        <w:tc>
          <w:tcPr>
            <w:tcW w:w="4931" w:type="dxa"/>
            <w:tcBorders>
              <w:top w:val="nil"/>
              <w:left w:val="single" w:sz="8" w:space="0" w:color="auto"/>
              <w:bottom w:val="nil"/>
              <w:right w:val="single" w:sz="8" w:space="0" w:color="auto"/>
            </w:tcBorders>
            <w:shd w:val="clear" w:color="000000" w:fill="FFFFFF"/>
            <w:noWrap/>
            <w:vAlign w:val="center"/>
            <w:hideMark/>
          </w:tcPr>
          <w:p w14:paraId="390BF28A" w14:textId="3EE07851"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B&amp;D Citizen's Advice Bureau</w:t>
            </w:r>
          </w:p>
        </w:tc>
      </w:tr>
      <w:tr w:rsidR="00D62F6C" w:rsidRPr="00C67BAB" w14:paraId="368C3972"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1C01DD49" w14:textId="0DEA3B34"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Elutec</w:t>
            </w:r>
          </w:p>
        </w:tc>
        <w:tc>
          <w:tcPr>
            <w:tcW w:w="4931" w:type="dxa"/>
            <w:tcBorders>
              <w:top w:val="nil"/>
              <w:left w:val="single" w:sz="8" w:space="0" w:color="auto"/>
              <w:bottom w:val="nil"/>
              <w:right w:val="single" w:sz="8" w:space="0" w:color="auto"/>
            </w:tcBorders>
            <w:shd w:val="clear" w:color="000000" w:fill="FFFFFF"/>
            <w:noWrap/>
            <w:vAlign w:val="center"/>
            <w:hideMark/>
          </w:tcPr>
          <w:p w14:paraId="0E92F34B" w14:textId="442B0A6E"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BD Corporate Cleaning</w:t>
            </w:r>
          </w:p>
        </w:tc>
      </w:tr>
      <w:tr w:rsidR="00D62F6C" w:rsidRPr="00C67BAB" w14:paraId="57C90EE0"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3C84A2E8" w14:textId="5F2D58FD" w:rsidR="00D62F6C" w:rsidRPr="00C67BAB" w:rsidRDefault="00D62F6C" w:rsidP="00D62F6C">
            <w:pPr>
              <w:ind w:firstLineChars="100" w:firstLine="220"/>
              <w:rPr>
                <w:rFonts w:ascii="Arial" w:hAnsi="Arial" w:cs="Arial"/>
                <w:color w:val="000000"/>
                <w:sz w:val="22"/>
                <w:szCs w:val="22"/>
              </w:rPr>
            </w:pPr>
            <w:proofErr w:type="spellStart"/>
            <w:r w:rsidRPr="00C67BAB">
              <w:rPr>
                <w:rFonts w:ascii="Arial" w:hAnsi="Arial" w:cs="Arial"/>
                <w:color w:val="000000"/>
                <w:sz w:val="22"/>
                <w:szCs w:val="22"/>
              </w:rPr>
              <w:t>Goresbrook</w:t>
            </w:r>
            <w:proofErr w:type="spellEnd"/>
            <w:r w:rsidRPr="00C67BAB">
              <w:rPr>
                <w:rFonts w:ascii="Arial" w:hAnsi="Arial" w:cs="Arial"/>
                <w:color w:val="000000"/>
                <w:sz w:val="22"/>
                <w:szCs w:val="22"/>
              </w:rPr>
              <w:t xml:space="preserve"> Free School</w:t>
            </w:r>
          </w:p>
        </w:tc>
        <w:tc>
          <w:tcPr>
            <w:tcW w:w="4931" w:type="dxa"/>
            <w:tcBorders>
              <w:top w:val="nil"/>
              <w:left w:val="single" w:sz="8" w:space="0" w:color="auto"/>
              <w:bottom w:val="nil"/>
              <w:right w:val="single" w:sz="8" w:space="0" w:color="auto"/>
            </w:tcBorders>
            <w:shd w:val="clear" w:color="000000" w:fill="FFFFFF"/>
            <w:noWrap/>
            <w:vAlign w:val="center"/>
            <w:hideMark/>
          </w:tcPr>
          <w:p w14:paraId="476A659D" w14:textId="1416A8B2"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BD Schools Improvement Partnership</w:t>
            </w:r>
          </w:p>
        </w:tc>
      </w:tr>
      <w:tr w:rsidR="00D62F6C" w:rsidRPr="00C67BAB" w14:paraId="5AC50CDD"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574C9538" w14:textId="61948CA1" w:rsidR="00D62F6C" w:rsidRPr="00C67BAB" w:rsidRDefault="00D62F6C" w:rsidP="00D62F6C">
            <w:pPr>
              <w:ind w:firstLineChars="100" w:firstLine="220"/>
              <w:rPr>
                <w:rFonts w:ascii="Arial" w:hAnsi="Arial" w:cs="Arial"/>
                <w:color w:val="000000"/>
                <w:sz w:val="22"/>
                <w:szCs w:val="22"/>
              </w:rPr>
            </w:pPr>
            <w:proofErr w:type="spellStart"/>
            <w:r w:rsidRPr="00C67BAB">
              <w:rPr>
                <w:rFonts w:ascii="Arial" w:hAnsi="Arial" w:cs="Arial"/>
                <w:color w:val="000000"/>
                <w:sz w:val="22"/>
                <w:szCs w:val="22"/>
              </w:rPr>
              <w:t>Greatfields</w:t>
            </w:r>
            <w:proofErr w:type="spellEnd"/>
            <w:r w:rsidRPr="00C67BAB">
              <w:rPr>
                <w:rFonts w:ascii="Arial" w:hAnsi="Arial" w:cs="Arial"/>
                <w:color w:val="000000"/>
                <w:sz w:val="22"/>
                <w:szCs w:val="22"/>
              </w:rPr>
              <w:t xml:space="preserve"> Free School</w:t>
            </w:r>
          </w:p>
        </w:tc>
        <w:tc>
          <w:tcPr>
            <w:tcW w:w="4931" w:type="dxa"/>
            <w:tcBorders>
              <w:top w:val="nil"/>
              <w:left w:val="single" w:sz="8" w:space="0" w:color="auto"/>
              <w:bottom w:val="nil"/>
              <w:right w:val="single" w:sz="8" w:space="0" w:color="auto"/>
            </w:tcBorders>
            <w:shd w:val="clear" w:color="000000" w:fill="FFFFFF"/>
            <w:noWrap/>
            <w:vAlign w:val="center"/>
            <w:hideMark/>
          </w:tcPr>
          <w:p w14:paraId="30056A20" w14:textId="2A7D2737"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BD Together</w:t>
            </w:r>
          </w:p>
        </w:tc>
      </w:tr>
      <w:tr w:rsidR="00D62F6C" w:rsidRPr="00C67BAB" w14:paraId="2B1DC0F2"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548B5FD0" w14:textId="3276DC9E"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James Campbell Primary</w:t>
            </w:r>
          </w:p>
        </w:tc>
        <w:tc>
          <w:tcPr>
            <w:tcW w:w="4931" w:type="dxa"/>
            <w:tcBorders>
              <w:top w:val="nil"/>
              <w:left w:val="single" w:sz="8" w:space="0" w:color="auto"/>
              <w:bottom w:val="nil"/>
              <w:right w:val="single" w:sz="8" w:space="0" w:color="auto"/>
            </w:tcBorders>
            <w:shd w:val="clear" w:color="000000" w:fill="FFFFFF"/>
            <w:noWrap/>
            <w:vAlign w:val="center"/>
          </w:tcPr>
          <w:p w14:paraId="01E78D20" w14:textId="6B126934"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Be First</w:t>
            </w:r>
          </w:p>
        </w:tc>
      </w:tr>
      <w:tr w:rsidR="00D62F6C" w:rsidRPr="00C67BAB" w14:paraId="63A39454"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F7FBFDC" w14:textId="675D3A3E"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Partnerships Learning</w:t>
            </w:r>
          </w:p>
        </w:tc>
        <w:tc>
          <w:tcPr>
            <w:tcW w:w="4931" w:type="dxa"/>
            <w:tcBorders>
              <w:top w:val="nil"/>
              <w:left w:val="single" w:sz="8" w:space="0" w:color="auto"/>
              <w:bottom w:val="nil"/>
              <w:right w:val="single" w:sz="8" w:space="0" w:color="auto"/>
            </w:tcBorders>
            <w:shd w:val="clear" w:color="000000" w:fill="FFFFFF"/>
            <w:noWrap/>
            <w:vAlign w:val="center"/>
          </w:tcPr>
          <w:p w14:paraId="52F03163" w14:textId="074C5F62" w:rsidR="00D62F6C" w:rsidRPr="00C67BAB" w:rsidRDefault="00D62F6C" w:rsidP="00D62F6C">
            <w:pPr>
              <w:ind w:firstLineChars="100" w:firstLine="220"/>
              <w:rPr>
                <w:rFonts w:ascii="Arial" w:hAnsi="Arial" w:cs="Arial"/>
                <w:color w:val="000000"/>
                <w:sz w:val="22"/>
                <w:szCs w:val="22"/>
              </w:rPr>
            </w:pPr>
            <w:r>
              <w:rPr>
                <w:rFonts w:ascii="Arial" w:hAnsi="Arial" w:cs="Arial"/>
                <w:color w:val="000000"/>
                <w:sz w:val="22"/>
                <w:szCs w:val="22"/>
              </w:rPr>
              <w:t>BD Trading Partnerships</w:t>
            </w:r>
          </w:p>
        </w:tc>
      </w:tr>
      <w:tr w:rsidR="00D62F6C" w:rsidRPr="00C67BAB" w14:paraId="1343FB4C"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157E53E7" w14:textId="025667DA"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Pathways</w:t>
            </w:r>
          </w:p>
        </w:tc>
        <w:tc>
          <w:tcPr>
            <w:tcW w:w="4931" w:type="dxa"/>
            <w:tcBorders>
              <w:top w:val="nil"/>
              <w:left w:val="single" w:sz="8" w:space="0" w:color="auto"/>
              <w:bottom w:val="nil"/>
              <w:right w:val="single" w:sz="8" w:space="0" w:color="auto"/>
            </w:tcBorders>
            <w:shd w:val="clear" w:color="000000" w:fill="FFFFFF"/>
            <w:noWrap/>
            <w:vAlign w:val="center"/>
          </w:tcPr>
          <w:p w14:paraId="2A658249" w14:textId="04412E42"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BD Management Services</w:t>
            </w:r>
          </w:p>
        </w:tc>
      </w:tr>
      <w:tr w:rsidR="00D62F6C" w:rsidRPr="00C67BAB" w14:paraId="32AB48DD"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320C3EBE" w14:textId="2E4CAA9C"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Riverside Bridge</w:t>
            </w:r>
          </w:p>
        </w:tc>
        <w:tc>
          <w:tcPr>
            <w:tcW w:w="4931" w:type="dxa"/>
            <w:tcBorders>
              <w:top w:val="nil"/>
              <w:left w:val="single" w:sz="8" w:space="0" w:color="auto"/>
              <w:bottom w:val="nil"/>
              <w:right w:val="single" w:sz="8" w:space="0" w:color="auto"/>
            </w:tcBorders>
            <w:shd w:val="clear" w:color="000000" w:fill="FFFFFF"/>
            <w:noWrap/>
            <w:vAlign w:val="center"/>
          </w:tcPr>
          <w:p w14:paraId="1ACFD857" w14:textId="15A0C427"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Caterlink</w:t>
            </w:r>
          </w:p>
        </w:tc>
      </w:tr>
      <w:tr w:rsidR="00D62F6C" w:rsidRPr="00C67BAB" w14:paraId="37FF629E"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70171628" w14:textId="20376F2C"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Riverside Free School</w:t>
            </w:r>
          </w:p>
        </w:tc>
        <w:tc>
          <w:tcPr>
            <w:tcW w:w="4931" w:type="dxa"/>
            <w:tcBorders>
              <w:top w:val="nil"/>
              <w:left w:val="single" w:sz="8" w:space="0" w:color="auto"/>
              <w:bottom w:val="nil"/>
              <w:right w:val="single" w:sz="8" w:space="0" w:color="auto"/>
            </w:tcBorders>
            <w:shd w:val="clear" w:color="000000" w:fill="FFFFFF"/>
            <w:noWrap/>
            <w:vAlign w:val="center"/>
          </w:tcPr>
          <w:p w14:paraId="40B9EE7F" w14:textId="183E5C74" w:rsidR="00D62F6C" w:rsidRPr="00C67BAB" w:rsidRDefault="00D62F6C" w:rsidP="00D62F6C">
            <w:pPr>
              <w:ind w:firstLineChars="100" w:firstLine="220"/>
              <w:rPr>
                <w:rFonts w:ascii="Arial" w:hAnsi="Arial" w:cs="Arial"/>
                <w:color w:val="000000"/>
                <w:sz w:val="22"/>
                <w:szCs w:val="22"/>
              </w:rPr>
            </w:pPr>
            <w:r>
              <w:rPr>
                <w:rFonts w:ascii="Arial" w:hAnsi="Arial" w:cs="Arial"/>
                <w:color w:val="000000"/>
                <w:sz w:val="22"/>
                <w:szCs w:val="22"/>
              </w:rPr>
              <w:t>Caterlink 2</w:t>
            </w:r>
          </w:p>
        </w:tc>
      </w:tr>
      <w:tr w:rsidR="00D62F6C" w:rsidRPr="00C67BAB" w14:paraId="7A47C046"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5B771120" w14:textId="58E3F938"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Riverside School</w:t>
            </w:r>
          </w:p>
        </w:tc>
        <w:tc>
          <w:tcPr>
            <w:tcW w:w="4931" w:type="dxa"/>
            <w:tcBorders>
              <w:top w:val="nil"/>
              <w:left w:val="single" w:sz="8" w:space="0" w:color="auto"/>
              <w:bottom w:val="nil"/>
              <w:right w:val="single" w:sz="8" w:space="0" w:color="auto"/>
            </w:tcBorders>
            <w:shd w:val="clear" w:color="000000" w:fill="FFFFFF"/>
            <w:noWrap/>
            <w:vAlign w:val="center"/>
          </w:tcPr>
          <w:p w14:paraId="01D8EEA4" w14:textId="25D85C21" w:rsidR="00D62F6C" w:rsidRPr="00C67BAB" w:rsidRDefault="00D62F6C" w:rsidP="00D62F6C">
            <w:pPr>
              <w:ind w:firstLineChars="100" w:firstLine="220"/>
              <w:rPr>
                <w:rFonts w:ascii="Arial" w:hAnsi="Arial" w:cs="Arial"/>
                <w:color w:val="000000"/>
                <w:sz w:val="22"/>
                <w:szCs w:val="22"/>
              </w:rPr>
            </w:pPr>
            <w:r>
              <w:rPr>
                <w:rFonts w:ascii="Arial" w:hAnsi="Arial" w:cs="Arial"/>
                <w:color w:val="000000"/>
                <w:sz w:val="22"/>
                <w:szCs w:val="22"/>
              </w:rPr>
              <w:t>Caterlink 3</w:t>
            </w:r>
          </w:p>
        </w:tc>
      </w:tr>
      <w:tr w:rsidR="00D62F6C" w:rsidRPr="00C67BAB" w14:paraId="5114CDE4"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DA82E33" w14:textId="7962C8C9"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St Margarets</w:t>
            </w:r>
          </w:p>
        </w:tc>
        <w:tc>
          <w:tcPr>
            <w:tcW w:w="4931" w:type="dxa"/>
            <w:tcBorders>
              <w:top w:val="nil"/>
              <w:left w:val="single" w:sz="8" w:space="0" w:color="auto"/>
              <w:bottom w:val="nil"/>
              <w:right w:val="single" w:sz="8" w:space="0" w:color="auto"/>
            </w:tcBorders>
            <w:shd w:val="clear" w:color="000000" w:fill="FFFFFF"/>
            <w:noWrap/>
            <w:vAlign w:val="center"/>
          </w:tcPr>
          <w:p w14:paraId="2801332B" w14:textId="286F95C5" w:rsidR="00D62F6C" w:rsidRPr="00C67BAB" w:rsidRDefault="00D62F6C" w:rsidP="00D62F6C">
            <w:pPr>
              <w:ind w:firstLineChars="100" w:firstLine="220"/>
              <w:rPr>
                <w:rFonts w:ascii="Arial" w:hAnsi="Arial" w:cs="Arial"/>
                <w:color w:val="000000"/>
                <w:sz w:val="22"/>
                <w:szCs w:val="22"/>
              </w:rPr>
            </w:pPr>
            <w:r>
              <w:rPr>
                <w:rFonts w:ascii="Arial" w:hAnsi="Arial" w:cs="Arial"/>
                <w:color w:val="000000"/>
                <w:sz w:val="22"/>
                <w:szCs w:val="22"/>
              </w:rPr>
              <w:t>Caterlink 4</w:t>
            </w:r>
          </w:p>
        </w:tc>
      </w:tr>
      <w:tr w:rsidR="00D62F6C" w:rsidRPr="00C67BAB" w14:paraId="66146B89"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62B726E" w14:textId="55963BC2"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St Joseph’s Dagenham</w:t>
            </w:r>
          </w:p>
        </w:tc>
        <w:tc>
          <w:tcPr>
            <w:tcW w:w="4931" w:type="dxa"/>
            <w:tcBorders>
              <w:top w:val="nil"/>
              <w:left w:val="single" w:sz="8" w:space="0" w:color="auto"/>
              <w:bottom w:val="nil"/>
              <w:right w:val="single" w:sz="8" w:space="0" w:color="auto"/>
            </w:tcBorders>
            <w:shd w:val="clear" w:color="000000" w:fill="FFFFFF"/>
            <w:noWrap/>
            <w:vAlign w:val="center"/>
          </w:tcPr>
          <w:p w14:paraId="6BD1AE31" w14:textId="0EFE6A0B"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Cleantech</w:t>
            </w:r>
          </w:p>
        </w:tc>
      </w:tr>
      <w:tr w:rsidR="00D62F6C" w:rsidRPr="00C67BAB" w14:paraId="7B7E163C"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386E499A" w14:textId="572EFDF2"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 xml:space="preserve">St Joseph’s Barking </w:t>
            </w:r>
          </w:p>
        </w:tc>
        <w:tc>
          <w:tcPr>
            <w:tcW w:w="4931" w:type="dxa"/>
            <w:tcBorders>
              <w:top w:val="nil"/>
              <w:left w:val="single" w:sz="8" w:space="0" w:color="auto"/>
              <w:bottom w:val="nil"/>
              <w:right w:val="single" w:sz="8" w:space="0" w:color="auto"/>
            </w:tcBorders>
            <w:shd w:val="clear" w:color="000000" w:fill="FFFFFF"/>
            <w:noWrap/>
            <w:vAlign w:val="center"/>
          </w:tcPr>
          <w:p w14:paraId="7A0A62D2" w14:textId="4157B994"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Lewis and Graves</w:t>
            </w:r>
          </w:p>
        </w:tc>
      </w:tr>
      <w:tr w:rsidR="00D62F6C" w:rsidRPr="00C67BAB" w14:paraId="7720FBF5"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F27F70E" w14:textId="2FB797DF"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St Theresa’s Dagenham</w:t>
            </w:r>
          </w:p>
        </w:tc>
        <w:tc>
          <w:tcPr>
            <w:tcW w:w="4931" w:type="dxa"/>
            <w:tcBorders>
              <w:top w:val="nil"/>
              <w:left w:val="single" w:sz="8" w:space="0" w:color="auto"/>
              <w:bottom w:val="nil"/>
              <w:right w:val="single" w:sz="8" w:space="0" w:color="auto"/>
            </w:tcBorders>
            <w:shd w:val="clear" w:color="000000" w:fill="FFFFFF"/>
            <w:noWrap/>
            <w:vAlign w:val="center"/>
          </w:tcPr>
          <w:p w14:paraId="2B3DA649" w14:textId="3F4EFB28" w:rsidR="00D62F6C" w:rsidRPr="00C67BAB" w:rsidRDefault="00D62F6C" w:rsidP="00D62F6C">
            <w:pPr>
              <w:ind w:firstLineChars="100" w:firstLine="220"/>
              <w:rPr>
                <w:rFonts w:ascii="Arial" w:hAnsi="Arial" w:cs="Arial"/>
                <w:color w:val="000000"/>
                <w:sz w:val="22"/>
                <w:szCs w:val="22"/>
              </w:rPr>
            </w:pPr>
            <w:r>
              <w:rPr>
                <w:rFonts w:ascii="Arial" w:hAnsi="Arial" w:cs="Arial"/>
                <w:color w:val="000000"/>
                <w:sz w:val="22"/>
                <w:szCs w:val="22"/>
              </w:rPr>
              <w:t>Pantry Catering</w:t>
            </w:r>
          </w:p>
        </w:tc>
      </w:tr>
      <w:tr w:rsidR="00D62F6C" w:rsidRPr="00C67BAB" w14:paraId="06B6B86C"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476EE41C" w14:textId="0084649A"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Sydney Russell Academy</w:t>
            </w:r>
          </w:p>
        </w:tc>
        <w:tc>
          <w:tcPr>
            <w:tcW w:w="4931" w:type="dxa"/>
            <w:tcBorders>
              <w:top w:val="nil"/>
              <w:left w:val="single" w:sz="8" w:space="0" w:color="auto"/>
              <w:bottom w:val="nil"/>
              <w:right w:val="single" w:sz="8" w:space="0" w:color="auto"/>
            </w:tcBorders>
            <w:shd w:val="clear" w:color="000000" w:fill="FFFFFF"/>
            <w:noWrap/>
            <w:vAlign w:val="center"/>
          </w:tcPr>
          <w:p w14:paraId="0431D4A0" w14:textId="07864B7B"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Schools Offices Services Ltd</w:t>
            </w:r>
          </w:p>
        </w:tc>
      </w:tr>
      <w:tr w:rsidR="00D62F6C" w:rsidRPr="00C67BAB" w14:paraId="788D860E"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ACDC6DA" w14:textId="05873147"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Thames View Infants Academy</w:t>
            </w:r>
          </w:p>
        </w:tc>
        <w:tc>
          <w:tcPr>
            <w:tcW w:w="4931" w:type="dxa"/>
            <w:tcBorders>
              <w:top w:val="nil"/>
              <w:left w:val="single" w:sz="8" w:space="0" w:color="auto"/>
              <w:bottom w:val="nil"/>
              <w:right w:val="single" w:sz="8" w:space="0" w:color="auto"/>
            </w:tcBorders>
            <w:shd w:val="clear" w:color="000000" w:fill="FFFFFF"/>
            <w:noWrap/>
            <w:vAlign w:val="center"/>
          </w:tcPr>
          <w:p w14:paraId="335254D7" w14:textId="14F3CDF4"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 xml:space="preserve">Sports Leisure Management </w:t>
            </w:r>
          </w:p>
        </w:tc>
      </w:tr>
      <w:tr w:rsidR="00D62F6C" w:rsidRPr="00C67BAB" w14:paraId="015F8E16"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685CD200" w14:textId="1ED3FC7B"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 xml:space="preserve">Thames View Junior Academy </w:t>
            </w:r>
          </w:p>
        </w:tc>
        <w:tc>
          <w:tcPr>
            <w:tcW w:w="4931" w:type="dxa"/>
            <w:tcBorders>
              <w:top w:val="nil"/>
              <w:left w:val="single" w:sz="8" w:space="0" w:color="auto"/>
              <w:bottom w:val="nil"/>
              <w:right w:val="single" w:sz="8" w:space="0" w:color="auto"/>
            </w:tcBorders>
            <w:shd w:val="clear" w:color="000000" w:fill="FFFFFF"/>
            <w:noWrap/>
            <w:vAlign w:val="center"/>
          </w:tcPr>
          <w:p w14:paraId="4BF14136" w14:textId="3044400A" w:rsidR="00D62F6C" w:rsidRPr="00C67BAB" w:rsidRDefault="00D62F6C" w:rsidP="00D62F6C">
            <w:pPr>
              <w:ind w:firstLineChars="100" w:firstLine="220"/>
              <w:rPr>
                <w:rFonts w:ascii="Arial" w:hAnsi="Arial" w:cs="Arial"/>
                <w:color w:val="000000"/>
                <w:sz w:val="22"/>
                <w:szCs w:val="22"/>
              </w:rPr>
            </w:pPr>
            <w:r w:rsidRPr="00C67BAB">
              <w:rPr>
                <w:rFonts w:ascii="Arial" w:hAnsi="Arial" w:cs="Arial"/>
                <w:color w:val="000000"/>
                <w:sz w:val="22"/>
                <w:szCs w:val="22"/>
              </w:rPr>
              <w:t>The Broadway Theatre</w:t>
            </w:r>
          </w:p>
        </w:tc>
      </w:tr>
      <w:tr w:rsidR="00657F2E" w:rsidRPr="00C67BAB" w14:paraId="5A47E656"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49DA90D2" w14:textId="525D795A"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University of East London</w:t>
            </w:r>
          </w:p>
        </w:tc>
        <w:tc>
          <w:tcPr>
            <w:tcW w:w="4931" w:type="dxa"/>
            <w:tcBorders>
              <w:top w:val="nil"/>
              <w:left w:val="single" w:sz="8" w:space="0" w:color="auto"/>
              <w:bottom w:val="nil"/>
              <w:right w:val="single" w:sz="8" w:space="0" w:color="auto"/>
            </w:tcBorders>
            <w:shd w:val="clear" w:color="000000" w:fill="FFFFFF"/>
            <w:noWrap/>
            <w:vAlign w:val="center"/>
          </w:tcPr>
          <w:p w14:paraId="60F2B649" w14:textId="28D58660"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Town and Country Cleaners</w:t>
            </w:r>
          </w:p>
        </w:tc>
      </w:tr>
      <w:tr w:rsidR="00657F2E" w:rsidRPr="00C67BAB" w14:paraId="41E42FEC"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135C4697" w14:textId="53C4BAB2"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Warren Academy</w:t>
            </w:r>
          </w:p>
        </w:tc>
        <w:tc>
          <w:tcPr>
            <w:tcW w:w="4931" w:type="dxa"/>
            <w:tcBorders>
              <w:top w:val="nil"/>
              <w:left w:val="single" w:sz="8" w:space="0" w:color="auto"/>
              <w:bottom w:val="nil"/>
              <w:right w:val="single" w:sz="8" w:space="0" w:color="auto"/>
            </w:tcBorders>
            <w:shd w:val="clear" w:color="000000" w:fill="FFFFFF"/>
            <w:noWrap/>
            <w:vAlign w:val="center"/>
          </w:tcPr>
          <w:p w14:paraId="560CBE0F" w14:textId="77777777" w:rsidR="00657F2E" w:rsidRPr="00C67BAB" w:rsidRDefault="00657F2E" w:rsidP="00657F2E">
            <w:pPr>
              <w:ind w:firstLineChars="100" w:firstLine="220"/>
              <w:rPr>
                <w:rFonts w:ascii="Arial" w:hAnsi="Arial" w:cs="Arial"/>
                <w:color w:val="000000"/>
                <w:sz w:val="22"/>
                <w:szCs w:val="22"/>
              </w:rPr>
            </w:pPr>
          </w:p>
        </w:tc>
      </w:tr>
      <w:tr w:rsidR="00657F2E" w:rsidRPr="00C67BAB" w14:paraId="0062E86F"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tcPr>
          <w:p w14:paraId="4B3899D0" w14:textId="77777777" w:rsidR="00657F2E" w:rsidRPr="00C67BAB" w:rsidRDefault="00657F2E" w:rsidP="00657F2E">
            <w:pPr>
              <w:ind w:firstLineChars="100" w:firstLine="221"/>
              <w:rPr>
                <w:rFonts w:ascii="Arial" w:hAnsi="Arial" w:cs="Arial"/>
                <w:b/>
                <w:bCs/>
                <w:color w:val="000000"/>
                <w:sz w:val="22"/>
                <w:szCs w:val="22"/>
              </w:rPr>
            </w:pPr>
          </w:p>
        </w:tc>
        <w:tc>
          <w:tcPr>
            <w:tcW w:w="4931" w:type="dxa"/>
            <w:tcBorders>
              <w:top w:val="nil"/>
              <w:left w:val="single" w:sz="8" w:space="0" w:color="auto"/>
              <w:bottom w:val="nil"/>
              <w:right w:val="single" w:sz="8" w:space="0" w:color="auto"/>
            </w:tcBorders>
            <w:shd w:val="clear" w:color="000000" w:fill="FFFFFF"/>
            <w:noWrap/>
            <w:vAlign w:val="center"/>
          </w:tcPr>
          <w:p w14:paraId="55718E0A" w14:textId="77777777" w:rsidR="00657F2E" w:rsidRPr="00C67BAB" w:rsidRDefault="00657F2E" w:rsidP="00657F2E">
            <w:pPr>
              <w:ind w:firstLineChars="100" w:firstLine="221"/>
              <w:rPr>
                <w:rFonts w:ascii="Arial" w:hAnsi="Arial" w:cs="Arial"/>
                <w:b/>
                <w:bCs/>
                <w:color w:val="000000"/>
                <w:sz w:val="22"/>
                <w:szCs w:val="22"/>
              </w:rPr>
            </w:pPr>
          </w:p>
        </w:tc>
      </w:tr>
      <w:tr w:rsidR="00657F2E" w:rsidRPr="00C67BAB" w14:paraId="763F350E"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tcPr>
          <w:p w14:paraId="6A0F4ED8" w14:textId="36D0ED0B" w:rsidR="00657F2E" w:rsidRPr="00C67BAB" w:rsidRDefault="00657F2E" w:rsidP="00657F2E">
            <w:pPr>
              <w:ind w:firstLineChars="100" w:firstLine="221"/>
              <w:rPr>
                <w:rFonts w:ascii="Arial" w:hAnsi="Arial" w:cs="Arial"/>
                <w:b/>
                <w:bCs/>
                <w:color w:val="000000"/>
                <w:sz w:val="22"/>
                <w:szCs w:val="22"/>
              </w:rPr>
            </w:pPr>
            <w:r w:rsidRPr="00C67BAB">
              <w:rPr>
                <w:rFonts w:ascii="Arial" w:hAnsi="Arial" w:cs="Arial"/>
                <w:b/>
                <w:bCs/>
                <w:color w:val="000000"/>
                <w:sz w:val="22"/>
                <w:szCs w:val="22"/>
              </w:rPr>
              <w:t>Not Active</w:t>
            </w:r>
          </w:p>
        </w:tc>
        <w:tc>
          <w:tcPr>
            <w:tcW w:w="4931" w:type="dxa"/>
            <w:tcBorders>
              <w:top w:val="nil"/>
              <w:left w:val="single" w:sz="8" w:space="0" w:color="auto"/>
              <w:bottom w:val="nil"/>
              <w:right w:val="single" w:sz="8" w:space="0" w:color="auto"/>
            </w:tcBorders>
            <w:shd w:val="clear" w:color="000000" w:fill="FFFFFF"/>
            <w:noWrap/>
            <w:vAlign w:val="center"/>
          </w:tcPr>
          <w:p w14:paraId="685093B3" w14:textId="77777777" w:rsidR="00657F2E" w:rsidRPr="00C67BAB" w:rsidRDefault="00657F2E" w:rsidP="00657F2E">
            <w:pPr>
              <w:ind w:firstLineChars="100" w:firstLine="221"/>
              <w:rPr>
                <w:rFonts w:ascii="Arial" w:hAnsi="Arial" w:cs="Arial"/>
                <w:b/>
                <w:bCs/>
                <w:color w:val="000000"/>
                <w:sz w:val="22"/>
                <w:szCs w:val="22"/>
              </w:rPr>
            </w:pPr>
            <w:r w:rsidRPr="00C67BAB">
              <w:rPr>
                <w:rFonts w:ascii="Arial" w:hAnsi="Arial" w:cs="Arial"/>
                <w:b/>
                <w:bCs/>
                <w:color w:val="000000"/>
                <w:sz w:val="22"/>
                <w:szCs w:val="22"/>
              </w:rPr>
              <w:t>Not Active</w:t>
            </w:r>
          </w:p>
        </w:tc>
      </w:tr>
      <w:tr w:rsidR="00657F2E" w:rsidRPr="00C67BAB" w14:paraId="69F9B8B4"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71E36407" w14:textId="33313133" w:rsidR="00657F2E" w:rsidRPr="00C67BAB" w:rsidRDefault="00657F2E" w:rsidP="00657F2E">
            <w:pPr>
              <w:ind w:firstLineChars="100" w:firstLine="220"/>
              <w:rPr>
                <w:rFonts w:ascii="Arial" w:hAnsi="Arial" w:cs="Arial"/>
                <w:b/>
                <w:bCs/>
                <w:color w:val="000000"/>
                <w:sz w:val="22"/>
                <w:szCs w:val="22"/>
              </w:rPr>
            </w:pPr>
            <w:r w:rsidRPr="00C67BAB">
              <w:rPr>
                <w:rFonts w:ascii="Arial" w:hAnsi="Arial" w:cs="Arial"/>
                <w:color w:val="000000"/>
                <w:sz w:val="22"/>
                <w:szCs w:val="22"/>
              </w:rPr>
              <w:t>Magistrates Court (not active)</w:t>
            </w:r>
          </w:p>
        </w:tc>
        <w:tc>
          <w:tcPr>
            <w:tcW w:w="4931" w:type="dxa"/>
            <w:tcBorders>
              <w:top w:val="nil"/>
              <w:left w:val="single" w:sz="8" w:space="0" w:color="auto"/>
              <w:bottom w:val="nil"/>
              <w:right w:val="single" w:sz="8" w:space="0" w:color="auto"/>
            </w:tcBorders>
            <w:shd w:val="clear" w:color="000000" w:fill="FFFFFF"/>
            <w:noWrap/>
            <w:vAlign w:val="center"/>
            <w:hideMark/>
          </w:tcPr>
          <w:p w14:paraId="3B8149D1" w14:textId="77777777" w:rsidR="00657F2E" w:rsidRPr="00C67BAB" w:rsidRDefault="00657F2E" w:rsidP="00657F2E">
            <w:pPr>
              <w:ind w:firstLineChars="100" w:firstLine="220"/>
              <w:rPr>
                <w:rFonts w:ascii="Arial" w:hAnsi="Arial" w:cs="Arial"/>
                <w:b/>
                <w:bCs/>
                <w:color w:val="000000"/>
                <w:sz w:val="22"/>
                <w:szCs w:val="22"/>
              </w:rPr>
            </w:pPr>
            <w:r w:rsidRPr="00C67BAB">
              <w:rPr>
                <w:rFonts w:ascii="Arial" w:hAnsi="Arial" w:cs="Arial"/>
                <w:color w:val="000000"/>
                <w:sz w:val="22"/>
                <w:szCs w:val="22"/>
              </w:rPr>
              <w:t>Abbeyfield Barking Society (not active)</w:t>
            </w:r>
          </w:p>
        </w:tc>
      </w:tr>
      <w:tr w:rsidR="00657F2E" w:rsidRPr="00C67BAB" w14:paraId="394C04EC"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tcPr>
          <w:p w14:paraId="2C2FD32B" w14:textId="1B9639BD" w:rsidR="00657F2E" w:rsidRPr="00C67BAB" w:rsidRDefault="00657F2E" w:rsidP="00657F2E">
            <w:pPr>
              <w:ind w:firstLineChars="100" w:firstLine="220"/>
              <w:rPr>
                <w:rFonts w:ascii="Arial" w:hAnsi="Arial" w:cs="Arial"/>
                <w:color w:val="000000"/>
                <w:sz w:val="22"/>
                <w:szCs w:val="22"/>
              </w:rPr>
            </w:pPr>
          </w:p>
        </w:tc>
        <w:tc>
          <w:tcPr>
            <w:tcW w:w="4931" w:type="dxa"/>
            <w:tcBorders>
              <w:top w:val="nil"/>
              <w:left w:val="single" w:sz="8" w:space="0" w:color="auto"/>
              <w:bottom w:val="nil"/>
              <w:right w:val="single" w:sz="8" w:space="0" w:color="auto"/>
            </w:tcBorders>
            <w:shd w:val="clear" w:color="000000" w:fill="FFFFFF"/>
            <w:noWrap/>
            <w:vAlign w:val="center"/>
            <w:hideMark/>
          </w:tcPr>
          <w:p w14:paraId="41C4E32D"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Age UK (not active)</w:t>
            </w:r>
          </w:p>
        </w:tc>
      </w:tr>
      <w:tr w:rsidR="00657F2E" w:rsidRPr="00C67BAB" w14:paraId="61401BC2"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3465A7D4"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3AE43E8B"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Council for Voluntary Service (not active)</w:t>
            </w:r>
          </w:p>
        </w:tc>
      </w:tr>
      <w:tr w:rsidR="00657F2E" w:rsidRPr="00C67BAB" w14:paraId="566CAED9"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7375C355"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07D37643"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Disablement Assoc. of B&amp;D (not active)</w:t>
            </w:r>
          </w:p>
        </w:tc>
      </w:tr>
      <w:tr w:rsidR="00657F2E" w:rsidRPr="00C67BAB" w14:paraId="5F02222F"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27C91C0"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1FF04134"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East London E-Learning (not active)</w:t>
            </w:r>
          </w:p>
        </w:tc>
      </w:tr>
      <w:tr w:rsidR="00657F2E" w:rsidRPr="00C67BAB" w14:paraId="7933B6E2"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6FE64B0D"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70DA13BA"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London Riverside (not active)</w:t>
            </w:r>
          </w:p>
        </w:tc>
      </w:tr>
      <w:tr w:rsidR="00657F2E" w:rsidRPr="00C67BAB" w14:paraId="77C3AC3D"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4FFC0718"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12A8FB76"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 xml:space="preserve">Laing O'Rourke </w:t>
            </w:r>
          </w:p>
        </w:tc>
      </w:tr>
      <w:tr w:rsidR="00657F2E" w:rsidRPr="00C67BAB" w14:paraId="021B2AFD" w14:textId="77777777" w:rsidTr="00B92376">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8B3A037"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tcPr>
          <w:p w14:paraId="0E1621CB"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May Gurney (not active)</w:t>
            </w:r>
          </w:p>
        </w:tc>
      </w:tr>
      <w:tr w:rsidR="00657F2E" w:rsidRPr="00C67BAB" w14:paraId="07761FAA" w14:textId="77777777" w:rsidTr="00B92376">
        <w:trPr>
          <w:trHeight w:val="280"/>
        </w:trPr>
        <w:tc>
          <w:tcPr>
            <w:tcW w:w="3842" w:type="dxa"/>
            <w:tcBorders>
              <w:top w:val="nil"/>
              <w:left w:val="single" w:sz="8" w:space="0" w:color="auto"/>
              <w:bottom w:val="single" w:sz="4" w:space="0" w:color="auto"/>
              <w:right w:val="single" w:sz="12" w:space="0" w:color="auto"/>
            </w:tcBorders>
            <w:shd w:val="clear" w:color="000000" w:fill="FFFFFF"/>
            <w:noWrap/>
            <w:vAlign w:val="center"/>
            <w:hideMark/>
          </w:tcPr>
          <w:p w14:paraId="674CCEE6"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single" w:sz="8" w:space="0" w:color="auto"/>
              <w:right w:val="single" w:sz="8" w:space="0" w:color="auto"/>
            </w:tcBorders>
            <w:shd w:val="clear" w:color="000000" w:fill="FFFFFF"/>
            <w:noWrap/>
            <w:vAlign w:val="center"/>
          </w:tcPr>
          <w:p w14:paraId="08AA4718" w14:textId="77777777" w:rsidR="00657F2E" w:rsidRPr="00C67BAB" w:rsidRDefault="00657F2E" w:rsidP="00657F2E">
            <w:pPr>
              <w:ind w:firstLineChars="100" w:firstLine="220"/>
              <w:rPr>
                <w:rFonts w:ascii="Arial" w:hAnsi="Arial" w:cs="Arial"/>
                <w:color w:val="000000"/>
                <w:sz w:val="22"/>
                <w:szCs w:val="22"/>
              </w:rPr>
            </w:pPr>
            <w:r w:rsidRPr="00C67BAB">
              <w:rPr>
                <w:rFonts w:ascii="Arial" w:hAnsi="Arial" w:cs="Arial"/>
                <w:color w:val="000000"/>
                <w:sz w:val="22"/>
                <w:szCs w:val="22"/>
              </w:rPr>
              <w:t>RM Education (not active)</w:t>
            </w:r>
          </w:p>
        </w:tc>
      </w:tr>
    </w:tbl>
    <w:p w14:paraId="7EEF2CA0" w14:textId="77777777" w:rsidR="00DC64D8" w:rsidRPr="00E35F96" w:rsidRDefault="00DC64D8" w:rsidP="00E35F96">
      <w:pPr>
        <w:autoSpaceDE w:val="0"/>
        <w:autoSpaceDN w:val="0"/>
        <w:adjustRightInd w:val="0"/>
        <w:ind w:right="568"/>
        <w:jc w:val="both"/>
        <w:rPr>
          <w:rFonts w:ascii="Arial" w:hAnsi="Arial" w:cs="Arial"/>
          <w:color w:val="000000"/>
        </w:rPr>
      </w:pPr>
    </w:p>
    <w:p w14:paraId="6D1624D3" w14:textId="77777777" w:rsidR="00C41C82" w:rsidRPr="00E35F96" w:rsidRDefault="00F536EE" w:rsidP="00E35F96">
      <w:pPr>
        <w:autoSpaceDE w:val="0"/>
        <w:autoSpaceDN w:val="0"/>
        <w:adjustRightInd w:val="0"/>
        <w:ind w:left="426" w:hanging="426"/>
        <w:rPr>
          <w:rFonts w:ascii="Arial" w:hAnsi="Arial" w:cs="Arial"/>
          <w:b/>
          <w:bCs/>
          <w:color w:val="000000"/>
        </w:rPr>
      </w:pPr>
      <w:r w:rsidRPr="00E35F96">
        <w:rPr>
          <w:rFonts w:ascii="Arial" w:hAnsi="Arial" w:cs="Arial"/>
          <w:b/>
          <w:bCs/>
          <w:color w:val="000000"/>
          <w:sz w:val="22"/>
          <w:szCs w:val="22"/>
        </w:rPr>
        <w:t>7</w:t>
      </w:r>
      <w:r w:rsidR="00C41C82" w:rsidRPr="00E35F96">
        <w:rPr>
          <w:rFonts w:ascii="Arial" w:hAnsi="Arial" w:cs="Arial"/>
          <w:b/>
          <w:bCs/>
          <w:color w:val="000000"/>
          <w:sz w:val="22"/>
          <w:szCs w:val="22"/>
        </w:rPr>
        <w:t>.</w:t>
      </w:r>
      <w:r w:rsidR="004146ED" w:rsidRPr="00E35F96">
        <w:rPr>
          <w:rFonts w:ascii="Arial" w:hAnsi="Arial" w:cs="Arial"/>
          <w:b/>
          <w:bCs/>
          <w:color w:val="000000"/>
          <w:sz w:val="22"/>
          <w:szCs w:val="22"/>
        </w:rPr>
        <w:t>6</w:t>
      </w:r>
      <w:r w:rsidR="00C41C82" w:rsidRPr="00E35F96">
        <w:rPr>
          <w:rFonts w:ascii="Arial" w:hAnsi="Arial" w:cs="Arial"/>
          <w:b/>
          <w:bCs/>
          <w:color w:val="000000"/>
          <w:sz w:val="22"/>
          <w:szCs w:val="22"/>
        </w:rPr>
        <w:tab/>
        <w:t>Summary of Benefits</w:t>
      </w:r>
    </w:p>
    <w:p w14:paraId="6D1624D4" w14:textId="77777777" w:rsidR="00C41C82" w:rsidRPr="00601B12" w:rsidRDefault="00C41C82" w:rsidP="0025121F">
      <w:pPr>
        <w:autoSpaceDE w:val="0"/>
        <w:autoSpaceDN w:val="0"/>
        <w:adjustRightInd w:val="0"/>
        <w:ind w:left="426" w:right="568" w:hanging="426"/>
        <w:jc w:val="both"/>
        <w:rPr>
          <w:rFonts w:ascii="Arial" w:hAnsi="Arial" w:cs="Arial"/>
          <w:b/>
          <w:bCs/>
          <w:color w:val="000000"/>
          <w:sz w:val="22"/>
          <w:szCs w:val="22"/>
        </w:rPr>
      </w:pPr>
    </w:p>
    <w:p w14:paraId="6D1624D5" w14:textId="21678E1A" w:rsidR="00C41C82" w:rsidRDefault="00EF47C8" w:rsidP="0025121F">
      <w:pPr>
        <w:autoSpaceDE w:val="0"/>
        <w:autoSpaceDN w:val="0"/>
        <w:adjustRightInd w:val="0"/>
        <w:ind w:left="426" w:right="568"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The Scheme is a defined benefit salary scheme which guarantees to provide benefits which are a specified fraction of a Scheme member’s “</w:t>
      </w:r>
      <w:proofErr w:type="gramStart"/>
      <w:r w:rsidR="00C41C82" w:rsidRPr="00601B12">
        <w:rPr>
          <w:rFonts w:ascii="Arial" w:hAnsi="Arial" w:cs="Arial"/>
          <w:color w:val="000000"/>
          <w:sz w:val="22"/>
          <w:szCs w:val="22"/>
        </w:rPr>
        <w:t>final-pay</w:t>
      </w:r>
      <w:proofErr w:type="gramEnd"/>
      <w:r w:rsidR="00C41C82" w:rsidRPr="00601B12">
        <w:rPr>
          <w:rFonts w:ascii="Arial" w:hAnsi="Arial" w:cs="Arial"/>
          <w:color w:val="000000"/>
          <w:sz w:val="22"/>
          <w:szCs w:val="22"/>
        </w:rPr>
        <w:t>”. Benefits are not affected by variations in investment performance.</w:t>
      </w:r>
    </w:p>
    <w:p w14:paraId="1CC351C4" w14:textId="77777777" w:rsidR="00A951BE" w:rsidRPr="00601B12" w:rsidRDefault="00A951BE" w:rsidP="0025121F">
      <w:pPr>
        <w:autoSpaceDE w:val="0"/>
        <w:autoSpaceDN w:val="0"/>
        <w:adjustRightInd w:val="0"/>
        <w:ind w:left="426" w:right="568" w:hanging="426"/>
        <w:jc w:val="both"/>
        <w:rPr>
          <w:rFonts w:ascii="Arial" w:hAnsi="Arial" w:cs="Arial"/>
          <w:color w:val="000000"/>
          <w:sz w:val="22"/>
          <w:szCs w:val="22"/>
        </w:rPr>
      </w:pPr>
    </w:p>
    <w:p w14:paraId="6D1624D6" w14:textId="77777777" w:rsidR="00C41C82" w:rsidRPr="00601B12" w:rsidRDefault="00C41C82" w:rsidP="0025121F">
      <w:pPr>
        <w:autoSpaceDE w:val="0"/>
        <w:autoSpaceDN w:val="0"/>
        <w:adjustRightInd w:val="0"/>
        <w:ind w:left="426" w:right="568" w:hanging="426"/>
        <w:jc w:val="both"/>
        <w:rPr>
          <w:rFonts w:ascii="Arial" w:hAnsi="Arial" w:cs="Arial"/>
          <w:color w:val="000000"/>
          <w:sz w:val="22"/>
          <w:szCs w:val="22"/>
        </w:rPr>
      </w:pPr>
    </w:p>
    <w:p w14:paraId="6D1624D7" w14:textId="77777777" w:rsidR="00C41C82" w:rsidRPr="00601B12" w:rsidRDefault="00F536EE" w:rsidP="0025121F">
      <w:pPr>
        <w:pStyle w:val="ListParagraph"/>
        <w:autoSpaceDE w:val="0"/>
        <w:autoSpaceDN w:val="0"/>
        <w:adjustRightInd w:val="0"/>
        <w:spacing w:after="0" w:line="240" w:lineRule="auto"/>
        <w:ind w:left="426" w:right="568" w:hanging="426"/>
        <w:jc w:val="both"/>
        <w:rPr>
          <w:rFonts w:ascii="Arial" w:hAnsi="Arial" w:cs="Arial"/>
          <w:b/>
          <w:bCs/>
          <w:color w:val="000000"/>
        </w:rPr>
      </w:pPr>
      <w:r w:rsidRPr="00601B12">
        <w:rPr>
          <w:rFonts w:ascii="Arial" w:hAnsi="Arial" w:cs="Arial"/>
          <w:b/>
          <w:bCs/>
          <w:color w:val="000000"/>
        </w:rPr>
        <w:t>7</w:t>
      </w:r>
      <w:r w:rsidR="00C41C82" w:rsidRPr="00601B12">
        <w:rPr>
          <w:rFonts w:ascii="Arial" w:hAnsi="Arial" w:cs="Arial"/>
          <w:b/>
          <w:bCs/>
          <w:color w:val="000000"/>
        </w:rPr>
        <w:t>.</w:t>
      </w:r>
      <w:r w:rsidR="004146ED" w:rsidRPr="00601B12">
        <w:rPr>
          <w:rFonts w:ascii="Arial" w:hAnsi="Arial" w:cs="Arial"/>
          <w:b/>
          <w:bCs/>
          <w:color w:val="000000"/>
        </w:rPr>
        <w:t>7</w:t>
      </w:r>
      <w:r w:rsidR="00C41C82" w:rsidRPr="00601B12">
        <w:rPr>
          <w:rFonts w:ascii="Arial" w:hAnsi="Arial" w:cs="Arial"/>
          <w:b/>
          <w:bCs/>
          <w:color w:val="000000"/>
        </w:rPr>
        <w:tab/>
        <w:t>Additional Voluntary Contributions AVC</w:t>
      </w:r>
    </w:p>
    <w:p w14:paraId="6D1624D8" w14:textId="77777777" w:rsidR="00C41C82" w:rsidRPr="00601B12" w:rsidRDefault="00C41C82" w:rsidP="0025121F">
      <w:pPr>
        <w:autoSpaceDE w:val="0"/>
        <w:autoSpaceDN w:val="0"/>
        <w:adjustRightInd w:val="0"/>
        <w:ind w:left="426" w:right="568" w:hanging="426"/>
        <w:jc w:val="both"/>
        <w:rPr>
          <w:rFonts w:ascii="Arial" w:hAnsi="Arial" w:cs="Arial"/>
          <w:b/>
          <w:bCs/>
          <w:color w:val="000000"/>
          <w:sz w:val="22"/>
          <w:szCs w:val="22"/>
        </w:rPr>
      </w:pPr>
    </w:p>
    <w:p w14:paraId="1D363C7B" w14:textId="1BA23E2D" w:rsidR="00B15328" w:rsidRDefault="00EF47C8">
      <w:pPr>
        <w:autoSpaceDE w:val="0"/>
        <w:autoSpaceDN w:val="0"/>
        <w:adjustRightInd w:val="0"/>
        <w:ind w:left="426" w:right="568"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Scheme members may also elect to pay additional contributions to be invested in an Additional Voluntary Contribution Scheme. The London Borough of Barking and Dagenham have chosen Prudential as its AVC provider.</w:t>
      </w:r>
    </w:p>
    <w:p w14:paraId="3A3802EA" w14:textId="77777777" w:rsidR="00371166" w:rsidRDefault="00371166">
      <w:pPr>
        <w:autoSpaceDE w:val="0"/>
        <w:autoSpaceDN w:val="0"/>
        <w:adjustRightInd w:val="0"/>
        <w:ind w:left="426" w:right="568" w:hanging="426"/>
        <w:jc w:val="both"/>
        <w:rPr>
          <w:rFonts w:ascii="Arial" w:hAnsi="Arial" w:cs="Arial"/>
          <w:color w:val="000000"/>
          <w:sz w:val="22"/>
          <w:szCs w:val="22"/>
        </w:rPr>
      </w:pPr>
    </w:p>
    <w:p w14:paraId="02EA09F9" w14:textId="77777777" w:rsidR="00B42248" w:rsidRDefault="00B42248">
      <w:pPr>
        <w:autoSpaceDE w:val="0"/>
        <w:autoSpaceDN w:val="0"/>
        <w:adjustRightInd w:val="0"/>
        <w:ind w:left="426" w:right="568" w:hanging="426"/>
        <w:jc w:val="both"/>
        <w:rPr>
          <w:rFonts w:ascii="Arial" w:hAnsi="Arial" w:cs="Arial"/>
          <w:color w:val="000000"/>
          <w:sz w:val="22"/>
          <w:szCs w:val="22"/>
        </w:rPr>
      </w:pPr>
    </w:p>
    <w:p w14:paraId="6D1624DB" w14:textId="5A15846A" w:rsidR="00C41C82" w:rsidRPr="00E35F96" w:rsidRDefault="00F536EE" w:rsidP="00E35F96">
      <w:pPr>
        <w:autoSpaceDE w:val="0"/>
        <w:autoSpaceDN w:val="0"/>
        <w:adjustRightInd w:val="0"/>
        <w:ind w:right="568"/>
        <w:jc w:val="both"/>
        <w:rPr>
          <w:rFonts w:ascii="Arial" w:hAnsi="Arial" w:cs="Arial"/>
          <w:b/>
          <w:bCs/>
          <w:color w:val="000000"/>
        </w:rPr>
      </w:pPr>
      <w:proofErr w:type="gramStart"/>
      <w:r w:rsidRPr="00E35F96">
        <w:rPr>
          <w:rFonts w:ascii="Arial" w:hAnsi="Arial" w:cs="Arial"/>
          <w:b/>
          <w:bCs/>
          <w:color w:val="000000"/>
          <w:sz w:val="22"/>
          <w:szCs w:val="22"/>
        </w:rPr>
        <w:t>7</w:t>
      </w:r>
      <w:r w:rsidR="00C41C82" w:rsidRPr="00E35F96">
        <w:rPr>
          <w:rFonts w:ascii="Arial" w:hAnsi="Arial" w:cs="Arial"/>
          <w:b/>
          <w:bCs/>
          <w:color w:val="000000"/>
          <w:sz w:val="22"/>
          <w:szCs w:val="22"/>
        </w:rPr>
        <w:t>.</w:t>
      </w:r>
      <w:r w:rsidR="004146ED" w:rsidRPr="00E35F96">
        <w:rPr>
          <w:rFonts w:ascii="Arial" w:hAnsi="Arial" w:cs="Arial"/>
          <w:b/>
          <w:bCs/>
          <w:color w:val="000000"/>
          <w:sz w:val="22"/>
          <w:szCs w:val="22"/>
        </w:rPr>
        <w:t>8</w:t>
      </w:r>
      <w:r w:rsidR="00B15328">
        <w:rPr>
          <w:rFonts w:ascii="Arial" w:hAnsi="Arial" w:cs="Arial"/>
          <w:b/>
          <w:bCs/>
          <w:color w:val="000000"/>
          <w:sz w:val="22"/>
          <w:szCs w:val="22"/>
        </w:rPr>
        <w:t xml:space="preserve"> </w:t>
      </w:r>
      <w:r w:rsidR="00126AB3">
        <w:rPr>
          <w:rFonts w:ascii="Arial" w:hAnsi="Arial" w:cs="Arial"/>
          <w:b/>
          <w:bCs/>
          <w:color w:val="000000"/>
          <w:sz w:val="22"/>
          <w:szCs w:val="22"/>
        </w:rPr>
        <w:t xml:space="preserve"> </w:t>
      </w:r>
      <w:r w:rsidR="00C41C82" w:rsidRPr="00E35F96">
        <w:rPr>
          <w:rFonts w:ascii="Arial" w:hAnsi="Arial" w:cs="Arial"/>
          <w:b/>
          <w:bCs/>
          <w:color w:val="000000"/>
          <w:sz w:val="22"/>
          <w:szCs w:val="22"/>
        </w:rPr>
        <w:t>Dispute</w:t>
      </w:r>
      <w:proofErr w:type="gramEnd"/>
      <w:r w:rsidR="00C41C82" w:rsidRPr="00E35F96">
        <w:rPr>
          <w:rFonts w:ascii="Arial" w:hAnsi="Arial" w:cs="Arial"/>
          <w:b/>
          <w:bCs/>
          <w:color w:val="000000"/>
          <w:sz w:val="22"/>
          <w:szCs w:val="22"/>
        </w:rPr>
        <w:t xml:space="preserve"> Resolution</w:t>
      </w:r>
    </w:p>
    <w:p w14:paraId="6D1624DC" w14:textId="77777777" w:rsidR="00C41C82" w:rsidRPr="00601B12" w:rsidRDefault="00C41C82" w:rsidP="0025121F">
      <w:pPr>
        <w:autoSpaceDE w:val="0"/>
        <w:autoSpaceDN w:val="0"/>
        <w:adjustRightInd w:val="0"/>
        <w:ind w:left="426" w:right="568" w:hanging="426"/>
        <w:jc w:val="both"/>
        <w:rPr>
          <w:rFonts w:ascii="Arial" w:hAnsi="Arial" w:cs="Arial"/>
          <w:b/>
          <w:bCs/>
          <w:color w:val="000000"/>
          <w:sz w:val="22"/>
          <w:szCs w:val="22"/>
        </w:rPr>
      </w:pPr>
    </w:p>
    <w:p w14:paraId="6D1624DD" w14:textId="77777777" w:rsidR="006C4B6F" w:rsidRPr="00601B12" w:rsidRDefault="00C41C82" w:rsidP="0025121F">
      <w:pPr>
        <w:ind w:left="426" w:right="568"/>
        <w:jc w:val="both"/>
        <w:rPr>
          <w:rFonts w:ascii="Arial" w:hAnsi="Arial" w:cs="Arial"/>
          <w:bCs/>
          <w:color w:val="000000"/>
          <w:sz w:val="22"/>
          <w:szCs w:val="22"/>
        </w:rPr>
      </w:pPr>
      <w:r w:rsidRPr="00601B12">
        <w:rPr>
          <w:rFonts w:ascii="Arial" w:hAnsi="Arial" w:cs="Arial"/>
          <w:color w:val="000000"/>
          <w:sz w:val="22"/>
          <w:szCs w:val="22"/>
        </w:rPr>
        <w:t xml:space="preserve">The LGPS is required by statute to </w:t>
      </w:r>
      <w:r w:rsidR="006C4B6F" w:rsidRPr="00601B12">
        <w:rPr>
          <w:rFonts w:ascii="Arial" w:hAnsi="Arial" w:cs="Arial"/>
          <w:color w:val="000000"/>
          <w:sz w:val="22"/>
          <w:szCs w:val="22"/>
        </w:rPr>
        <w:t>plan</w:t>
      </w:r>
      <w:r w:rsidRPr="00601B12">
        <w:rPr>
          <w:rFonts w:ascii="Arial" w:hAnsi="Arial" w:cs="Arial"/>
          <w:color w:val="000000"/>
          <w:sz w:val="22"/>
          <w:szCs w:val="22"/>
        </w:rPr>
        <w:t xml:space="preserve"> for the formal resolution of disagreements between, on the one hand, the managers of the Scheme and on the other, active deferred and pensioner members or their representatives. </w:t>
      </w:r>
      <w:r w:rsidR="006C4B6F" w:rsidRPr="00601B12">
        <w:rPr>
          <w:rFonts w:ascii="Arial" w:hAnsi="Arial" w:cs="Arial"/>
          <w:bCs/>
          <w:color w:val="000000"/>
          <w:sz w:val="22"/>
          <w:szCs w:val="22"/>
        </w:rPr>
        <w:t xml:space="preserve">The dispute resolution’s official name is the "internal dispute resolution procedure" (IDRP). The following gives an overview of the IDRP process: </w:t>
      </w:r>
    </w:p>
    <w:p w14:paraId="6D1624DE" w14:textId="77777777" w:rsidR="006C4B6F" w:rsidRPr="00601B12" w:rsidRDefault="006C4B6F" w:rsidP="0025121F">
      <w:pPr>
        <w:ind w:left="426" w:right="568" w:hanging="426"/>
        <w:jc w:val="both"/>
        <w:rPr>
          <w:rFonts w:ascii="Arial" w:hAnsi="Arial" w:cs="Arial"/>
          <w:bCs/>
          <w:color w:val="000000"/>
          <w:sz w:val="22"/>
          <w:szCs w:val="22"/>
        </w:rPr>
      </w:pPr>
    </w:p>
    <w:p w14:paraId="6D1624DF" w14:textId="77777777" w:rsidR="006C4B6F" w:rsidRPr="00601B12" w:rsidRDefault="006C4B6F" w:rsidP="006175B2">
      <w:pPr>
        <w:ind w:left="426" w:right="568"/>
        <w:jc w:val="both"/>
        <w:rPr>
          <w:rFonts w:ascii="Arial" w:hAnsi="Arial" w:cs="Arial"/>
          <w:bCs/>
          <w:color w:val="000000"/>
          <w:sz w:val="22"/>
          <w:szCs w:val="22"/>
          <w:u w:val="single"/>
        </w:rPr>
      </w:pPr>
      <w:r w:rsidRPr="00601B12">
        <w:rPr>
          <w:rFonts w:ascii="Arial" w:hAnsi="Arial" w:cs="Arial"/>
          <w:bCs/>
          <w:color w:val="000000"/>
          <w:sz w:val="22"/>
          <w:szCs w:val="22"/>
          <w:u w:val="single"/>
        </w:rPr>
        <w:t>First stage</w:t>
      </w:r>
    </w:p>
    <w:p w14:paraId="6D1624E0" w14:textId="77777777" w:rsidR="006C4B6F" w:rsidRPr="00601B12" w:rsidRDefault="006C4B6F" w:rsidP="0025121F">
      <w:pPr>
        <w:ind w:left="426" w:right="568" w:hanging="426"/>
        <w:jc w:val="both"/>
        <w:rPr>
          <w:rFonts w:ascii="Arial" w:hAnsi="Arial" w:cs="Arial"/>
          <w:bCs/>
          <w:color w:val="000000"/>
          <w:sz w:val="22"/>
          <w:szCs w:val="22"/>
        </w:rPr>
      </w:pPr>
    </w:p>
    <w:p w14:paraId="6D1624E5" w14:textId="0BFCA05E" w:rsidR="006C4B6F" w:rsidRPr="00601B12" w:rsidRDefault="006C4B6F" w:rsidP="001A30C5">
      <w:pPr>
        <w:ind w:left="426" w:right="568"/>
        <w:jc w:val="both"/>
        <w:rPr>
          <w:rFonts w:ascii="Arial" w:hAnsi="Arial" w:cs="Arial"/>
          <w:bCs/>
          <w:color w:val="000000"/>
        </w:rPr>
      </w:pPr>
      <w:r w:rsidRPr="00601B12">
        <w:rPr>
          <w:rFonts w:ascii="Arial" w:hAnsi="Arial" w:cs="Arial"/>
          <w:bCs/>
          <w:color w:val="000000"/>
          <w:sz w:val="22"/>
          <w:szCs w:val="22"/>
        </w:rPr>
        <w:t>If a member needs to make a formal complaint, they should make it</w:t>
      </w:r>
      <w:r w:rsidR="001A30C5">
        <w:rPr>
          <w:rFonts w:ascii="Arial" w:hAnsi="Arial" w:cs="Arial"/>
          <w:bCs/>
          <w:color w:val="000000"/>
          <w:sz w:val="22"/>
          <w:szCs w:val="22"/>
        </w:rPr>
        <w:t xml:space="preserve"> </w:t>
      </w:r>
      <w:r w:rsidR="0025121F" w:rsidRPr="00B92376">
        <w:rPr>
          <w:rFonts w:ascii="Arial" w:hAnsi="Arial" w:cs="Arial"/>
          <w:bCs/>
          <w:color w:val="000000"/>
        </w:rPr>
        <w:t>in writing</w:t>
      </w:r>
      <w:r w:rsidRPr="00B92376">
        <w:rPr>
          <w:rFonts w:ascii="Arial" w:hAnsi="Arial" w:cs="Arial"/>
          <w:bCs/>
          <w:color w:val="000000"/>
        </w:rPr>
        <w:t xml:space="preserve"> and </w:t>
      </w:r>
      <w:r w:rsidRPr="00601B12">
        <w:rPr>
          <w:rFonts w:ascii="Arial" w:hAnsi="Arial" w:cs="Arial"/>
          <w:bCs/>
          <w:color w:val="000000"/>
        </w:rPr>
        <w:t xml:space="preserve">within 6 months of the day when they were told of the decision they want to complain about. </w:t>
      </w:r>
    </w:p>
    <w:p w14:paraId="6D1624E6" w14:textId="77777777" w:rsidR="0025121F" w:rsidRPr="00601B12" w:rsidRDefault="0025121F" w:rsidP="006175B2">
      <w:pPr>
        <w:spacing w:line="20" w:lineRule="atLeast"/>
        <w:ind w:left="426" w:right="567"/>
        <w:jc w:val="both"/>
        <w:rPr>
          <w:rFonts w:ascii="Arial" w:hAnsi="Arial" w:cs="Arial"/>
          <w:bCs/>
          <w:color w:val="000000"/>
        </w:rPr>
      </w:pPr>
    </w:p>
    <w:p w14:paraId="6D1624E7" w14:textId="77777777" w:rsidR="001F6C11" w:rsidRPr="00601B12" w:rsidRDefault="006C4B6F" w:rsidP="006175B2">
      <w:pPr>
        <w:ind w:left="426" w:right="568"/>
        <w:jc w:val="both"/>
        <w:rPr>
          <w:rFonts w:ascii="Arial" w:hAnsi="Arial" w:cs="Arial"/>
          <w:bCs/>
          <w:color w:val="000000"/>
          <w:sz w:val="22"/>
          <w:szCs w:val="22"/>
        </w:rPr>
      </w:pPr>
      <w:r w:rsidRPr="00601B12">
        <w:rPr>
          <w:rFonts w:ascii="Arial" w:hAnsi="Arial" w:cs="Arial"/>
          <w:bCs/>
          <w:color w:val="000000"/>
          <w:sz w:val="22"/>
          <w:szCs w:val="22"/>
        </w:rPr>
        <w:t>The complaint will be considered carefully by a person nominated by the body that took the decision against which the member wishes to complain</w:t>
      </w:r>
      <w:r w:rsidR="0034786B" w:rsidRPr="00601B12">
        <w:rPr>
          <w:rFonts w:ascii="Arial" w:hAnsi="Arial" w:cs="Arial"/>
          <w:bCs/>
          <w:color w:val="000000"/>
          <w:sz w:val="22"/>
          <w:szCs w:val="22"/>
        </w:rPr>
        <w:t xml:space="preserve"> (</w:t>
      </w:r>
      <w:r w:rsidRPr="00601B12">
        <w:rPr>
          <w:rFonts w:ascii="Arial" w:hAnsi="Arial" w:cs="Arial"/>
          <w:bCs/>
          <w:color w:val="000000"/>
          <w:sz w:val="22"/>
          <w:szCs w:val="22"/>
        </w:rPr>
        <w:t>the “nominated person”</w:t>
      </w:r>
      <w:r w:rsidR="0034786B" w:rsidRPr="00601B12">
        <w:rPr>
          <w:rFonts w:ascii="Arial" w:hAnsi="Arial" w:cs="Arial"/>
          <w:bCs/>
          <w:color w:val="000000"/>
          <w:sz w:val="22"/>
          <w:szCs w:val="22"/>
        </w:rPr>
        <w:t>)</w:t>
      </w:r>
      <w:r w:rsidRPr="00601B12">
        <w:rPr>
          <w:rFonts w:ascii="Arial" w:hAnsi="Arial" w:cs="Arial"/>
          <w:bCs/>
          <w:color w:val="000000"/>
          <w:sz w:val="22"/>
          <w:szCs w:val="22"/>
        </w:rPr>
        <w:t xml:space="preserve">.  That person is required to give the member their decision in writing. </w:t>
      </w:r>
    </w:p>
    <w:p w14:paraId="6D1624E8" w14:textId="77777777" w:rsidR="001F6C11" w:rsidRPr="00601B12" w:rsidRDefault="001F6C11" w:rsidP="006175B2">
      <w:pPr>
        <w:ind w:left="426" w:right="568"/>
        <w:jc w:val="both"/>
        <w:rPr>
          <w:rFonts w:ascii="Arial" w:hAnsi="Arial" w:cs="Arial"/>
          <w:bCs/>
          <w:color w:val="000000"/>
          <w:sz w:val="22"/>
          <w:szCs w:val="22"/>
        </w:rPr>
      </w:pPr>
    </w:p>
    <w:p w14:paraId="6D1624E9" w14:textId="77777777" w:rsidR="006C4B6F" w:rsidRPr="00601B12" w:rsidRDefault="006C4B6F" w:rsidP="006175B2">
      <w:pPr>
        <w:ind w:left="426" w:right="568"/>
        <w:jc w:val="both"/>
        <w:rPr>
          <w:rFonts w:ascii="Arial" w:hAnsi="Arial" w:cs="Arial"/>
          <w:bCs/>
          <w:color w:val="000000"/>
          <w:sz w:val="22"/>
          <w:szCs w:val="22"/>
        </w:rPr>
      </w:pPr>
      <w:r w:rsidRPr="00601B12">
        <w:rPr>
          <w:rFonts w:ascii="Arial" w:hAnsi="Arial" w:cs="Arial"/>
          <w:bCs/>
          <w:color w:val="000000"/>
          <w:sz w:val="22"/>
          <w:szCs w:val="22"/>
        </w:rPr>
        <w:t xml:space="preserve">If the nominated person's decision is contrary to the decision the member complained about, the employer or administering authority that made that original decision will now have to deal with </w:t>
      </w:r>
      <w:r w:rsidR="0034786B" w:rsidRPr="00601B12">
        <w:rPr>
          <w:rFonts w:ascii="Arial" w:hAnsi="Arial" w:cs="Arial"/>
          <w:bCs/>
          <w:color w:val="000000"/>
          <w:sz w:val="22"/>
          <w:szCs w:val="22"/>
        </w:rPr>
        <w:t>the</w:t>
      </w:r>
      <w:r w:rsidRPr="00601B12">
        <w:rPr>
          <w:rFonts w:ascii="Arial" w:hAnsi="Arial" w:cs="Arial"/>
          <w:bCs/>
          <w:color w:val="000000"/>
          <w:sz w:val="22"/>
          <w:szCs w:val="22"/>
        </w:rPr>
        <w:t xml:space="preserve"> case in accordance with the nominated person's decision. </w:t>
      </w:r>
    </w:p>
    <w:p w14:paraId="6D1624EA" w14:textId="77777777" w:rsidR="001F6C11" w:rsidRPr="00601B12" w:rsidRDefault="001F6C11" w:rsidP="006175B2">
      <w:pPr>
        <w:ind w:left="426" w:right="568"/>
        <w:jc w:val="both"/>
        <w:rPr>
          <w:rFonts w:ascii="Arial" w:hAnsi="Arial" w:cs="Arial"/>
          <w:bCs/>
          <w:color w:val="000000"/>
          <w:sz w:val="22"/>
          <w:szCs w:val="22"/>
        </w:rPr>
      </w:pPr>
    </w:p>
    <w:p w14:paraId="6D1624EB" w14:textId="77777777" w:rsidR="006C4B6F" w:rsidRPr="00601B12" w:rsidRDefault="006C4B6F" w:rsidP="006175B2">
      <w:pPr>
        <w:ind w:left="426" w:right="568"/>
        <w:jc w:val="both"/>
        <w:rPr>
          <w:rFonts w:ascii="Arial" w:hAnsi="Arial" w:cs="Arial"/>
          <w:bCs/>
          <w:color w:val="000000"/>
          <w:sz w:val="22"/>
          <w:szCs w:val="22"/>
        </w:rPr>
      </w:pPr>
      <w:r w:rsidRPr="00601B12">
        <w:rPr>
          <w:rFonts w:ascii="Arial" w:hAnsi="Arial" w:cs="Arial"/>
          <w:bCs/>
          <w:color w:val="000000"/>
          <w:sz w:val="22"/>
          <w:szCs w:val="22"/>
        </w:rPr>
        <w:t xml:space="preserve">If the decision the member complained about concerned the exercise of discretion by the employer or administering authority, and the nominated person decides that the employer or administering authority should reconsider how they exercised their discretion, they will be required to reconsider their original decision. </w:t>
      </w:r>
    </w:p>
    <w:p w14:paraId="6D1624EC" w14:textId="77777777" w:rsidR="006C4B6F" w:rsidRPr="00601B12" w:rsidRDefault="006C4B6F" w:rsidP="006175B2">
      <w:pPr>
        <w:ind w:left="426" w:right="568" w:hanging="426"/>
        <w:jc w:val="both"/>
        <w:rPr>
          <w:rFonts w:ascii="Arial" w:hAnsi="Arial" w:cs="Arial"/>
          <w:bCs/>
          <w:color w:val="000000"/>
          <w:sz w:val="22"/>
          <w:szCs w:val="22"/>
        </w:rPr>
      </w:pPr>
    </w:p>
    <w:p w14:paraId="6D1624ED" w14:textId="77777777" w:rsidR="006C4B6F" w:rsidRPr="00601B12" w:rsidRDefault="006C4B6F" w:rsidP="006175B2">
      <w:pPr>
        <w:ind w:left="426" w:right="568"/>
        <w:jc w:val="both"/>
        <w:rPr>
          <w:rFonts w:ascii="Arial" w:hAnsi="Arial" w:cs="Arial"/>
          <w:bCs/>
          <w:color w:val="000000"/>
          <w:sz w:val="22"/>
          <w:szCs w:val="22"/>
          <w:u w:val="single"/>
        </w:rPr>
      </w:pPr>
      <w:r w:rsidRPr="00601B12">
        <w:rPr>
          <w:rFonts w:ascii="Arial" w:hAnsi="Arial" w:cs="Arial"/>
          <w:bCs/>
          <w:color w:val="000000"/>
          <w:sz w:val="22"/>
          <w:szCs w:val="22"/>
          <w:u w:val="single"/>
        </w:rPr>
        <w:t>Second Stage</w:t>
      </w:r>
    </w:p>
    <w:p w14:paraId="6D1624EE" w14:textId="77777777" w:rsidR="006C4B6F" w:rsidRPr="00601B12" w:rsidRDefault="006C4B6F" w:rsidP="006175B2">
      <w:pPr>
        <w:ind w:left="426" w:right="568" w:hanging="426"/>
        <w:jc w:val="both"/>
        <w:rPr>
          <w:rFonts w:ascii="Arial" w:hAnsi="Arial" w:cs="Arial"/>
          <w:bCs/>
          <w:color w:val="000000"/>
          <w:sz w:val="22"/>
          <w:szCs w:val="22"/>
        </w:rPr>
      </w:pPr>
    </w:p>
    <w:p w14:paraId="6D1624EF" w14:textId="77777777" w:rsidR="0025121F" w:rsidRPr="00601B12" w:rsidRDefault="006C4B6F" w:rsidP="006175B2">
      <w:pPr>
        <w:ind w:left="426" w:right="568"/>
        <w:jc w:val="both"/>
        <w:rPr>
          <w:rFonts w:ascii="Arial" w:hAnsi="Arial" w:cs="Arial"/>
          <w:bCs/>
          <w:color w:val="000000"/>
          <w:sz w:val="22"/>
          <w:szCs w:val="22"/>
        </w:rPr>
      </w:pPr>
      <w:r w:rsidRPr="00601B12">
        <w:rPr>
          <w:rFonts w:ascii="Arial" w:hAnsi="Arial" w:cs="Arial"/>
          <w:bCs/>
          <w:color w:val="000000"/>
          <w:sz w:val="22"/>
          <w:szCs w:val="22"/>
        </w:rPr>
        <w:t>The member can ask the pension scheme administering authority to tak</w:t>
      </w:r>
      <w:r w:rsidR="0025121F" w:rsidRPr="00601B12">
        <w:rPr>
          <w:rFonts w:ascii="Arial" w:hAnsi="Arial" w:cs="Arial"/>
          <w:bCs/>
          <w:color w:val="000000"/>
          <w:sz w:val="22"/>
          <w:szCs w:val="22"/>
        </w:rPr>
        <w:t>e a fresh look at the</w:t>
      </w:r>
    </w:p>
    <w:p w14:paraId="6D1624F0" w14:textId="77777777" w:rsidR="006C4B6F" w:rsidRPr="00601B12" w:rsidRDefault="0025121F" w:rsidP="006175B2">
      <w:pPr>
        <w:ind w:left="426" w:right="568"/>
        <w:jc w:val="both"/>
        <w:rPr>
          <w:rFonts w:ascii="Arial" w:hAnsi="Arial" w:cs="Arial"/>
          <w:bCs/>
          <w:color w:val="000000"/>
          <w:sz w:val="22"/>
          <w:szCs w:val="22"/>
        </w:rPr>
      </w:pPr>
      <w:r w:rsidRPr="00601B12">
        <w:rPr>
          <w:rFonts w:ascii="Arial" w:hAnsi="Arial" w:cs="Arial"/>
          <w:bCs/>
          <w:color w:val="000000"/>
          <w:sz w:val="22"/>
          <w:szCs w:val="22"/>
        </w:rPr>
        <w:t>c</w:t>
      </w:r>
      <w:r w:rsidR="001F6C11" w:rsidRPr="00601B12">
        <w:rPr>
          <w:rFonts w:ascii="Arial" w:hAnsi="Arial" w:cs="Arial"/>
          <w:bCs/>
          <w:color w:val="000000"/>
          <w:sz w:val="22"/>
          <w:szCs w:val="22"/>
        </w:rPr>
        <w:t>omplaint</w:t>
      </w:r>
      <w:r w:rsidRPr="00601B12">
        <w:rPr>
          <w:rFonts w:ascii="Arial" w:hAnsi="Arial" w:cs="Arial"/>
          <w:bCs/>
          <w:color w:val="000000"/>
          <w:sz w:val="22"/>
          <w:szCs w:val="22"/>
        </w:rPr>
        <w:t xml:space="preserve"> </w:t>
      </w:r>
      <w:r w:rsidR="006C4B6F" w:rsidRPr="00601B12">
        <w:rPr>
          <w:rFonts w:ascii="Arial" w:hAnsi="Arial" w:cs="Arial"/>
          <w:bCs/>
          <w:color w:val="000000"/>
          <w:sz w:val="22"/>
          <w:szCs w:val="22"/>
        </w:rPr>
        <w:t xml:space="preserve">in any of the following circumstances: </w:t>
      </w:r>
    </w:p>
    <w:p w14:paraId="6D1624F1" w14:textId="77777777" w:rsidR="001F6C11" w:rsidRPr="00601B12" w:rsidRDefault="001F6C11" w:rsidP="006175B2">
      <w:pPr>
        <w:spacing w:line="20" w:lineRule="atLeast"/>
        <w:ind w:left="426" w:right="568" w:hanging="426"/>
        <w:jc w:val="both"/>
        <w:rPr>
          <w:rFonts w:ascii="Arial" w:hAnsi="Arial" w:cs="Arial"/>
          <w:bCs/>
          <w:color w:val="000000"/>
          <w:sz w:val="22"/>
          <w:szCs w:val="22"/>
        </w:rPr>
      </w:pPr>
    </w:p>
    <w:p w14:paraId="6D1624F2" w14:textId="77777777" w:rsidR="006C4B6F" w:rsidRPr="00601B12" w:rsidRDefault="006C4B6F" w:rsidP="007337FE">
      <w:pPr>
        <w:pStyle w:val="ListParagraph"/>
        <w:numPr>
          <w:ilvl w:val="0"/>
          <w:numId w:val="87"/>
        </w:numPr>
        <w:spacing w:after="0" w:line="20" w:lineRule="atLeast"/>
        <w:ind w:left="786" w:right="568"/>
        <w:jc w:val="both"/>
        <w:rPr>
          <w:rFonts w:ascii="Arial" w:hAnsi="Arial" w:cs="Arial"/>
          <w:bCs/>
          <w:color w:val="000000"/>
        </w:rPr>
      </w:pPr>
      <w:r w:rsidRPr="00601B12">
        <w:rPr>
          <w:rFonts w:ascii="Arial" w:hAnsi="Arial" w:cs="Arial"/>
          <w:bCs/>
          <w:color w:val="000000"/>
        </w:rPr>
        <w:t>the member is not satisfied with the nominated</w:t>
      </w:r>
      <w:r w:rsidR="0025121F" w:rsidRPr="00601B12">
        <w:rPr>
          <w:rFonts w:ascii="Arial" w:hAnsi="Arial" w:cs="Arial"/>
          <w:bCs/>
          <w:color w:val="000000"/>
        </w:rPr>
        <w:t xml:space="preserve"> person's </w:t>
      </w:r>
      <w:proofErr w:type="gramStart"/>
      <w:r w:rsidR="0025121F" w:rsidRPr="00601B12">
        <w:rPr>
          <w:rFonts w:ascii="Arial" w:hAnsi="Arial" w:cs="Arial"/>
          <w:bCs/>
          <w:color w:val="000000"/>
        </w:rPr>
        <w:t>first-stage</w:t>
      </w:r>
      <w:proofErr w:type="gramEnd"/>
      <w:r w:rsidR="0025121F" w:rsidRPr="00601B12">
        <w:rPr>
          <w:rFonts w:ascii="Arial" w:hAnsi="Arial" w:cs="Arial"/>
          <w:bCs/>
          <w:color w:val="000000"/>
        </w:rPr>
        <w:t xml:space="preserve"> decision;</w:t>
      </w:r>
    </w:p>
    <w:p w14:paraId="6D1624F3" w14:textId="77777777" w:rsidR="0025121F" w:rsidRPr="00601B12" w:rsidRDefault="0025121F" w:rsidP="006175B2">
      <w:pPr>
        <w:pStyle w:val="ListParagraph"/>
        <w:spacing w:after="0" w:line="20" w:lineRule="atLeast"/>
        <w:ind w:left="786" w:right="568"/>
        <w:jc w:val="both"/>
        <w:rPr>
          <w:rFonts w:ascii="Arial" w:hAnsi="Arial" w:cs="Arial"/>
          <w:bCs/>
          <w:color w:val="000000"/>
        </w:rPr>
      </w:pPr>
    </w:p>
    <w:p w14:paraId="6D1624F4" w14:textId="77777777" w:rsidR="0025121F" w:rsidRPr="00601B12" w:rsidRDefault="006C4B6F" w:rsidP="007337FE">
      <w:pPr>
        <w:pStyle w:val="ListParagraph"/>
        <w:numPr>
          <w:ilvl w:val="0"/>
          <w:numId w:val="87"/>
        </w:numPr>
        <w:spacing w:after="0" w:line="20" w:lineRule="atLeast"/>
        <w:ind w:left="786" w:right="568"/>
        <w:jc w:val="both"/>
        <w:rPr>
          <w:rFonts w:ascii="Arial" w:hAnsi="Arial" w:cs="Arial"/>
          <w:bCs/>
          <w:color w:val="000000"/>
        </w:rPr>
      </w:pPr>
      <w:r w:rsidRPr="00601B12">
        <w:rPr>
          <w:rFonts w:ascii="Arial" w:hAnsi="Arial" w:cs="Arial"/>
          <w:bCs/>
          <w:color w:val="000000"/>
        </w:rPr>
        <w:t xml:space="preserve">the member has not received a decision or an interim letter from the nominated person, and it is 3 months since the member lodged </w:t>
      </w:r>
      <w:r w:rsidR="0034786B" w:rsidRPr="00601B12">
        <w:rPr>
          <w:rFonts w:ascii="Arial" w:hAnsi="Arial" w:cs="Arial"/>
          <w:bCs/>
          <w:color w:val="000000"/>
        </w:rPr>
        <w:t>their</w:t>
      </w:r>
      <w:r w:rsidR="0025121F" w:rsidRPr="00601B12">
        <w:rPr>
          <w:rFonts w:ascii="Arial" w:hAnsi="Arial" w:cs="Arial"/>
          <w:bCs/>
          <w:color w:val="000000"/>
        </w:rPr>
        <w:t xml:space="preserve"> complaint; and</w:t>
      </w:r>
    </w:p>
    <w:p w14:paraId="6D1624F5" w14:textId="77777777" w:rsidR="0025121F" w:rsidRPr="00601B12" w:rsidRDefault="0025121F" w:rsidP="006175B2">
      <w:pPr>
        <w:spacing w:line="20" w:lineRule="atLeast"/>
        <w:ind w:left="786" w:right="568"/>
        <w:jc w:val="both"/>
        <w:rPr>
          <w:rFonts w:ascii="Arial" w:hAnsi="Arial" w:cs="Arial"/>
          <w:bCs/>
          <w:color w:val="000000"/>
        </w:rPr>
      </w:pPr>
    </w:p>
    <w:p w14:paraId="6D1624F6" w14:textId="77777777" w:rsidR="006C4B6F" w:rsidRPr="00601B12" w:rsidRDefault="006C4B6F" w:rsidP="007337FE">
      <w:pPr>
        <w:pStyle w:val="ListParagraph"/>
        <w:numPr>
          <w:ilvl w:val="0"/>
          <w:numId w:val="87"/>
        </w:numPr>
        <w:spacing w:after="0" w:line="20" w:lineRule="atLeast"/>
        <w:ind w:left="786" w:right="568"/>
        <w:jc w:val="both"/>
        <w:rPr>
          <w:rFonts w:ascii="Arial" w:hAnsi="Arial" w:cs="Arial"/>
          <w:bCs/>
          <w:color w:val="000000"/>
        </w:rPr>
      </w:pPr>
      <w:r w:rsidRPr="00601B12">
        <w:rPr>
          <w:rFonts w:ascii="Arial" w:hAnsi="Arial" w:cs="Arial"/>
          <w:bCs/>
          <w:color w:val="000000"/>
        </w:rPr>
        <w:t xml:space="preserve">it is one month after the date by which the nominated person told the member (in an interim letter) that they would give them a decision, and they have still not received that decision. </w:t>
      </w:r>
    </w:p>
    <w:p w14:paraId="6D1624F7" w14:textId="77777777" w:rsidR="0034786B" w:rsidRPr="00601B12" w:rsidRDefault="0034786B" w:rsidP="006175B2">
      <w:pPr>
        <w:ind w:left="426" w:right="568" w:hanging="426"/>
        <w:jc w:val="both"/>
        <w:rPr>
          <w:rFonts w:ascii="Arial" w:hAnsi="Arial" w:cs="Arial"/>
          <w:bCs/>
          <w:color w:val="000000"/>
          <w:sz w:val="22"/>
          <w:szCs w:val="22"/>
        </w:rPr>
      </w:pPr>
    </w:p>
    <w:p w14:paraId="6D1624F8" w14:textId="77777777" w:rsidR="006C4B6F" w:rsidRPr="00601B12" w:rsidRDefault="006C4B6F" w:rsidP="006175B2">
      <w:pPr>
        <w:ind w:left="426" w:right="568"/>
        <w:jc w:val="both"/>
        <w:rPr>
          <w:rFonts w:ascii="Arial" w:hAnsi="Arial" w:cs="Arial"/>
          <w:bCs/>
          <w:color w:val="000000"/>
          <w:sz w:val="22"/>
          <w:szCs w:val="22"/>
        </w:rPr>
      </w:pPr>
      <w:r w:rsidRPr="00601B12">
        <w:rPr>
          <w:rFonts w:ascii="Arial" w:hAnsi="Arial" w:cs="Arial"/>
          <w:bCs/>
          <w:color w:val="000000"/>
          <w:sz w:val="22"/>
          <w:szCs w:val="22"/>
        </w:rPr>
        <w:t>This review would be undertaken by a person not involved in the first stage decision.</w:t>
      </w:r>
    </w:p>
    <w:p w14:paraId="6D1624F9" w14:textId="77777777" w:rsidR="001F6C11" w:rsidRPr="00601B12" w:rsidRDefault="001F6C11" w:rsidP="006175B2">
      <w:pPr>
        <w:ind w:left="426" w:right="568"/>
        <w:jc w:val="both"/>
        <w:rPr>
          <w:rFonts w:ascii="Arial" w:hAnsi="Arial" w:cs="Arial"/>
          <w:bCs/>
          <w:color w:val="000000"/>
          <w:sz w:val="22"/>
          <w:szCs w:val="22"/>
        </w:rPr>
      </w:pPr>
    </w:p>
    <w:p w14:paraId="6D1624FA" w14:textId="77777777" w:rsidR="006C4B6F" w:rsidRPr="00601B12" w:rsidRDefault="006C4B6F" w:rsidP="006175B2">
      <w:pPr>
        <w:ind w:left="426" w:right="568"/>
        <w:jc w:val="both"/>
        <w:rPr>
          <w:rFonts w:ascii="Arial" w:hAnsi="Arial" w:cs="Arial"/>
          <w:bCs/>
          <w:color w:val="000000"/>
          <w:sz w:val="22"/>
          <w:szCs w:val="22"/>
        </w:rPr>
      </w:pPr>
      <w:r w:rsidRPr="00601B12">
        <w:rPr>
          <w:rFonts w:ascii="Arial" w:hAnsi="Arial" w:cs="Arial"/>
          <w:bCs/>
          <w:color w:val="000000"/>
          <w:sz w:val="22"/>
          <w:szCs w:val="22"/>
        </w:rPr>
        <w:t xml:space="preserve">The member will need to send the appropriate administering authority their complaint in writing.  The time limits for making the complaint are set out within the IDRP Employee’s Guide (see link below).  The administering authority will consider the complaint and give their decision in writing.  </w:t>
      </w:r>
    </w:p>
    <w:p w14:paraId="6D1624FB" w14:textId="77777777" w:rsidR="001F6C11" w:rsidRPr="00601B12" w:rsidRDefault="001F6C11" w:rsidP="006175B2">
      <w:pPr>
        <w:ind w:left="426" w:right="568"/>
        <w:jc w:val="both"/>
        <w:rPr>
          <w:rFonts w:ascii="Arial" w:hAnsi="Arial" w:cs="Arial"/>
          <w:bCs/>
          <w:color w:val="000000"/>
          <w:sz w:val="22"/>
          <w:szCs w:val="22"/>
        </w:rPr>
      </w:pPr>
    </w:p>
    <w:p w14:paraId="6D1624FC" w14:textId="3AFA0033" w:rsidR="006C4B6F" w:rsidRPr="00601B12" w:rsidRDefault="006C4B6F" w:rsidP="006175B2">
      <w:pPr>
        <w:ind w:left="426" w:right="568"/>
        <w:jc w:val="both"/>
        <w:rPr>
          <w:rFonts w:ascii="Arial" w:hAnsi="Arial" w:cs="Arial"/>
          <w:bCs/>
          <w:color w:val="000000"/>
          <w:sz w:val="22"/>
          <w:szCs w:val="22"/>
        </w:rPr>
      </w:pPr>
      <w:r w:rsidRPr="00601B12">
        <w:rPr>
          <w:rFonts w:ascii="Arial" w:hAnsi="Arial" w:cs="Arial"/>
          <w:bCs/>
          <w:color w:val="000000"/>
          <w:sz w:val="22"/>
          <w:szCs w:val="22"/>
        </w:rPr>
        <w:t xml:space="preserve">If the member is still unhappy following the second stage decision, they can take the case to the Pensions Ombudsman provided they do so within 3 years from the date of the original decision (or lack of a decision) about which the member is complaining. </w:t>
      </w:r>
    </w:p>
    <w:p w14:paraId="6D1624FD" w14:textId="77777777" w:rsidR="001F6C11" w:rsidRPr="00601B12" w:rsidRDefault="001F6C11" w:rsidP="006175B2">
      <w:pPr>
        <w:ind w:left="426" w:right="568"/>
        <w:jc w:val="both"/>
        <w:rPr>
          <w:rFonts w:ascii="Arial" w:hAnsi="Arial" w:cs="Arial"/>
          <w:bCs/>
          <w:color w:val="000000"/>
          <w:sz w:val="22"/>
          <w:szCs w:val="22"/>
        </w:rPr>
      </w:pPr>
    </w:p>
    <w:p w14:paraId="6143C2B5" w14:textId="40FFF52B" w:rsidR="00371166" w:rsidRDefault="006C4B6F" w:rsidP="006175B2">
      <w:pPr>
        <w:ind w:left="426" w:right="568"/>
        <w:jc w:val="both"/>
        <w:rPr>
          <w:rFonts w:ascii="Arial" w:hAnsi="Arial" w:cs="Arial"/>
          <w:bCs/>
          <w:color w:val="000000"/>
          <w:sz w:val="22"/>
          <w:szCs w:val="22"/>
        </w:rPr>
      </w:pPr>
      <w:r w:rsidRPr="00601B12">
        <w:rPr>
          <w:rFonts w:ascii="Arial" w:hAnsi="Arial" w:cs="Arial"/>
          <w:bCs/>
          <w:color w:val="000000"/>
          <w:sz w:val="22"/>
          <w:szCs w:val="22"/>
        </w:rPr>
        <w:t xml:space="preserve">If a member </w:t>
      </w:r>
      <w:r w:rsidR="0034786B" w:rsidRPr="00601B12">
        <w:rPr>
          <w:rFonts w:ascii="Arial" w:hAnsi="Arial" w:cs="Arial"/>
          <w:bCs/>
          <w:color w:val="000000"/>
          <w:sz w:val="22"/>
          <w:szCs w:val="22"/>
        </w:rPr>
        <w:t>is</w:t>
      </w:r>
      <w:r w:rsidRPr="00601B12">
        <w:rPr>
          <w:rFonts w:ascii="Arial" w:hAnsi="Arial" w:cs="Arial"/>
          <w:bCs/>
          <w:color w:val="000000"/>
          <w:sz w:val="22"/>
          <w:szCs w:val="22"/>
        </w:rPr>
        <w:t xml:space="preserve"> unhappy with a decision </w:t>
      </w:r>
      <w:proofErr w:type="gramStart"/>
      <w:r w:rsidRPr="00601B12">
        <w:rPr>
          <w:rFonts w:ascii="Arial" w:hAnsi="Arial" w:cs="Arial"/>
          <w:bCs/>
          <w:color w:val="000000"/>
          <w:sz w:val="22"/>
          <w:szCs w:val="22"/>
        </w:rPr>
        <w:t>made</w:t>
      </w:r>
      <w:proofErr w:type="gramEnd"/>
      <w:r w:rsidRPr="00601B12">
        <w:rPr>
          <w:rFonts w:ascii="Arial" w:hAnsi="Arial" w:cs="Arial"/>
          <w:bCs/>
          <w:color w:val="000000"/>
          <w:sz w:val="22"/>
          <w:szCs w:val="22"/>
        </w:rPr>
        <w:t xml:space="preserve"> please ask them to contact this office in the first instance as many issues can be resolved without the need to resort to the lengthy process of IDRP.  It could simply be that there is a misunderstanding of the Regulations and that the decision made is in fact correct and this can be explained to the member accordingly.</w:t>
      </w:r>
    </w:p>
    <w:p w14:paraId="54133A9D" w14:textId="77777777" w:rsidR="0025498F" w:rsidRPr="00601B12" w:rsidRDefault="0025498F" w:rsidP="006175B2">
      <w:pPr>
        <w:ind w:left="426" w:right="568"/>
        <w:jc w:val="both"/>
        <w:rPr>
          <w:rFonts w:ascii="Arial" w:hAnsi="Arial" w:cs="Arial"/>
          <w:bCs/>
          <w:color w:val="000000"/>
          <w:sz w:val="22"/>
          <w:szCs w:val="22"/>
        </w:rPr>
      </w:pPr>
    </w:p>
    <w:p w14:paraId="6D162504" w14:textId="06CDB804" w:rsidR="00C41C82" w:rsidRPr="00601B12" w:rsidRDefault="00F536EE" w:rsidP="0076066D">
      <w:pPr>
        <w:spacing w:after="200" w:line="276" w:lineRule="auto"/>
        <w:rPr>
          <w:rFonts w:ascii="Arial" w:hAnsi="Arial" w:cs="Arial"/>
          <w:color w:val="000000"/>
        </w:rPr>
      </w:pPr>
      <w:r w:rsidRPr="00E35F96">
        <w:rPr>
          <w:rFonts w:ascii="Arial" w:hAnsi="Arial" w:cs="Arial"/>
          <w:b/>
          <w:bCs/>
          <w:color w:val="C00000"/>
        </w:rPr>
        <w:t>8</w:t>
      </w:r>
      <w:r w:rsidR="00C41C82" w:rsidRPr="00E35F96">
        <w:rPr>
          <w:rFonts w:ascii="Arial" w:hAnsi="Arial" w:cs="Arial"/>
          <w:b/>
          <w:bCs/>
          <w:color w:val="C00000"/>
        </w:rPr>
        <w:t>.</w:t>
      </w:r>
      <w:r w:rsidR="00126AB3">
        <w:rPr>
          <w:rFonts w:ascii="Arial" w:hAnsi="Arial" w:cs="Arial"/>
          <w:b/>
          <w:bCs/>
          <w:color w:val="C00000"/>
        </w:rPr>
        <w:t xml:space="preserve">    </w:t>
      </w:r>
      <w:r w:rsidR="00C41C82" w:rsidRPr="00E35F96">
        <w:rPr>
          <w:rFonts w:ascii="Arial" w:hAnsi="Arial" w:cs="Arial"/>
          <w:b/>
          <w:bCs/>
          <w:color w:val="C00000"/>
        </w:rPr>
        <w:t>Risk Management</w:t>
      </w:r>
    </w:p>
    <w:p w14:paraId="6D162505" w14:textId="77777777" w:rsidR="00C41C82" w:rsidRPr="00601B12" w:rsidRDefault="00F536EE" w:rsidP="0025121F">
      <w:pPr>
        <w:autoSpaceDE w:val="0"/>
        <w:autoSpaceDN w:val="0"/>
        <w:adjustRightInd w:val="0"/>
        <w:ind w:left="426" w:right="568" w:hanging="426"/>
        <w:jc w:val="both"/>
        <w:rPr>
          <w:rFonts w:ascii="Arial" w:hAnsi="Arial" w:cs="Arial"/>
          <w:b/>
          <w:color w:val="000000"/>
          <w:sz w:val="22"/>
          <w:szCs w:val="22"/>
        </w:rPr>
      </w:pPr>
      <w:r w:rsidRPr="00601B12">
        <w:rPr>
          <w:rFonts w:ascii="Arial" w:hAnsi="Arial" w:cs="Arial"/>
          <w:b/>
          <w:color w:val="000000"/>
          <w:sz w:val="22"/>
          <w:szCs w:val="22"/>
        </w:rPr>
        <w:t>8</w:t>
      </w:r>
      <w:r w:rsidR="00C41C82" w:rsidRPr="00601B12">
        <w:rPr>
          <w:rFonts w:ascii="Arial" w:hAnsi="Arial" w:cs="Arial"/>
          <w:b/>
          <w:color w:val="000000"/>
          <w:sz w:val="22"/>
          <w:szCs w:val="22"/>
        </w:rPr>
        <w:t>.1</w:t>
      </w:r>
      <w:r w:rsidR="00C41C82" w:rsidRPr="00601B12">
        <w:rPr>
          <w:rFonts w:ascii="Arial" w:hAnsi="Arial" w:cs="Arial"/>
          <w:b/>
          <w:color w:val="000000"/>
          <w:sz w:val="22"/>
          <w:szCs w:val="22"/>
        </w:rPr>
        <w:tab/>
        <w:t>Summary</w:t>
      </w:r>
    </w:p>
    <w:p w14:paraId="6D162506" w14:textId="77777777" w:rsidR="00C41C82" w:rsidRPr="00601B12" w:rsidRDefault="00C41C82" w:rsidP="0025121F">
      <w:pPr>
        <w:autoSpaceDE w:val="0"/>
        <w:autoSpaceDN w:val="0"/>
        <w:adjustRightInd w:val="0"/>
        <w:ind w:left="426" w:right="568" w:hanging="426"/>
        <w:jc w:val="both"/>
        <w:rPr>
          <w:rFonts w:ascii="Arial" w:hAnsi="Arial" w:cs="Arial"/>
          <w:color w:val="000000"/>
          <w:sz w:val="22"/>
          <w:szCs w:val="22"/>
        </w:rPr>
      </w:pPr>
    </w:p>
    <w:p w14:paraId="6D162507" w14:textId="77777777" w:rsidR="00C41C82" w:rsidRPr="00601B12" w:rsidRDefault="00EF47C8" w:rsidP="0025121F">
      <w:pPr>
        <w:autoSpaceDE w:val="0"/>
        <w:autoSpaceDN w:val="0"/>
        <w:adjustRightInd w:val="0"/>
        <w:ind w:left="426" w:right="568"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Council has incorporated key Fund risks in its corporate risk register. In addition, the Fund has an active risk management programme in place and has adopted the recommendations of the 2008 </w:t>
      </w:r>
      <w:proofErr w:type="spellStart"/>
      <w:r w:rsidR="00C41C82" w:rsidRPr="00601B12">
        <w:rPr>
          <w:rFonts w:ascii="Arial" w:hAnsi="Arial" w:cs="Arial"/>
          <w:color w:val="000000"/>
          <w:sz w:val="22"/>
          <w:szCs w:val="22"/>
        </w:rPr>
        <w:t>Myners</w:t>
      </w:r>
      <w:proofErr w:type="spellEnd"/>
      <w:r w:rsidR="00C41C82" w:rsidRPr="00601B12">
        <w:rPr>
          <w:rFonts w:ascii="Arial" w:hAnsi="Arial" w:cs="Arial"/>
          <w:color w:val="000000"/>
          <w:sz w:val="22"/>
          <w:szCs w:val="22"/>
        </w:rPr>
        <w:t xml:space="preserve"> principles. The measures that the Council has in place to control key risks are summarised below under the following headings:</w:t>
      </w:r>
    </w:p>
    <w:p w14:paraId="6D162508" w14:textId="77777777" w:rsidR="00C41C82" w:rsidRPr="00601B12" w:rsidRDefault="00C41C82" w:rsidP="0025121F">
      <w:pPr>
        <w:autoSpaceDE w:val="0"/>
        <w:autoSpaceDN w:val="0"/>
        <w:adjustRightInd w:val="0"/>
        <w:ind w:left="426" w:right="568" w:hanging="426"/>
        <w:jc w:val="both"/>
        <w:rPr>
          <w:rFonts w:ascii="Arial" w:hAnsi="Arial" w:cs="Arial"/>
          <w:color w:val="000000"/>
          <w:sz w:val="22"/>
          <w:szCs w:val="22"/>
        </w:rPr>
      </w:pPr>
    </w:p>
    <w:p w14:paraId="6D162509" w14:textId="77777777" w:rsidR="00C41C82" w:rsidRPr="00601B12" w:rsidRDefault="00C41C82" w:rsidP="007337FE">
      <w:pPr>
        <w:pStyle w:val="ListParagraph"/>
        <w:numPr>
          <w:ilvl w:val="0"/>
          <w:numId w:val="52"/>
        </w:numPr>
        <w:autoSpaceDE w:val="0"/>
        <w:autoSpaceDN w:val="0"/>
        <w:adjustRightInd w:val="0"/>
        <w:spacing w:after="0" w:line="240" w:lineRule="auto"/>
        <w:ind w:left="993" w:right="568" w:hanging="426"/>
        <w:jc w:val="both"/>
        <w:rPr>
          <w:rFonts w:ascii="Arial" w:hAnsi="Arial" w:cs="Arial"/>
          <w:color w:val="000000"/>
        </w:rPr>
      </w:pPr>
      <w:proofErr w:type="gramStart"/>
      <w:r w:rsidRPr="00601B12">
        <w:rPr>
          <w:rFonts w:ascii="Arial" w:hAnsi="Arial" w:cs="Arial"/>
          <w:color w:val="000000"/>
        </w:rPr>
        <w:t>Financial;</w:t>
      </w:r>
      <w:proofErr w:type="gramEnd"/>
    </w:p>
    <w:p w14:paraId="6D16250A" w14:textId="77777777" w:rsidR="00C41C82" w:rsidRPr="00601B12" w:rsidRDefault="00C41C82" w:rsidP="007337FE">
      <w:pPr>
        <w:pStyle w:val="ListParagraph"/>
        <w:numPr>
          <w:ilvl w:val="0"/>
          <w:numId w:val="52"/>
        </w:numPr>
        <w:autoSpaceDE w:val="0"/>
        <w:autoSpaceDN w:val="0"/>
        <w:adjustRightInd w:val="0"/>
        <w:spacing w:after="0" w:line="240" w:lineRule="auto"/>
        <w:ind w:left="993" w:right="568" w:hanging="426"/>
        <w:jc w:val="both"/>
        <w:rPr>
          <w:rFonts w:ascii="Arial" w:hAnsi="Arial" w:cs="Arial"/>
          <w:color w:val="000000"/>
        </w:rPr>
      </w:pPr>
      <w:proofErr w:type="gramStart"/>
      <w:r w:rsidRPr="00601B12">
        <w:rPr>
          <w:rFonts w:ascii="Arial" w:hAnsi="Arial" w:cs="Arial"/>
          <w:color w:val="000000"/>
        </w:rPr>
        <w:t>Demographic;</w:t>
      </w:r>
      <w:proofErr w:type="gramEnd"/>
    </w:p>
    <w:p w14:paraId="6D16250B" w14:textId="77777777" w:rsidR="00C41C82" w:rsidRPr="00601B12" w:rsidRDefault="00C41C82" w:rsidP="007337FE">
      <w:pPr>
        <w:pStyle w:val="ListParagraph"/>
        <w:numPr>
          <w:ilvl w:val="0"/>
          <w:numId w:val="52"/>
        </w:numPr>
        <w:autoSpaceDE w:val="0"/>
        <w:autoSpaceDN w:val="0"/>
        <w:adjustRightInd w:val="0"/>
        <w:spacing w:after="0" w:line="240" w:lineRule="auto"/>
        <w:ind w:left="993" w:right="568" w:hanging="426"/>
        <w:jc w:val="both"/>
        <w:rPr>
          <w:rFonts w:ascii="Arial" w:hAnsi="Arial" w:cs="Arial"/>
          <w:color w:val="000000"/>
        </w:rPr>
      </w:pPr>
      <w:proofErr w:type="gramStart"/>
      <w:r w:rsidRPr="00601B12">
        <w:rPr>
          <w:rFonts w:ascii="Arial" w:hAnsi="Arial" w:cs="Arial"/>
          <w:color w:val="000000"/>
        </w:rPr>
        <w:t>Longevity;</w:t>
      </w:r>
      <w:proofErr w:type="gramEnd"/>
    </w:p>
    <w:p w14:paraId="6D16250C" w14:textId="77777777" w:rsidR="00C41C82" w:rsidRPr="00601B12" w:rsidRDefault="00C41C82" w:rsidP="007337FE">
      <w:pPr>
        <w:pStyle w:val="ListParagraph"/>
        <w:numPr>
          <w:ilvl w:val="0"/>
          <w:numId w:val="52"/>
        </w:numPr>
        <w:autoSpaceDE w:val="0"/>
        <w:autoSpaceDN w:val="0"/>
        <w:adjustRightInd w:val="0"/>
        <w:spacing w:after="0" w:line="240" w:lineRule="auto"/>
        <w:ind w:left="993" w:right="568" w:hanging="426"/>
        <w:jc w:val="both"/>
        <w:rPr>
          <w:rFonts w:ascii="Arial" w:hAnsi="Arial" w:cs="Arial"/>
          <w:color w:val="000000"/>
        </w:rPr>
      </w:pPr>
      <w:r w:rsidRPr="00601B12">
        <w:rPr>
          <w:rFonts w:ascii="Arial" w:hAnsi="Arial" w:cs="Arial"/>
          <w:color w:val="000000"/>
        </w:rPr>
        <w:t>Regulatory and</w:t>
      </w:r>
    </w:p>
    <w:p w14:paraId="6D16250D" w14:textId="77777777" w:rsidR="00C41C82" w:rsidRPr="00601B12" w:rsidRDefault="00C41C82" w:rsidP="007337FE">
      <w:pPr>
        <w:pStyle w:val="ListParagraph"/>
        <w:numPr>
          <w:ilvl w:val="0"/>
          <w:numId w:val="52"/>
        </w:numPr>
        <w:autoSpaceDE w:val="0"/>
        <w:autoSpaceDN w:val="0"/>
        <w:adjustRightInd w:val="0"/>
        <w:spacing w:after="0" w:line="240" w:lineRule="auto"/>
        <w:ind w:left="993" w:right="568" w:hanging="426"/>
        <w:jc w:val="both"/>
        <w:rPr>
          <w:rFonts w:ascii="Arial" w:hAnsi="Arial" w:cs="Arial"/>
          <w:color w:val="000000"/>
        </w:rPr>
      </w:pPr>
      <w:r w:rsidRPr="00601B12">
        <w:rPr>
          <w:rFonts w:ascii="Arial" w:hAnsi="Arial" w:cs="Arial"/>
          <w:color w:val="000000"/>
        </w:rPr>
        <w:t xml:space="preserve">Governance. </w:t>
      </w:r>
    </w:p>
    <w:p w14:paraId="6D16250E" w14:textId="77777777" w:rsidR="00C41C82" w:rsidRPr="00601B12" w:rsidRDefault="00C41C82" w:rsidP="0025121F">
      <w:pPr>
        <w:autoSpaceDE w:val="0"/>
        <w:autoSpaceDN w:val="0"/>
        <w:adjustRightInd w:val="0"/>
        <w:ind w:left="426" w:right="568" w:hanging="426"/>
        <w:jc w:val="both"/>
        <w:rPr>
          <w:rFonts w:ascii="Arial" w:hAnsi="Arial" w:cs="Arial"/>
          <w:color w:val="000000"/>
          <w:sz w:val="22"/>
          <w:szCs w:val="22"/>
        </w:rPr>
      </w:pPr>
    </w:p>
    <w:p w14:paraId="6D16250F" w14:textId="78DBD93B" w:rsidR="00C41C82" w:rsidRPr="00601B12" w:rsidRDefault="00EF47C8" w:rsidP="0025121F">
      <w:pPr>
        <w:autoSpaceDE w:val="0"/>
        <w:autoSpaceDN w:val="0"/>
        <w:adjustRightInd w:val="0"/>
        <w:ind w:left="426" w:right="568"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A copy of the Council’s risk register is </w:t>
      </w:r>
      <w:r w:rsidR="00B62EC3" w:rsidRPr="00601B12">
        <w:rPr>
          <w:rFonts w:ascii="Arial" w:hAnsi="Arial" w:cs="Arial"/>
          <w:color w:val="000000"/>
          <w:sz w:val="22"/>
          <w:szCs w:val="22"/>
        </w:rPr>
        <w:t xml:space="preserve">included as appendix </w:t>
      </w:r>
      <w:r w:rsidR="00B82FB9" w:rsidRPr="00601B12">
        <w:rPr>
          <w:rFonts w:ascii="Arial" w:hAnsi="Arial" w:cs="Arial"/>
          <w:color w:val="000000"/>
          <w:sz w:val="22"/>
          <w:szCs w:val="22"/>
        </w:rPr>
        <w:t>7</w:t>
      </w:r>
      <w:r w:rsidR="00B62EC3" w:rsidRPr="00601B12">
        <w:rPr>
          <w:rFonts w:ascii="Arial" w:hAnsi="Arial" w:cs="Arial"/>
          <w:color w:val="000000"/>
          <w:sz w:val="22"/>
          <w:szCs w:val="22"/>
        </w:rPr>
        <w:t xml:space="preserve"> of this report</w:t>
      </w:r>
      <w:r w:rsidR="00C41C82" w:rsidRPr="00601B12">
        <w:rPr>
          <w:rFonts w:ascii="Arial" w:hAnsi="Arial" w:cs="Arial"/>
          <w:color w:val="000000"/>
          <w:sz w:val="22"/>
          <w:szCs w:val="22"/>
        </w:rPr>
        <w:t xml:space="preserve">. Further details on risk can be found in the Fund’s accounts on pages </w:t>
      </w:r>
      <w:r w:rsidR="00AF3A57">
        <w:rPr>
          <w:rFonts w:ascii="Arial" w:hAnsi="Arial" w:cs="Arial"/>
          <w:color w:val="000000"/>
          <w:sz w:val="22"/>
          <w:szCs w:val="22"/>
        </w:rPr>
        <w:t>48 to 51</w:t>
      </w:r>
      <w:r w:rsidR="00C41C82" w:rsidRPr="00601B12">
        <w:rPr>
          <w:rFonts w:ascii="Arial" w:hAnsi="Arial" w:cs="Arial"/>
          <w:color w:val="000000"/>
          <w:sz w:val="22"/>
          <w:szCs w:val="22"/>
        </w:rPr>
        <w:t>.</w:t>
      </w:r>
    </w:p>
    <w:p w14:paraId="6D162510" w14:textId="77777777" w:rsidR="00C41C82" w:rsidRPr="00601B12" w:rsidRDefault="00C41C82" w:rsidP="0025121F">
      <w:pPr>
        <w:autoSpaceDE w:val="0"/>
        <w:autoSpaceDN w:val="0"/>
        <w:adjustRightInd w:val="0"/>
        <w:ind w:left="426" w:right="568" w:hanging="426"/>
        <w:jc w:val="both"/>
        <w:rPr>
          <w:rFonts w:ascii="Arial" w:hAnsi="Arial" w:cs="Arial"/>
          <w:color w:val="000000"/>
          <w:sz w:val="22"/>
          <w:szCs w:val="22"/>
        </w:rPr>
      </w:pPr>
    </w:p>
    <w:p w14:paraId="6D162511" w14:textId="77777777" w:rsidR="00C41C82" w:rsidRPr="00601B12" w:rsidRDefault="00F536EE" w:rsidP="0025121F">
      <w:pPr>
        <w:pStyle w:val="ListParagraph"/>
        <w:autoSpaceDE w:val="0"/>
        <w:autoSpaceDN w:val="0"/>
        <w:adjustRightInd w:val="0"/>
        <w:spacing w:after="0" w:line="240" w:lineRule="auto"/>
        <w:ind w:left="426" w:right="568" w:hanging="426"/>
        <w:jc w:val="both"/>
        <w:rPr>
          <w:rFonts w:ascii="Arial" w:hAnsi="Arial" w:cs="Arial"/>
          <w:b/>
          <w:bCs/>
          <w:color w:val="000000"/>
        </w:rPr>
      </w:pPr>
      <w:r w:rsidRPr="00601B12">
        <w:rPr>
          <w:rFonts w:ascii="Arial" w:hAnsi="Arial" w:cs="Arial"/>
          <w:b/>
          <w:bCs/>
          <w:color w:val="000000"/>
        </w:rPr>
        <w:t>8</w:t>
      </w:r>
      <w:r w:rsidR="00C41C82" w:rsidRPr="00601B12">
        <w:rPr>
          <w:rFonts w:ascii="Arial" w:hAnsi="Arial" w:cs="Arial"/>
          <w:b/>
          <w:bCs/>
          <w:color w:val="000000"/>
        </w:rPr>
        <w:t>.2</w:t>
      </w:r>
      <w:r w:rsidR="00C41C82" w:rsidRPr="00601B12">
        <w:rPr>
          <w:rFonts w:ascii="Arial" w:hAnsi="Arial" w:cs="Arial"/>
          <w:b/>
          <w:bCs/>
          <w:color w:val="000000"/>
        </w:rPr>
        <w:tab/>
        <w:t xml:space="preserve">Management of </w:t>
      </w:r>
      <w:proofErr w:type="gramStart"/>
      <w:r w:rsidR="00C41C82" w:rsidRPr="00601B12">
        <w:rPr>
          <w:rFonts w:ascii="Arial" w:hAnsi="Arial" w:cs="Arial"/>
          <w:b/>
          <w:bCs/>
          <w:color w:val="000000"/>
        </w:rPr>
        <w:t>Third Party</w:t>
      </w:r>
      <w:proofErr w:type="gramEnd"/>
      <w:r w:rsidR="00C41C82" w:rsidRPr="00601B12">
        <w:rPr>
          <w:rFonts w:ascii="Arial" w:hAnsi="Arial" w:cs="Arial"/>
          <w:b/>
          <w:bCs/>
          <w:color w:val="000000"/>
        </w:rPr>
        <w:t xml:space="preserve"> Risks</w:t>
      </w:r>
    </w:p>
    <w:p w14:paraId="6D162512" w14:textId="77777777" w:rsidR="00C41C82" w:rsidRPr="00601B12" w:rsidRDefault="00C41C82" w:rsidP="0025121F">
      <w:pPr>
        <w:autoSpaceDE w:val="0"/>
        <w:autoSpaceDN w:val="0"/>
        <w:adjustRightInd w:val="0"/>
        <w:ind w:left="426" w:right="568" w:hanging="426"/>
        <w:jc w:val="both"/>
        <w:rPr>
          <w:rFonts w:ascii="Arial" w:hAnsi="Arial" w:cs="Arial"/>
          <w:b/>
          <w:bCs/>
          <w:color w:val="000000"/>
          <w:sz w:val="22"/>
          <w:szCs w:val="22"/>
        </w:rPr>
      </w:pPr>
    </w:p>
    <w:p w14:paraId="6D162513" w14:textId="77777777" w:rsidR="00C41C82" w:rsidRPr="00601B12" w:rsidRDefault="00EF47C8" w:rsidP="0025121F">
      <w:pPr>
        <w:autoSpaceDE w:val="0"/>
        <w:autoSpaceDN w:val="0"/>
        <w:adjustRightInd w:val="0"/>
        <w:ind w:left="426" w:right="568"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Pension </w:t>
      </w:r>
      <w:r w:rsidR="00D576F8" w:rsidRPr="00601B12">
        <w:rPr>
          <w:rFonts w:ascii="Arial" w:hAnsi="Arial" w:cs="Arial"/>
          <w:color w:val="000000"/>
          <w:sz w:val="22"/>
          <w:szCs w:val="22"/>
        </w:rPr>
        <w:t>Committee</w:t>
      </w:r>
      <w:r w:rsidR="00C41C82" w:rsidRPr="00601B12">
        <w:rPr>
          <w:rFonts w:ascii="Arial" w:hAnsi="Arial" w:cs="Arial"/>
          <w:color w:val="000000"/>
          <w:sz w:val="22"/>
          <w:szCs w:val="22"/>
        </w:rPr>
        <w:t xml:space="preserve"> reviews annually all SSAE 16 and AAF 01/06 reports for its investment managers and custodian. SSAE 16 and AAF 01/06 reports are Assurance reports on internal controls of service organisations which can identify issues within the way a fund manager is run. Where there are concerns the </w:t>
      </w:r>
      <w:r w:rsidR="00D576F8" w:rsidRPr="00601B12">
        <w:rPr>
          <w:rFonts w:ascii="Arial" w:hAnsi="Arial" w:cs="Arial"/>
          <w:color w:val="000000"/>
          <w:sz w:val="22"/>
          <w:szCs w:val="22"/>
        </w:rPr>
        <w:t>Committee</w:t>
      </w:r>
      <w:r w:rsidR="00C41C82" w:rsidRPr="00601B12">
        <w:rPr>
          <w:rFonts w:ascii="Arial" w:hAnsi="Arial" w:cs="Arial"/>
          <w:color w:val="000000"/>
          <w:sz w:val="22"/>
          <w:szCs w:val="22"/>
        </w:rPr>
        <w:t xml:space="preserve"> contacts the fund manager for steps it has taken to mitigate risks or issues raised by third party auditors.</w:t>
      </w:r>
    </w:p>
    <w:p w14:paraId="6D162514" w14:textId="77777777" w:rsidR="00C41C82" w:rsidRPr="00601B12" w:rsidRDefault="00C41C82" w:rsidP="0025121F">
      <w:pPr>
        <w:autoSpaceDE w:val="0"/>
        <w:autoSpaceDN w:val="0"/>
        <w:adjustRightInd w:val="0"/>
        <w:ind w:left="426" w:right="568" w:hanging="426"/>
        <w:jc w:val="both"/>
        <w:rPr>
          <w:rFonts w:ascii="Arial" w:hAnsi="Arial" w:cs="Arial"/>
          <w:color w:val="000000"/>
          <w:sz w:val="22"/>
          <w:szCs w:val="22"/>
        </w:rPr>
      </w:pPr>
    </w:p>
    <w:p w14:paraId="6D162515" w14:textId="77777777" w:rsidR="00C41C82" w:rsidRPr="00601B12" w:rsidRDefault="00EF47C8" w:rsidP="0025121F">
      <w:pPr>
        <w:autoSpaceDE w:val="0"/>
        <w:autoSpaceDN w:val="0"/>
        <w:adjustRightInd w:val="0"/>
        <w:ind w:left="426" w:right="568"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All employers are regularly informed of their statutory duty to ensure that contributions are received by the Administering Authority on time. </w:t>
      </w:r>
    </w:p>
    <w:p w14:paraId="6D162516" w14:textId="77777777" w:rsidR="00C41C82" w:rsidRPr="00601B12" w:rsidRDefault="00C41C82" w:rsidP="0025121F">
      <w:pPr>
        <w:autoSpaceDE w:val="0"/>
        <w:autoSpaceDN w:val="0"/>
        <w:adjustRightInd w:val="0"/>
        <w:ind w:left="426" w:right="568" w:hanging="426"/>
        <w:jc w:val="both"/>
        <w:rPr>
          <w:rFonts w:ascii="Arial" w:hAnsi="Arial" w:cs="Arial"/>
          <w:color w:val="000000"/>
          <w:sz w:val="22"/>
          <w:szCs w:val="22"/>
        </w:rPr>
      </w:pPr>
    </w:p>
    <w:p w14:paraId="6D162517" w14:textId="77777777" w:rsidR="00C41C82" w:rsidRPr="00601B12" w:rsidRDefault="00F536EE" w:rsidP="0025121F">
      <w:pPr>
        <w:pStyle w:val="ListParagraph"/>
        <w:autoSpaceDE w:val="0"/>
        <w:autoSpaceDN w:val="0"/>
        <w:adjustRightInd w:val="0"/>
        <w:spacing w:after="0" w:line="240" w:lineRule="auto"/>
        <w:ind w:left="426" w:right="568" w:hanging="426"/>
        <w:jc w:val="both"/>
        <w:rPr>
          <w:rFonts w:ascii="Arial" w:hAnsi="Arial" w:cs="Arial"/>
          <w:b/>
          <w:bCs/>
          <w:color w:val="000000"/>
        </w:rPr>
      </w:pPr>
      <w:r w:rsidRPr="00601B12">
        <w:rPr>
          <w:rFonts w:ascii="Arial" w:hAnsi="Arial" w:cs="Arial"/>
          <w:b/>
          <w:bCs/>
          <w:color w:val="000000"/>
        </w:rPr>
        <w:t>8</w:t>
      </w:r>
      <w:r w:rsidR="00C41C82" w:rsidRPr="00601B12">
        <w:rPr>
          <w:rFonts w:ascii="Arial" w:hAnsi="Arial" w:cs="Arial"/>
          <w:b/>
          <w:bCs/>
          <w:color w:val="000000"/>
        </w:rPr>
        <w:t>.3</w:t>
      </w:r>
      <w:r w:rsidR="00C41C82" w:rsidRPr="00601B12">
        <w:rPr>
          <w:rFonts w:ascii="Arial" w:hAnsi="Arial" w:cs="Arial"/>
          <w:b/>
          <w:bCs/>
          <w:color w:val="000000"/>
        </w:rPr>
        <w:tab/>
        <w:t xml:space="preserve"> Financial Performance</w:t>
      </w:r>
    </w:p>
    <w:p w14:paraId="6D162518" w14:textId="77777777" w:rsidR="00C41C82" w:rsidRPr="00601B12" w:rsidRDefault="00C41C82" w:rsidP="0025121F">
      <w:pPr>
        <w:pStyle w:val="ListParagraph"/>
        <w:autoSpaceDE w:val="0"/>
        <w:autoSpaceDN w:val="0"/>
        <w:adjustRightInd w:val="0"/>
        <w:spacing w:after="0" w:line="240" w:lineRule="auto"/>
        <w:ind w:left="426" w:right="568" w:hanging="426"/>
        <w:jc w:val="both"/>
        <w:rPr>
          <w:rFonts w:ascii="Arial" w:hAnsi="Arial" w:cs="Arial"/>
          <w:b/>
          <w:bCs/>
          <w:color w:val="000000"/>
        </w:rPr>
      </w:pPr>
    </w:p>
    <w:p w14:paraId="6D162519" w14:textId="77777777" w:rsidR="00C41C82" w:rsidRPr="00601B12" w:rsidRDefault="00EF47C8" w:rsidP="0025121F">
      <w:pPr>
        <w:autoSpaceDE w:val="0"/>
        <w:autoSpaceDN w:val="0"/>
        <w:adjustRightInd w:val="0"/>
        <w:ind w:left="426" w:right="568"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The Fund prepares a </w:t>
      </w:r>
      <w:r w:rsidR="006C4B6F" w:rsidRPr="00601B12">
        <w:rPr>
          <w:rFonts w:ascii="Arial" w:hAnsi="Arial" w:cs="Arial"/>
          <w:color w:val="000000"/>
          <w:sz w:val="22"/>
          <w:szCs w:val="22"/>
        </w:rPr>
        <w:t>three-year</w:t>
      </w:r>
      <w:r w:rsidR="00C41C82" w:rsidRPr="00601B12">
        <w:rPr>
          <w:rFonts w:ascii="Arial" w:hAnsi="Arial" w:cs="Arial"/>
          <w:color w:val="000000"/>
          <w:sz w:val="22"/>
          <w:szCs w:val="22"/>
        </w:rPr>
        <w:t xml:space="preserve"> plan of its funding called the Funding Strategy Statement (FSS). The purpose of the Funding Strategy Statement is:</w:t>
      </w:r>
    </w:p>
    <w:p w14:paraId="6D16251A" w14:textId="77777777" w:rsidR="00C41C82" w:rsidRPr="00601B12" w:rsidRDefault="00C41C82" w:rsidP="0025121F">
      <w:pPr>
        <w:autoSpaceDE w:val="0"/>
        <w:autoSpaceDN w:val="0"/>
        <w:adjustRightInd w:val="0"/>
        <w:ind w:left="426" w:right="568" w:hanging="426"/>
        <w:jc w:val="both"/>
        <w:rPr>
          <w:rFonts w:ascii="Arial" w:hAnsi="Arial" w:cs="Arial"/>
          <w:color w:val="000000"/>
          <w:sz w:val="22"/>
          <w:szCs w:val="22"/>
        </w:rPr>
      </w:pPr>
    </w:p>
    <w:p w14:paraId="6D16251B" w14:textId="77777777" w:rsidR="00C41C82" w:rsidRPr="00601B12" w:rsidRDefault="00C41C82" w:rsidP="007337FE">
      <w:pPr>
        <w:pStyle w:val="ListParagraph"/>
        <w:numPr>
          <w:ilvl w:val="0"/>
          <w:numId w:val="43"/>
        </w:numPr>
        <w:autoSpaceDE w:val="0"/>
        <w:autoSpaceDN w:val="0"/>
        <w:adjustRightInd w:val="0"/>
        <w:spacing w:after="0" w:line="240" w:lineRule="auto"/>
        <w:ind w:left="993" w:right="568" w:hanging="426"/>
        <w:jc w:val="both"/>
        <w:rPr>
          <w:rFonts w:ascii="Arial" w:hAnsi="Arial" w:cs="Arial"/>
          <w:color w:val="000000"/>
        </w:rPr>
      </w:pPr>
      <w:r w:rsidRPr="00601B12">
        <w:rPr>
          <w:rFonts w:ascii="Arial" w:hAnsi="Arial" w:cs="Arial"/>
          <w:color w:val="000000"/>
        </w:rPr>
        <w:t xml:space="preserve">To establish a clear and transparent fund-specific strategy which will identify how employers’ pension liabilities are best met going </w:t>
      </w:r>
      <w:proofErr w:type="gramStart"/>
      <w:r w:rsidRPr="00601B12">
        <w:rPr>
          <w:rFonts w:ascii="Arial" w:hAnsi="Arial" w:cs="Arial"/>
          <w:color w:val="000000"/>
        </w:rPr>
        <w:t>forward;</w:t>
      </w:r>
      <w:proofErr w:type="gramEnd"/>
    </w:p>
    <w:p w14:paraId="6D16251C" w14:textId="77777777" w:rsidR="00C41C82" w:rsidRPr="00601B12" w:rsidRDefault="00C41C82" w:rsidP="007337FE">
      <w:pPr>
        <w:pStyle w:val="ListParagraph"/>
        <w:numPr>
          <w:ilvl w:val="0"/>
          <w:numId w:val="43"/>
        </w:numPr>
        <w:autoSpaceDE w:val="0"/>
        <w:autoSpaceDN w:val="0"/>
        <w:adjustRightInd w:val="0"/>
        <w:spacing w:after="0" w:line="240" w:lineRule="auto"/>
        <w:ind w:left="993" w:right="568" w:hanging="426"/>
        <w:jc w:val="both"/>
        <w:rPr>
          <w:rFonts w:ascii="Arial" w:hAnsi="Arial" w:cs="Arial"/>
          <w:color w:val="000000"/>
        </w:rPr>
      </w:pPr>
      <w:r w:rsidRPr="00601B12">
        <w:rPr>
          <w:rFonts w:ascii="Arial" w:hAnsi="Arial" w:cs="Arial"/>
          <w:color w:val="000000"/>
        </w:rPr>
        <w:t>To support the regulatory requirement to maintain as nearly consistent employer contributions as possible; and</w:t>
      </w:r>
    </w:p>
    <w:p w14:paraId="6D16251D" w14:textId="77777777" w:rsidR="00C41C82" w:rsidRPr="00601B12" w:rsidRDefault="00C41C82" w:rsidP="007337FE">
      <w:pPr>
        <w:pStyle w:val="ListParagraph"/>
        <w:numPr>
          <w:ilvl w:val="0"/>
          <w:numId w:val="43"/>
        </w:numPr>
        <w:autoSpaceDE w:val="0"/>
        <w:autoSpaceDN w:val="0"/>
        <w:adjustRightInd w:val="0"/>
        <w:spacing w:after="0" w:line="240" w:lineRule="auto"/>
        <w:ind w:left="993" w:right="568" w:hanging="426"/>
        <w:jc w:val="both"/>
        <w:rPr>
          <w:rFonts w:ascii="Arial" w:hAnsi="Arial" w:cs="Arial"/>
          <w:color w:val="000000"/>
        </w:rPr>
      </w:pPr>
      <w:r w:rsidRPr="00601B12">
        <w:rPr>
          <w:rFonts w:ascii="Arial" w:hAnsi="Arial" w:cs="Arial"/>
          <w:color w:val="000000"/>
        </w:rPr>
        <w:t>To take a prudent longer-term view of funding those liabilities.</w:t>
      </w:r>
    </w:p>
    <w:p w14:paraId="6D16251E" w14:textId="77777777" w:rsidR="00C41C82" w:rsidRPr="00601B12" w:rsidRDefault="00C41C82" w:rsidP="0025121F">
      <w:pPr>
        <w:autoSpaceDE w:val="0"/>
        <w:autoSpaceDN w:val="0"/>
        <w:adjustRightInd w:val="0"/>
        <w:ind w:left="426" w:right="568" w:hanging="426"/>
        <w:jc w:val="both"/>
        <w:rPr>
          <w:rFonts w:ascii="Arial" w:hAnsi="Arial" w:cs="Arial"/>
          <w:color w:val="000000"/>
          <w:sz w:val="22"/>
          <w:szCs w:val="22"/>
        </w:rPr>
      </w:pPr>
    </w:p>
    <w:p w14:paraId="2D090190" w14:textId="43D0076D" w:rsidR="00AF3A57" w:rsidRDefault="00EF47C8" w:rsidP="0025498F">
      <w:pPr>
        <w:autoSpaceDE w:val="0"/>
        <w:autoSpaceDN w:val="0"/>
        <w:adjustRightInd w:val="0"/>
        <w:ind w:left="426" w:right="568" w:hanging="426"/>
        <w:jc w:val="both"/>
        <w:rPr>
          <w:rFonts w:ascii="Arial" w:hAnsi="Arial" w:cs="Arial"/>
          <w:color w:val="000000"/>
          <w:sz w:val="22"/>
          <w:szCs w:val="22"/>
        </w:rPr>
      </w:pPr>
      <w:r w:rsidRPr="00601B12">
        <w:rPr>
          <w:rFonts w:ascii="Arial" w:hAnsi="Arial" w:cs="Arial"/>
          <w:color w:val="000000"/>
          <w:sz w:val="22"/>
          <w:szCs w:val="22"/>
        </w:rPr>
        <w:tab/>
      </w:r>
      <w:r w:rsidR="00C41C82" w:rsidRPr="00601B12">
        <w:rPr>
          <w:rFonts w:ascii="Arial" w:hAnsi="Arial" w:cs="Arial"/>
          <w:color w:val="000000"/>
          <w:sz w:val="22"/>
          <w:szCs w:val="22"/>
        </w:rPr>
        <w:t xml:space="preserve">Admitted and Scheduled bodies are circulated with valuation results for comments and agreement on contribution rates. Their responses are considered in preparing the FSS for the Fund. The FSS is included as </w:t>
      </w:r>
      <w:r w:rsidR="009B0887" w:rsidRPr="00601B12">
        <w:rPr>
          <w:rFonts w:ascii="Arial" w:hAnsi="Arial" w:cs="Arial"/>
          <w:color w:val="000000"/>
          <w:sz w:val="22"/>
          <w:szCs w:val="22"/>
        </w:rPr>
        <w:t xml:space="preserve">appendix </w:t>
      </w:r>
      <w:r w:rsidR="009B0887">
        <w:rPr>
          <w:rFonts w:ascii="Arial" w:hAnsi="Arial" w:cs="Arial"/>
          <w:color w:val="000000"/>
          <w:sz w:val="22"/>
          <w:szCs w:val="22"/>
        </w:rPr>
        <w:t xml:space="preserve">3 </w:t>
      </w:r>
      <w:r w:rsidR="00C41C82" w:rsidRPr="00601B12">
        <w:rPr>
          <w:rFonts w:ascii="Arial" w:hAnsi="Arial" w:cs="Arial"/>
          <w:color w:val="000000"/>
          <w:sz w:val="22"/>
          <w:szCs w:val="22"/>
        </w:rPr>
        <w:t>of this report.</w:t>
      </w:r>
    </w:p>
    <w:p w14:paraId="516E90AE" w14:textId="77777777" w:rsidR="00410E54" w:rsidRDefault="00410E54" w:rsidP="0025498F">
      <w:pPr>
        <w:autoSpaceDE w:val="0"/>
        <w:autoSpaceDN w:val="0"/>
        <w:adjustRightInd w:val="0"/>
        <w:ind w:left="426" w:right="568" w:hanging="426"/>
        <w:jc w:val="both"/>
        <w:rPr>
          <w:rFonts w:ascii="Arial" w:hAnsi="Arial" w:cs="Arial"/>
          <w:color w:val="000000"/>
          <w:sz w:val="22"/>
          <w:szCs w:val="22"/>
        </w:rPr>
      </w:pPr>
    </w:p>
    <w:p w14:paraId="42E6E635" w14:textId="77777777" w:rsidR="00410E54" w:rsidRDefault="00410E54" w:rsidP="0025498F">
      <w:pPr>
        <w:autoSpaceDE w:val="0"/>
        <w:autoSpaceDN w:val="0"/>
        <w:adjustRightInd w:val="0"/>
        <w:ind w:left="426" w:right="568" w:hanging="426"/>
        <w:jc w:val="both"/>
        <w:rPr>
          <w:rFonts w:ascii="Arial" w:hAnsi="Arial" w:cs="Arial"/>
          <w:color w:val="000000"/>
          <w:sz w:val="22"/>
          <w:szCs w:val="22"/>
        </w:rPr>
      </w:pPr>
    </w:p>
    <w:p w14:paraId="235F824B" w14:textId="77777777" w:rsidR="00410E54" w:rsidRDefault="00410E54" w:rsidP="0025498F">
      <w:pPr>
        <w:autoSpaceDE w:val="0"/>
        <w:autoSpaceDN w:val="0"/>
        <w:adjustRightInd w:val="0"/>
        <w:ind w:left="426" w:right="568" w:hanging="426"/>
        <w:jc w:val="both"/>
        <w:rPr>
          <w:rFonts w:ascii="Arial" w:hAnsi="Arial" w:cs="Arial"/>
          <w:color w:val="000000"/>
          <w:sz w:val="22"/>
          <w:szCs w:val="22"/>
        </w:rPr>
      </w:pPr>
    </w:p>
    <w:p w14:paraId="4C2636B1" w14:textId="77777777" w:rsidR="00410E54" w:rsidRPr="0025498F" w:rsidRDefault="00410E54" w:rsidP="0025498F">
      <w:pPr>
        <w:autoSpaceDE w:val="0"/>
        <w:autoSpaceDN w:val="0"/>
        <w:adjustRightInd w:val="0"/>
        <w:ind w:left="426" w:right="568" w:hanging="426"/>
        <w:jc w:val="both"/>
        <w:rPr>
          <w:rFonts w:ascii="Arial" w:hAnsi="Arial" w:cs="Arial"/>
          <w:color w:val="000000"/>
          <w:sz w:val="22"/>
          <w:szCs w:val="22"/>
        </w:rPr>
      </w:pPr>
    </w:p>
    <w:p w14:paraId="43A165B9" w14:textId="77777777" w:rsidR="00050599" w:rsidRDefault="00050599" w:rsidP="002206B2">
      <w:pPr>
        <w:ind w:right="568"/>
        <w:rPr>
          <w:rFonts w:ascii="Arial" w:hAnsi="Arial" w:cs="Arial"/>
          <w:b/>
          <w:color w:val="C00000"/>
        </w:rPr>
      </w:pPr>
    </w:p>
    <w:p w14:paraId="6D162520" w14:textId="73529EC2" w:rsidR="00C41C82" w:rsidRPr="002206B2" w:rsidRDefault="00F536EE" w:rsidP="002206B2">
      <w:pPr>
        <w:ind w:right="568"/>
        <w:rPr>
          <w:rFonts w:ascii="Arial" w:hAnsi="Arial" w:cs="Arial"/>
          <w:b/>
          <w:bCs/>
          <w:color w:val="C00000"/>
        </w:rPr>
      </w:pPr>
      <w:r w:rsidRPr="002206B2">
        <w:rPr>
          <w:rFonts w:ascii="Arial" w:hAnsi="Arial" w:cs="Arial"/>
          <w:b/>
          <w:color w:val="C00000"/>
        </w:rPr>
        <w:t>9</w:t>
      </w:r>
      <w:r w:rsidR="00C41C82" w:rsidRPr="002206B2">
        <w:rPr>
          <w:rFonts w:ascii="Arial" w:hAnsi="Arial" w:cs="Arial"/>
          <w:b/>
          <w:color w:val="C00000"/>
        </w:rPr>
        <w:t>.</w:t>
      </w:r>
      <w:r w:rsidR="001A104E" w:rsidRPr="002206B2">
        <w:rPr>
          <w:rFonts w:ascii="Arial" w:hAnsi="Arial" w:cs="Arial"/>
          <w:b/>
          <w:color w:val="C00000"/>
        </w:rPr>
        <w:t xml:space="preserve">   </w:t>
      </w:r>
      <w:r w:rsidR="00C41C82" w:rsidRPr="002206B2">
        <w:rPr>
          <w:rFonts w:ascii="Arial" w:hAnsi="Arial" w:cs="Arial"/>
          <w:b/>
          <w:bCs/>
          <w:color w:val="C00000"/>
        </w:rPr>
        <w:t>Actuarial Report on Fund Valuation</w:t>
      </w:r>
    </w:p>
    <w:p w14:paraId="6D162521" w14:textId="77777777" w:rsidR="00EB2FA1" w:rsidRPr="002206B2" w:rsidRDefault="00EB2FA1" w:rsidP="002206B2">
      <w:pPr>
        <w:ind w:left="426" w:right="568" w:hanging="426"/>
        <w:rPr>
          <w:rFonts w:ascii="Arial" w:hAnsi="Arial" w:cs="Arial"/>
          <w:b/>
          <w:color w:val="C00000"/>
          <w:sz w:val="22"/>
          <w:szCs w:val="22"/>
        </w:rPr>
      </w:pPr>
    </w:p>
    <w:p w14:paraId="6D162522" w14:textId="77777777" w:rsidR="00C41C82" w:rsidRPr="002206B2" w:rsidRDefault="00F536EE" w:rsidP="002206B2">
      <w:pPr>
        <w:autoSpaceDE w:val="0"/>
        <w:autoSpaceDN w:val="0"/>
        <w:adjustRightInd w:val="0"/>
        <w:ind w:left="426" w:right="568" w:hanging="426"/>
        <w:jc w:val="both"/>
        <w:rPr>
          <w:rFonts w:ascii="Arial" w:hAnsi="Arial" w:cs="Arial"/>
          <w:b/>
          <w:bCs/>
          <w:color w:val="000000"/>
          <w:sz w:val="22"/>
          <w:szCs w:val="22"/>
        </w:rPr>
      </w:pPr>
      <w:r w:rsidRPr="002206B2">
        <w:rPr>
          <w:rFonts w:ascii="Arial" w:hAnsi="Arial" w:cs="Arial"/>
          <w:b/>
          <w:bCs/>
          <w:color w:val="000000"/>
          <w:sz w:val="22"/>
          <w:szCs w:val="22"/>
        </w:rPr>
        <w:t>9</w:t>
      </w:r>
      <w:r w:rsidR="00C41C82" w:rsidRPr="002206B2">
        <w:rPr>
          <w:rFonts w:ascii="Arial" w:hAnsi="Arial" w:cs="Arial"/>
          <w:b/>
          <w:bCs/>
          <w:color w:val="000000"/>
          <w:sz w:val="22"/>
          <w:szCs w:val="22"/>
        </w:rPr>
        <w:t xml:space="preserve">.1 </w:t>
      </w:r>
      <w:r w:rsidR="00C41C82" w:rsidRPr="002206B2">
        <w:rPr>
          <w:rFonts w:ascii="Arial" w:hAnsi="Arial" w:cs="Arial"/>
          <w:b/>
          <w:bCs/>
          <w:color w:val="000000"/>
          <w:sz w:val="22"/>
          <w:szCs w:val="22"/>
        </w:rPr>
        <w:tab/>
        <w:t>Actuarial Valuation and Solvency of the Fund</w:t>
      </w:r>
    </w:p>
    <w:p w14:paraId="6D162523" w14:textId="77777777" w:rsidR="00C41C82" w:rsidRPr="002206B2" w:rsidRDefault="00C41C82" w:rsidP="002206B2">
      <w:pPr>
        <w:autoSpaceDE w:val="0"/>
        <w:autoSpaceDN w:val="0"/>
        <w:adjustRightInd w:val="0"/>
        <w:ind w:left="426" w:right="568" w:hanging="426"/>
        <w:jc w:val="both"/>
        <w:rPr>
          <w:rFonts w:ascii="Arial" w:hAnsi="Arial" w:cs="Arial"/>
          <w:b/>
          <w:color w:val="000000"/>
          <w:sz w:val="22"/>
          <w:szCs w:val="22"/>
        </w:rPr>
      </w:pPr>
    </w:p>
    <w:p w14:paraId="6D162524" w14:textId="77777777" w:rsidR="00C41C82" w:rsidRPr="002206B2" w:rsidRDefault="00EF47C8" w:rsidP="002206B2">
      <w:pPr>
        <w:autoSpaceDE w:val="0"/>
        <w:autoSpaceDN w:val="0"/>
        <w:adjustRightInd w:val="0"/>
        <w:ind w:left="426" w:right="568" w:hanging="426"/>
        <w:jc w:val="both"/>
        <w:rPr>
          <w:rFonts w:ascii="Arial" w:hAnsi="Arial" w:cs="Arial"/>
          <w:color w:val="000000"/>
          <w:sz w:val="22"/>
          <w:szCs w:val="22"/>
        </w:rPr>
      </w:pPr>
      <w:r w:rsidRPr="002206B2">
        <w:rPr>
          <w:rFonts w:ascii="Arial" w:hAnsi="Arial" w:cs="Arial"/>
          <w:color w:val="000000"/>
          <w:sz w:val="22"/>
          <w:szCs w:val="22"/>
        </w:rPr>
        <w:tab/>
      </w:r>
      <w:r w:rsidR="00C41C82" w:rsidRPr="002206B2">
        <w:rPr>
          <w:rFonts w:ascii="Arial" w:hAnsi="Arial" w:cs="Arial"/>
          <w:color w:val="000000"/>
          <w:sz w:val="22"/>
          <w:szCs w:val="22"/>
        </w:rPr>
        <w:t>Legislation requires the Fund to have an actuarial valuation undertaken every three years. The purpose of the valuation is for an independent assessment to be made of the financial health of the Fund and its ability to meet its obligations to pay pensions in the future.</w:t>
      </w:r>
    </w:p>
    <w:p w14:paraId="6D162525" w14:textId="77777777" w:rsidR="00C41C82" w:rsidRPr="002206B2" w:rsidRDefault="00C41C82" w:rsidP="002206B2">
      <w:pPr>
        <w:autoSpaceDE w:val="0"/>
        <w:autoSpaceDN w:val="0"/>
        <w:adjustRightInd w:val="0"/>
        <w:ind w:left="426" w:right="568" w:hanging="426"/>
        <w:jc w:val="both"/>
        <w:rPr>
          <w:rFonts w:ascii="Arial" w:hAnsi="Arial" w:cs="Arial"/>
          <w:b/>
          <w:color w:val="000000"/>
          <w:sz w:val="22"/>
          <w:szCs w:val="22"/>
        </w:rPr>
      </w:pPr>
    </w:p>
    <w:p w14:paraId="6D162526" w14:textId="77777777" w:rsidR="00C41C82" w:rsidRPr="002206B2" w:rsidRDefault="00EF47C8" w:rsidP="002206B2">
      <w:pPr>
        <w:autoSpaceDE w:val="0"/>
        <w:autoSpaceDN w:val="0"/>
        <w:adjustRightInd w:val="0"/>
        <w:ind w:left="426" w:right="568" w:hanging="426"/>
        <w:jc w:val="both"/>
        <w:rPr>
          <w:rFonts w:ascii="Arial" w:hAnsi="Arial" w:cs="Arial"/>
          <w:color w:val="000000"/>
          <w:sz w:val="22"/>
          <w:szCs w:val="22"/>
        </w:rPr>
      </w:pPr>
      <w:r w:rsidRPr="002206B2">
        <w:rPr>
          <w:rFonts w:ascii="Arial" w:hAnsi="Arial" w:cs="Arial"/>
          <w:color w:val="000000"/>
          <w:sz w:val="22"/>
          <w:szCs w:val="22"/>
        </w:rPr>
        <w:tab/>
      </w:r>
      <w:r w:rsidR="00C41C82" w:rsidRPr="002206B2">
        <w:rPr>
          <w:rFonts w:ascii="Arial" w:hAnsi="Arial" w:cs="Arial"/>
          <w:color w:val="000000"/>
          <w:sz w:val="22"/>
          <w:szCs w:val="22"/>
        </w:rPr>
        <w:t>The aim of the report is to recommend employer contribution levels to ensure that assets in the fund cover liabilities over the long term.  The key features of the review were that:</w:t>
      </w:r>
    </w:p>
    <w:p w14:paraId="6D162527" w14:textId="77777777" w:rsidR="00B20849" w:rsidRPr="002206B2" w:rsidRDefault="00B20849" w:rsidP="002206B2">
      <w:pPr>
        <w:autoSpaceDE w:val="0"/>
        <w:autoSpaceDN w:val="0"/>
        <w:adjustRightInd w:val="0"/>
        <w:ind w:left="426" w:right="568" w:hanging="426"/>
        <w:jc w:val="both"/>
        <w:rPr>
          <w:rFonts w:ascii="Arial" w:hAnsi="Arial" w:cs="Arial"/>
          <w:color w:val="000000"/>
          <w:sz w:val="22"/>
          <w:szCs w:val="22"/>
        </w:rPr>
      </w:pPr>
    </w:p>
    <w:p w14:paraId="6D162528" w14:textId="77777777" w:rsidR="00C41C82" w:rsidRPr="002206B2" w:rsidRDefault="00C41C82" w:rsidP="002206B2">
      <w:pPr>
        <w:pStyle w:val="ListParagraph"/>
        <w:numPr>
          <w:ilvl w:val="0"/>
          <w:numId w:val="59"/>
        </w:numPr>
        <w:autoSpaceDE w:val="0"/>
        <w:autoSpaceDN w:val="0"/>
        <w:adjustRightInd w:val="0"/>
        <w:spacing w:after="0" w:line="240" w:lineRule="auto"/>
        <w:ind w:left="1146" w:right="568" w:hanging="426"/>
        <w:jc w:val="both"/>
        <w:rPr>
          <w:rFonts w:ascii="Arial" w:hAnsi="Arial" w:cs="Arial"/>
          <w:color w:val="000000"/>
        </w:rPr>
      </w:pPr>
      <w:r w:rsidRPr="002206B2">
        <w:rPr>
          <w:rFonts w:ascii="Arial" w:hAnsi="Arial" w:cs="Arial"/>
          <w:color w:val="000000"/>
        </w:rPr>
        <w:t xml:space="preserve">the funding target remains unchanged to achieve a funding level of at least 100% over a specific </w:t>
      </w:r>
      <w:proofErr w:type="gramStart"/>
      <w:r w:rsidRPr="002206B2">
        <w:rPr>
          <w:rFonts w:ascii="Arial" w:hAnsi="Arial" w:cs="Arial"/>
          <w:color w:val="000000"/>
        </w:rPr>
        <w:t>period;</w:t>
      </w:r>
      <w:proofErr w:type="gramEnd"/>
    </w:p>
    <w:p w14:paraId="6D162529" w14:textId="77777777" w:rsidR="00B20849" w:rsidRPr="002206B2" w:rsidRDefault="00B20849" w:rsidP="002206B2">
      <w:pPr>
        <w:pStyle w:val="ListParagraph"/>
        <w:autoSpaceDE w:val="0"/>
        <w:autoSpaceDN w:val="0"/>
        <w:adjustRightInd w:val="0"/>
        <w:spacing w:after="0" w:line="240" w:lineRule="auto"/>
        <w:ind w:left="1146" w:right="568" w:hanging="426"/>
        <w:jc w:val="both"/>
        <w:rPr>
          <w:rFonts w:ascii="Arial" w:hAnsi="Arial" w:cs="Arial"/>
          <w:color w:val="000000"/>
        </w:rPr>
      </w:pPr>
    </w:p>
    <w:p w14:paraId="3DBB2922" w14:textId="1E794F4D" w:rsidR="00E82E46" w:rsidRPr="002206B2" w:rsidRDefault="00C41C82" w:rsidP="002206B2">
      <w:pPr>
        <w:pStyle w:val="ListParagraph"/>
        <w:numPr>
          <w:ilvl w:val="0"/>
          <w:numId w:val="59"/>
        </w:numPr>
        <w:autoSpaceDE w:val="0"/>
        <w:autoSpaceDN w:val="0"/>
        <w:adjustRightInd w:val="0"/>
        <w:spacing w:after="0" w:line="240" w:lineRule="auto"/>
        <w:ind w:left="1146" w:right="568" w:hanging="426"/>
        <w:jc w:val="both"/>
        <w:rPr>
          <w:rFonts w:ascii="Arial" w:hAnsi="Arial" w:cs="Arial"/>
          <w:color w:val="000000"/>
        </w:rPr>
      </w:pPr>
      <w:r w:rsidRPr="002206B2">
        <w:rPr>
          <w:rFonts w:ascii="Arial" w:hAnsi="Arial" w:cs="Arial"/>
          <w:color w:val="000000"/>
        </w:rPr>
        <w:t xml:space="preserve">future levels of price inflation are based on the Consumer Price Index (CPI) (previously Retail Price Index) </w:t>
      </w:r>
      <w:r w:rsidR="0097586A" w:rsidRPr="002206B2">
        <w:rPr>
          <w:rFonts w:ascii="Arial" w:hAnsi="Arial" w:cs="Arial"/>
          <w:color w:val="000000"/>
        </w:rPr>
        <w:t>which</w:t>
      </w:r>
      <w:r w:rsidRPr="002206B2">
        <w:rPr>
          <w:rFonts w:ascii="Arial" w:hAnsi="Arial" w:cs="Arial"/>
          <w:color w:val="000000"/>
        </w:rPr>
        <w:t xml:space="preserve"> </w:t>
      </w:r>
      <w:r w:rsidR="0097586A" w:rsidRPr="002206B2">
        <w:rPr>
          <w:rFonts w:ascii="Arial" w:hAnsi="Arial" w:cs="Arial"/>
          <w:color w:val="000000"/>
        </w:rPr>
        <w:t>is</w:t>
      </w:r>
      <w:r w:rsidRPr="002206B2">
        <w:rPr>
          <w:rFonts w:ascii="Arial" w:hAnsi="Arial" w:cs="Arial"/>
          <w:color w:val="000000"/>
        </w:rPr>
        <w:t xml:space="preserve"> assumed to be 2.</w:t>
      </w:r>
      <w:r w:rsidR="00E82E46" w:rsidRPr="002206B2">
        <w:rPr>
          <w:rFonts w:ascii="Arial" w:hAnsi="Arial" w:cs="Arial"/>
          <w:color w:val="000000"/>
        </w:rPr>
        <w:t>3</w:t>
      </w:r>
      <w:r w:rsidRPr="002206B2">
        <w:rPr>
          <w:rFonts w:ascii="Arial" w:hAnsi="Arial" w:cs="Arial"/>
          <w:color w:val="000000"/>
        </w:rPr>
        <w:t xml:space="preserve">% </w:t>
      </w:r>
    </w:p>
    <w:p w14:paraId="6D16252D" w14:textId="77777777" w:rsidR="00B20849" w:rsidRPr="002206B2" w:rsidRDefault="00B20849" w:rsidP="002206B2">
      <w:pPr>
        <w:pStyle w:val="ListParagraph"/>
      </w:pPr>
    </w:p>
    <w:p w14:paraId="6D16252E" w14:textId="56BCF5E4" w:rsidR="00C41C82" w:rsidRPr="002206B2" w:rsidRDefault="00C41C82" w:rsidP="002206B2">
      <w:pPr>
        <w:pStyle w:val="ListParagraph"/>
        <w:numPr>
          <w:ilvl w:val="0"/>
          <w:numId w:val="59"/>
        </w:numPr>
        <w:autoSpaceDE w:val="0"/>
        <w:autoSpaceDN w:val="0"/>
        <w:adjustRightInd w:val="0"/>
        <w:spacing w:after="0" w:line="240" w:lineRule="auto"/>
        <w:ind w:left="1146" w:right="568" w:hanging="426"/>
        <w:jc w:val="both"/>
        <w:rPr>
          <w:rFonts w:ascii="Arial" w:hAnsi="Arial" w:cs="Arial"/>
          <w:color w:val="000000"/>
        </w:rPr>
      </w:pPr>
      <w:r w:rsidRPr="002206B2">
        <w:rPr>
          <w:rFonts w:ascii="Arial" w:hAnsi="Arial" w:cs="Arial"/>
          <w:color w:val="000000"/>
        </w:rPr>
        <w:t xml:space="preserve">the market value of the pension scheme’s assets </w:t>
      </w:r>
      <w:proofErr w:type="gramStart"/>
      <w:r w:rsidRPr="002206B2">
        <w:rPr>
          <w:rFonts w:ascii="Arial" w:hAnsi="Arial" w:cs="Arial"/>
          <w:color w:val="000000"/>
        </w:rPr>
        <w:t>at</w:t>
      </w:r>
      <w:proofErr w:type="gramEnd"/>
      <w:r w:rsidRPr="002206B2">
        <w:rPr>
          <w:rFonts w:ascii="Arial" w:hAnsi="Arial" w:cs="Arial"/>
          <w:color w:val="000000"/>
        </w:rPr>
        <w:t xml:space="preserve"> 31 March 201</w:t>
      </w:r>
      <w:r w:rsidR="00016FE2" w:rsidRPr="002206B2">
        <w:rPr>
          <w:rFonts w:ascii="Arial" w:hAnsi="Arial" w:cs="Arial"/>
          <w:color w:val="000000"/>
        </w:rPr>
        <w:t>9</w:t>
      </w:r>
      <w:r w:rsidRPr="002206B2">
        <w:rPr>
          <w:rFonts w:ascii="Arial" w:hAnsi="Arial" w:cs="Arial"/>
          <w:color w:val="000000"/>
        </w:rPr>
        <w:t xml:space="preserve"> was £</w:t>
      </w:r>
      <w:r w:rsidR="00274FE1" w:rsidRPr="002206B2">
        <w:rPr>
          <w:rFonts w:ascii="Arial" w:hAnsi="Arial" w:cs="Arial"/>
          <w:color w:val="000000"/>
        </w:rPr>
        <w:t>1,022</w:t>
      </w:r>
      <w:r w:rsidRPr="002206B2">
        <w:rPr>
          <w:rFonts w:ascii="Arial" w:hAnsi="Arial" w:cs="Arial"/>
          <w:color w:val="000000"/>
        </w:rPr>
        <w:t>m; and</w:t>
      </w:r>
    </w:p>
    <w:p w14:paraId="6D16252F" w14:textId="77777777" w:rsidR="00B20849" w:rsidRPr="002206B2" w:rsidRDefault="00B20849" w:rsidP="002206B2">
      <w:pPr>
        <w:pStyle w:val="ListParagraph"/>
        <w:autoSpaceDE w:val="0"/>
        <w:autoSpaceDN w:val="0"/>
        <w:adjustRightInd w:val="0"/>
        <w:spacing w:after="0" w:line="240" w:lineRule="auto"/>
        <w:ind w:left="1146" w:right="568" w:hanging="426"/>
        <w:jc w:val="both"/>
        <w:rPr>
          <w:rFonts w:ascii="Arial" w:hAnsi="Arial" w:cs="Arial"/>
          <w:color w:val="000000"/>
        </w:rPr>
      </w:pPr>
    </w:p>
    <w:p w14:paraId="6D162530" w14:textId="77777777" w:rsidR="00C41C82" w:rsidRPr="002206B2" w:rsidRDefault="00C41C82" w:rsidP="002206B2">
      <w:pPr>
        <w:pStyle w:val="ListParagraph"/>
        <w:numPr>
          <w:ilvl w:val="0"/>
          <w:numId w:val="59"/>
        </w:numPr>
        <w:autoSpaceDE w:val="0"/>
        <w:autoSpaceDN w:val="0"/>
        <w:adjustRightInd w:val="0"/>
        <w:spacing w:after="0" w:line="240" w:lineRule="auto"/>
        <w:ind w:left="1146" w:right="568" w:hanging="426"/>
        <w:jc w:val="both"/>
        <w:rPr>
          <w:rFonts w:ascii="Arial" w:hAnsi="Arial" w:cs="Arial"/>
          <w:color w:val="000000"/>
        </w:rPr>
      </w:pPr>
      <w:r w:rsidRPr="002206B2">
        <w:rPr>
          <w:rFonts w:ascii="Arial" w:hAnsi="Arial" w:cs="Arial"/>
          <w:color w:val="000000"/>
        </w:rPr>
        <w:t>assumptions made were prudent and based on available evidence.</w:t>
      </w:r>
    </w:p>
    <w:p w14:paraId="6D162531" w14:textId="77777777" w:rsidR="00C41C82" w:rsidRPr="002206B2" w:rsidRDefault="00C41C82" w:rsidP="002206B2">
      <w:pPr>
        <w:autoSpaceDE w:val="0"/>
        <w:autoSpaceDN w:val="0"/>
        <w:adjustRightInd w:val="0"/>
        <w:ind w:left="426" w:right="568" w:hanging="426"/>
        <w:jc w:val="both"/>
        <w:rPr>
          <w:rFonts w:ascii="Arial" w:hAnsi="Arial" w:cs="Arial"/>
          <w:color w:val="000000"/>
          <w:sz w:val="22"/>
          <w:szCs w:val="22"/>
        </w:rPr>
      </w:pPr>
    </w:p>
    <w:p w14:paraId="6D162532" w14:textId="77777777" w:rsidR="00C41C82" w:rsidRPr="002206B2" w:rsidRDefault="00F536EE" w:rsidP="002206B2">
      <w:pPr>
        <w:autoSpaceDE w:val="0"/>
        <w:autoSpaceDN w:val="0"/>
        <w:adjustRightInd w:val="0"/>
        <w:ind w:left="426" w:right="568" w:hanging="426"/>
        <w:jc w:val="both"/>
        <w:rPr>
          <w:rFonts w:ascii="Arial" w:hAnsi="Arial" w:cs="Arial"/>
          <w:b/>
          <w:color w:val="000000" w:themeColor="text1"/>
          <w:sz w:val="22"/>
          <w:szCs w:val="22"/>
        </w:rPr>
      </w:pPr>
      <w:r w:rsidRPr="002206B2">
        <w:rPr>
          <w:rFonts w:ascii="Arial" w:hAnsi="Arial" w:cs="Arial"/>
          <w:b/>
          <w:bCs/>
          <w:color w:val="000000" w:themeColor="text1"/>
          <w:sz w:val="22"/>
          <w:szCs w:val="22"/>
        </w:rPr>
        <w:t>9</w:t>
      </w:r>
      <w:r w:rsidR="00C41C82" w:rsidRPr="002206B2">
        <w:rPr>
          <w:rFonts w:ascii="Arial" w:hAnsi="Arial" w:cs="Arial"/>
          <w:b/>
          <w:bCs/>
          <w:color w:val="000000" w:themeColor="text1"/>
          <w:sz w:val="22"/>
          <w:szCs w:val="22"/>
        </w:rPr>
        <w:t>.2</w:t>
      </w:r>
      <w:r w:rsidR="00C41C82" w:rsidRPr="002206B2">
        <w:rPr>
          <w:rFonts w:ascii="Arial" w:hAnsi="Arial" w:cs="Arial"/>
          <w:b/>
          <w:bCs/>
          <w:color w:val="000000" w:themeColor="text1"/>
          <w:sz w:val="22"/>
          <w:szCs w:val="22"/>
        </w:rPr>
        <w:tab/>
        <w:t>Actuarial Statement</w:t>
      </w:r>
    </w:p>
    <w:p w14:paraId="6D162533" w14:textId="77777777" w:rsidR="00C41C82" w:rsidRPr="002206B2" w:rsidRDefault="00C41C82" w:rsidP="002206B2">
      <w:pPr>
        <w:autoSpaceDE w:val="0"/>
        <w:autoSpaceDN w:val="0"/>
        <w:adjustRightInd w:val="0"/>
        <w:ind w:left="426" w:right="568" w:hanging="426"/>
        <w:jc w:val="both"/>
        <w:rPr>
          <w:rFonts w:ascii="Arial" w:hAnsi="Arial" w:cs="Arial"/>
          <w:b/>
          <w:bCs/>
          <w:color w:val="000000"/>
          <w:sz w:val="22"/>
          <w:szCs w:val="22"/>
        </w:rPr>
      </w:pPr>
    </w:p>
    <w:p w14:paraId="6D162534" w14:textId="77777777" w:rsidR="00C41C82" w:rsidRPr="002206B2" w:rsidRDefault="00EF47C8" w:rsidP="002206B2">
      <w:pPr>
        <w:autoSpaceDE w:val="0"/>
        <w:autoSpaceDN w:val="0"/>
        <w:adjustRightInd w:val="0"/>
        <w:ind w:left="426" w:right="568" w:hanging="426"/>
        <w:jc w:val="both"/>
        <w:rPr>
          <w:rFonts w:ascii="Arial" w:hAnsi="Arial" w:cs="Arial"/>
          <w:color w:val="000000" w:themeColor="text1"/>
          <w:sz w:val="22"/>
          <w:szCs w:val="22"/>
        </w:rPr>
      </w:pPr>
      <w:r w:rsidRPr="002206B2">
        <w:rPr>
          <w:rFonts w:ascii="Arial" w:hAnsi="Arial" w:cs="Arial"/>
          <w:color w:val="000000"/>
          <w:sz w:val="22"/>
          <w:szCs w:val="22"/>
        </w:rPr>
        <w:tab/>
      </w:r>
      <w:r w:rsidR="00C41C82" w:rsidRPr="002206B2">
        <w:rPr>
          <w:rFonts w:ascii="Arial" w:hAnsi="Arial" w:cs="Arial"/>
          <w:color w:val="000000"/>
          <w:sz w:val="22"/>
          <w:szCs w:val="22"/>
        </w:rPr>
        <w:t xml:space="preserve">The Actuarial Statement is included as appendix </w:t>
      </w:r>
      <w:r w:rsidR="002E3648" w:rsidRPr="002206B2">
        <w:rPr>
          <w:rFonts w:ascii="Arial" w:hAnsi="Arial" w:cs="Arial"/>
          <w:color w:val="000000"/>
          <w:sz w:val="22"/>
          <w:szCs w:val="22"/>
        </w:rPr>
        <w:t>6</w:t>
      </w:r>
      <w:r w:rsidR="00C41C82" w:rsidRPr="002206B2">
        <w:rPr>
          <w:rFonts w:ascii="Arial" w:hAnsi="Arial" w:cs="Arial"/>
          <w:color w:val="000000"/>
          <w:sz w:val="22"/>
          <w:szCs w:val="22"/>
        </w:rPr>
        <w:t xml:space="preserve"> of this report and has been produced by the Fund’s Actuary, Hymans Robertson LLP. </w:t>
      </w:r>
    </w:p>
    <w:p w14:paraId="6D162535" w14:textId="77777777" w:rsidR="00C41C82" w:rsidRPr="002206B2" w:rsidRDefault="00C41C82" w:rsidP="002206B2">
      <w:pPr>
        <w:pStyle w:val="BodyText"/>
        <w:spacing w:after="0"/>
        <w:ind w:left="426" w:right="568" w:hanging="426"/>
        <w:jc w:val="both"/>
        <w:rPr>
          <w:rFonts w:ascii="Arial" w:hAnsi="Arial" w:cs="Arial"/>
          <w:color w:val="000000" w:themeColor="text1"/>
          <w:sz w:val="22"/>
          <w:szCs w:val="22"/>
        </w:rPr>
      </w:pPr>
    </w:p>
    <w:p w14:paraId="6D162536" w14:textId="77777777" w:rsidR="00C41C82" w:rsidRPr="002206B2" w:rsidRDefault="00F536EE" w:rsidP="002206B2">
      <w:pPr>
        <w:pStyle w:val="ListParagraph"/>
        <w:autoSpaceDE w:val="0"/>
        <w:autoSpaceDN w:val="0"/>
        <w:adjustRightInd w:val="0"/>
        <w:spacing w:after="0" w:line="240" w:lineRule="auto"/>
        <w:ind w:left="426" w:right="568" w:hanging="426"/>
        <w:jc w:val="both"/>
        <w:rPr>
          <w:rFonts w:ascii="Arial" w:hAnsi="Arial" w:cs="Arial"/>
          <w:b/>
          <w:bCs/>
          <w:color w:val="000000"/>
        </w:rPr>
      </w:pPr>
      <w:r w:rsidRPr="002206B2">
        <w:rPr>
          <w:rFonts w:ascii="Arial" w:hAnsi="Arial" w:cs="Arial"/>
          <w:b/>
          <w:bCs/>
          <w:color w:val="000000"/>
        </w:rPr>
        <w:t>9</w:t>
      </w:r>
      <w:r w:rsidR="00C41C82" w:rsidRPr="002206B2">
        <w:rPr>
          <w:rFonts w:ascii="Arial" w:hAnsi="Arial" w:cs="Arial"/>
          <w:b/>
          <w:bCs/>
          <w:color w:val="000000"/>
        </w:rPr>
        <w:t>.3</w:t>
      </w:r>
      <w:r w:rsidR="00C41C82" w:rsidRPr="002206B2">
        <w:rPr>
          <w:rFonts w:ascii="Arial" w:hAnsi="Arial" w:cs="Arial"/>
          <w:b/>
          <w:bCs/>
          <w:color w:val="000000"/>
        </w:rPr>
        <w:tab/>
        <w:t>Monitoring of Fund’s Funding Position</w:t>
      </w:r>
    </w:p>
    <w:p w14:paraId="6D162537" w14:textId="77777777" w:rsidR="00C41C82" w:rsidRPr="002206B2" w:rsidRDefault="00C41C82" w:rsidP="002206B2">
      <w:pPr>
        <w:autoSpaceDE w:val="0"/>
        <w:autoSpaceDN w:val="0"/>
        <w:adjustRightInd w:val="0"/>
        <w:ind w:left="426" w:right="568" w:hanging="426"/>
        <w:jc w:val="both"/>
        <w:rPr>
          <w:rFonts w:ascii="Arial" w:hAnsi="Arial" w:cs="Arial"/>
          <w:b/>
          <w:bCs/>
          <w:color w:val="000000"/>
          <w:sz w:val="22"/>
          <w:szCs w:val="22"/>
        </w:rPr>
      </w:pPr>
    </w:p>
    <w:p w14:paraId="6D162538" w14:textId="77777777" w:rsidR="00B20849" w:rsidRPr="002206B2" w:rsidRDefault="00EF47C8" w:rsidP="002206B2">
      <w:pPr>
        <w:autoSpaceDE w:val="0"/>
        <w:autoSpaceDN w:val="0"/>
        <w:adjustRightInd w:val="0"/>
        <w:ind w:left="426" w:right="568" w:hanging="426"/>
        <w:jc w:val="both"/>
        <w:rPr>
          <w:rFonts w:ascii="Arial" w:hAnsi="Arial" w:cs="Arial"/>
          <w:color w:val="000000"/>
          <w:sz w:val="22"/>
          <w:szCs w:val="22"/>
        </w:rPr>
      </w:pPr>
      <w:r w:rsidRPr="002206B2">
        <w:rPr>
          <w:rFonts w:ascii="Arial" w:hAnsi="Arial" w:cs="Arial"/>
          <w:color w:val="000000"/>
          <w:sz w:val="22"/>
          <w:szCs w:val="22"/>
        </w:rPr>
        <w:tab/>
      </w:r>
      <w:r w:rsidR="00C41C82" w:rsidRPr="002206B2">
        <w:rPr>
          <w:rFonts w:ascii="Arial" w:hAnsi="Arial" w:cs="Arial"/>
          <w:color w:val="000000"/>
          <w:sz w:val="22"/>
          <w:szCs w:val="22"/>
        </w:rPr>
        <w:t xml:space="preserve">The Administering Authority monitors the funding position between valuation dates, allowing for actual investment returns and changes in financial assumptions (such as liability discount rate) caused by changes in market conditions. This report is prepared by the Fund’s actuary Hymans Robertson. </w:t>
      </w:r>
    </w:p>
    <w:p w14:paraId="6D162539" w14:textId="77777777" w:rsidR="00B20849" w:rsidRPr="002206B2" w:rsidRDefault="00B20849" w:rsidP="002206B2">
      <w:pPr>
        <w:autoSpaceDE w:val="0"/>
        <w:autoSpaceDN w:val="0"/>
        <w:adjustRightInd w:val="0"/>
        <w:ind w:left="426" w:right="568" w:hanging="426"/>
        <w:jc w:val="both"/>
        <w:rPr>
          <w:rFonts w:ascii="Arial" w:hAnsi="Arial" w:cs="Arial"/>
          <w:color w:val="000000"/>
          <w:sz w:val="22"/>
          <w:szCs w:val="22"/>
        </w:rPr>
      </w:pPr>
    </w:p>
    <w:p w14:paraId="6D16253A" w14:textId="77777777" w:rsidR="00C41C82" w:rsidRPr="00601B12" w:rsidRDefault="00EF47C8" w:rsidP="002206B2">
      <w:pPr>
        <w:autoSpaceDE w:val="0"/>
        <w:autoSpaceDN w:val="0"/>
        <w:adjustRightInd w:val="0"/>
        <w:ind w:left="426" w:right="568" w:hanging="426"/>
        <w:jc w:val="both"/>
        <w:rPr>
          <w:rFonts w:ascii="Arial" w:hAnsi="Arial" w:cs="Arial"/>
          <w:color w:val="000000"/>
          <w:sz w:val="22"/>
          <w:szCs w:val="22"/>
        </w:rPr>
      </w:pPr>
      <w:r w:rsidRPr="002206B2">
        <w:rPr>
          <w:rFonts w:ascii="Arial" w:hAnsi="Arial" w:cs="Arial"/>
          <w:color w:val="000000"/>
          <w:sz w:val="22"/>
          <w:szCs w:val="22"/>
        </w:rPr>
        <w:tab/>
      </w:r>
      <w:r w:rsidR="00C41C82" w:rsidRPr="002206B2">
        <w:rPr>
          <w:rFonts w:ascii="Arial" w:hAnsi="Arial" w:cs="Arial"/>
          <w:color w:val="000000"/>
          <w:sz w:val="22"/>
          <w:szCs w:val="22"/>
        </w:rPr>
        <w:t>In addition, specific inter-valuation monitoring for individual employers may be undertaken if requested by the employer. The Council is the largest employer in the Fund and undertakes this inter-valuation monitoring annually.</w:t>
      </w:r>
      <w:r w:rsidR="00C41C82" w:rsidRPr="00601B12">
        <w:rPr>
          <w:rFonts w:ascii="Arial" w:hAnsi="Arial" w:cs="Arial"/>
          <w:color w:val="000000"/>
          <w:sz w:val="22"/>
          <w:szCs w:val="22"/>
        </w:rPr>
        <w:t xml:space="preserve"> </w:t>
      </w:r>
      <w:r w:rsidR="00C41C82" w:rsidRPr="00601B12">
        <w:rPr>
          <w:rFonts w:ascii="Arial" w:hAnsi="Arial" w:cs="Arial"/>
          <w:b/>
          <w:bCs/>
          <w:color w:val="A60021"/>
          <w:sz w:val="22"/>
          <w:szCs w:val="22"/>
        </w:rPr>
        <w:br w:type="page"/>
      </w:r>
    </w:p>
    <w:p w14:paraId="6D16253B" w14:textId="77777777" w:rsidR="009618F6" w:rsidRPr="0076066D" w:rsidRDefault="009618F6" w:rsidP="002E3648">
      <w:pPr>
        <w:pStyle w:val="Heading1"/>
        <w:spacing w:before="0" w:after="0"/>
        <w:ind w:left="425" w:right="426" w:hanging="425"/>
        <w:jc w:val="both"/>
        <w:rPr>
          <w:rFonts w:ascii="Arial" w:hAnsi="Arial" w:cs="Arial"/>
          <w:i/>
          <w:color w:val="C00000"/>
          <w:sz w:val="22"/>
          <w:szCs w:val="22"/>
        </w:rPr>
      </w:pPr>
      <w:r w:rsidRPr="0076066D">
        <w:rPr>
          <w:rFonts w:ascii="Arial" w:hAnsi="Arial" w:cs="Arial"/>
          <w:color w:val="C00000"/>
          <w:sz w:val="24"/>
          <w:szCs w:val="24"/>
        </w:rPr>
        <w:t>10.</w:t>
      </w:r>
      <w:r w:rsidRPr="0076066D">
        <w:rPr>
          <w:rFonts w:ascii="Arial" w:hAnsi="Arial" w:cs="Arial"/>
          <w:color w:val="C00000"/>
          <w:sz w:val="24"/>
          <w:szCs w:val="24"/>
        </w:rPr>
        <w:tab/>
      </w:r>
      <w:r w:rsidRPr="0076066D">
        <w:rPr>
          <w:rFonts w:ascii="Arial" w:hAnsi="Arial" w:cs="Arial"/>
          <w:color w:val="C00000"/>
          <w:sz w:val="22"/>
          <w:szCs w:val="22"/>
        </w:rPr>
        <w:t>Independent auditor’s report to the members of London Borough of Barking and Dagenham on the pension fund financial statements published with the pension fund annual report</w:t>
      </w:r>
    </w:p>
    <w:p w14:paraId="6D16253C" w14:textId="77777777" w:rsidR="009618F6" w:rsidRPr="00601B12" w:rsidRDefault="009618F6" w:rsidP="002E3648">
      <w:pPr>
        <w:ind w:left="425" w:right="426"/>
        <w:jc w:val="both"/>
        <w:rPr>
          <w:rFonts w:ascii="Arial" w:hAnsi="Arial" w:cs="Arial"/>
          <w:sz w:val="22"/>
          <w:szCs w:val="22"/>
          <w:highlight w:val="yellow"/>
        </w:rPr>
      </w:pPr>
    </w:p>
    <w:p w14:paraId="6D16255B" w14:textId="77777777" w:rsidR="009618F6" w:rsidRPr="00601B12" w:rsidRDefault="009618F6" w:rsidP="002E3648">
      <w:pPr>
        <w:autoSpaceDE w:val="0"/>
        <w:autoSpaceDN w:val="0"/>
        <w:adjustRightInd w:val="0"/>
        <w:ind w:left="360" w:right="426"/>
        <w:rPr>
          <w:rFonts w:ascii="Arial" w:hAnsi="Arial" w:cs="Arial"/>
          <w:bCs/>
          <w:sz w:val="22"/>
          <w:szCs w:val="22"/>
          <w:highlight w:val="yellow"/>
        </w:rPr>
      </w:pPr>
    </w:p>
    <w:p w14:paraId="5C682EC1" w14:textId="77777777" w:rsidR="001F6E79" w:rsidRDefault="001F6E79" w:rsidP="008135A8">
      <w:pPr>
        <w:spacing w:after="200" w:line="276" w:lineRule="auto"/>
        <w:rPr>
          <w:rFonts w:ascii="Arial" w:hAnsi="Arial" w:cs="Arial"/>
          <w:b/>
          <w:color w:val="C00000"/>
        </w:rPr>
      </w:pPr>
    </w:p>
    <w:p w14:paraId="6BD07047" w14:textId="77777777" w:rsidR="0002357A" w:rsidRDefault="0002357A" w:rsidP="008135A8">
      <w:pPr>
        <w:spacing w:after="200" w:line="276" w:lineRule="auto"/>
        <w:rPr>
          <w:rFonts w:ascii="Arial" w:hAnsi="Arial" w:cs="Arial"/>
          <w:b/>
          <w:color w:val="C00000"/>
        </w:rPr>
      </w:pPr>
    </w:p>
    <w:p w14:paraId="0D5EDA74" w14:textId="77777777" w:rsidR="0002357A" w:rsidRDefault="0002357A" w:rsidP="008135A8">
      <w:pPr>
        <w:spacing w:after="200" w:line="276" w:lineRule="auto"/>
        <w:rPr>
          <w:rFonts w:ascii="Arial" w:hAnsi="Arial" w:cs="Arial"/>
          <w:b/>
          <w:color w:val="C00000"/>
        </w:rPr>
      </w:pPr>
    </w:p>
    <w:p w14:paraId="1B614A21" w14:textId="77777777" w:rsidR="0002357A" w:rsidRDefault="0002357A" w:rsidP="008135A8">
      <w:pPr>
        <w:spacing w:after="200" w:line="276" w:lineRule="auto"/>
        <w:rPr>
          <w:rFonts w:ascii="Arial" w:hAnsi="Arial" w:cs="Arial"/>
          <w:b/>
          <w:color w:val="C00000"/>
        </w:rPr>
      </w:pPr>
    </w:p>
    <w:p w14:paraId="1AA873C6" w14:textId="77777777" w:rsidR="0002357A" w:rsidRDefault="0002357A" w:rsidP="008135A8">
      <w:pPr>
        <w:spacing w:after="200" w:line="276" w:lineRule="auto"/>
        <w:rPr>
          <w:rFonts w:ascii="Arial" w:hAnsi="Arial" w:cs="Arial"/>
          <w:b/>
          <w:color w:val="C00000"/>
        </w:rPr>
      </w:pPr>
    </w:p>
    <w:p w14:paraId="5B8AB80A" w14:textId="77777777" w:rsidR="0002357A" w:rsidRDefault="0002357A" w:rsidP="008135A8">
      <w:pPr>
        <w:spacing w:after="200" w:line="276" w:lineRule="auto"/>
        <w:rPr>
          <w:rFonts w:ascii="Arial" w:hAnsi="Arial" w:cs="Arial"/>
          <w:b/>
          <w:color w:val="C00000"/>
        </w:rPr>
      </w:pPr>
    </w:p>
    <w:p w14:paraId="2316F794" w14:textId="77777777" w:rsidR="0002357A" w:rsidRDefault="0002357A" w:rsidP="008135A8">
      <w:pPr>
        <w:spacing w:after="200" w:line="276" w:lineRule="auto"/>
        <w:rPr>
          <w:rFonts w:ascii="Arial" w:hAnsi="Arial" w:cs="Arial"/>
          <w:b/>
          <w:color w:val="C00000"/>
        </w:rPr>
      </w:pPr>
    </w:p>
    <w:p w14:paraId="713CA928" w14:textId="77777777" w:rsidR="0002357A" w:rsidRDefault="0002357A" w:rsidP="008135A8">
      <w:pPr>
        <w:spacing w:after="200" w:line="276" w:lineRule="auto"/>
        <w:rPr>
          <w:rFonts w:ascii="Arial" w:hAnsi="Arial" w:cs="Arial"/>
          <w:b/>
          <w:color w:val="C00000"/>
        </w:rPr>
      </w:pPr>
    </w:p>
    <w:p w14:paraId="0699E98E" w14:textId="77777777" w:rsidR="0002357A" w:rsidRDefault="0002357A" w:rsidP="008135A8">
      <w:pPr>
        <w:spacing w:after="200" w:line="276" w:lineRule="auto"/>
        <w:rPr>
          <w:rFonts w:ascii="Arial" w:hAnsi="Arial" w:cs="Arial"/>
          <w:b/>
          <w:color w:val="C00000"/>
        </w:rPr>
      </w:pPr>
    </w:p>
    <w:p w14:paraId="274745D7" w14:textId="77777777" w:rsidR="0002357A" w:rsidRDefault="0002357A" w:rsidP="008135A8">
      <w:pPr>
        <w:spacing w:after="200" w:line="276" w:lineRule="auto"/>
        <w:rPr>
          <w:rFonts w:ascii="Arial" w:hAnsi="Arial" w:cs="Arial"/>
          <w:b/>
          <w:color w:val="C00000"/>
        </w:rPr>
      </w:pPr>
    </w:p>
    <w:p w14:paraId="1A7B1568" w14:textId="77777777" w:rsidR="0002357A" w:rsidRDefault="0002357A" w:rsidP="008135A8">
      <w:pPr>
        <w:spacing w:after="200" w:line="276" w:lineRule="auto"/>
        <w:rPr>
          <w:rFonts w:ascii="Arial" w:hAnsi="Arial" w:cs="Arial"/>
          <w:b/>
          <w:color w:val="C00000"/>
        </w:rPr>
      </w:pPr>
    </w:p>
    <w:p w14:paraId="0014C114" w14:textId="77777777" w:rsidR="0002357A" w:rsidRDefault="0002357A" w:rsidP="008135A8">
      <w:pPr>
        <w:spacing w:after="200" w:line="276" w:lineRule="auto"/>
        <w:rPr>
          <w:rFonts w:ascii="Arial" w:hAnsi="Arial" w:cs="Arial"/>
          <w:b/>
          <w:color w:val="C00000"/>
        </w:rPr>
      </w:pPr>
    </w:p>
    <w:p w14:paraId="24179476" w14:textId="77777777" w:rsidR="0002357A" w:rsidRDefault="0002357A" w:rsidP="008135A8">
      <w:pPr>
        <w:spacing w:after="200" w:line="276" w:lineRule="auto"/>
        <w:rPr>
          <w:rFonts w:ascii="Arial" w:hAnsi="Arial" w:cs="Arial"/>
          <w:b/>
          <w:color w:val="C00000"/>
        </w:rPr>
      </w:pPr>
    </w:p>
    <w:p w14:paraId="23E6BF17" w14:textId="77777777" w:rsidR="0002357A" w:rsidRDefault="0002357A" w:rsidP="008135A8">
      <w:pPr>
        <w:spacing w:after="200" w:line="276" w:lineRule="auto"/>
        <w:rPr>
          <w:rFonts w:ascii="Arial" w:hAnsi="Arial" w:cs="Arial"/>
          <w:b/>
          <w:color w:val="C00000"/>
        </w:rPr>
      </w:pPr>
    </w:p>
    <w:p w14:paraId="6315D545" w14:textId="77777777" w:rsidR="0002357A" w:rsidRDefault="0002357A" w:rsidP="008135A8">
      <w:pPr>
        <w:spacing w:after="200" w:line="276" w:lineRule="auto"/>
        <w:rPr>
          <w:rFonts w:ascii="Arial" w:hAnsi="Arial" w:cs="Arial"/>
          <w:b/>
          <w:color w:val="C00000"/>
        </w:rPr>
      </w:pPr>
    </w:p>
    <w:p w14:paraId="3E348880" w14:textId="77777777" w:rsidR="0002357A" w:rsidRDefault="0002357A" w:rsidP="008135A8">
      <w:pPr>
        <w:spacing w:after="200" w:line="276" w:lineRule="auto"/>
        <w:rPr>
          <w:rFonts w:ascii="Arial" w:hAnsi="Arial" w:cs="Arial"/>
          <w:b/>
          <w:color w:val="C00000"/>
        </w:rPr>
      </w:pPr>
    </w:p>
    <w:p w14:paraId="4B51F0C8" w14:textId="77777777" w:rsidR="0002357A" w:rsidRDefault="0002357A" w:rsidP="008135A8">
      <w:pPr>
        <w:spacing w:after="200" w:line="276" w:lineRule="auto"/>
        <w:rPr>
          <w:rFonts w:ascii="Arial" w:hAnsi="Arial" w:cs="Arial"/>
          <w:b/>
          <w:color w:val="C00000"/>
        </w:rPr>
      </w:pPr>
    </w:p>
    <w:p w14:paraId="072E98E3" w14:textId="77777777" w:rsidR="0002357A" w:rsidRDefault="0002357A" w:rsidP="008135A8">
      <w:pPr>
        <w:spacing w:after="200" w:line="276" w:lineRule="auto"/>
        <w:rPr>
          <w:rFonts w:ascii="Arial" w:hAnsi="Arial" w:cs="Arial"/>
          <w:b/>
          <w:color w:val="C00000"/>
        </w:rPr>
      </w:pPr>
    </w:p>
    <w:p w14:paraId="5CDE79B0" w14:textId="77777777" w:rsidR="0002357A" w:rsidRDefault="0002357A" w:rsidP="008135A8">
      <w:pPr>
        <w:spacing w:after="200" w:line="276" w:lineRule="auto"/>
        <w:rPr>
          <w:rFonts w:ascii="Arial" w:hAnsi="Arial" w:cs="Arial"/>
          <w:b/>
          <w:color w:val="C00000"/>
        </w:rPr>
      </w:pPr>
    </w:p>
    <w:p w14:paraId="3B4CE0B1" w14:textId="77777777" w:rsidR="0002357A" w:rsidRDefault="0002357A" w:rsidP="008135A8">
      <w:pPr>
        <w:spacing w:after="200" w:line="276" w:lineRule="auto"/>
        <w:rPr>
          <w:rFonts w:ascii="Arial" w:hAnsi="Arial" w:cs="Arial"/>
          <w:b/>
          <w:color w:val="C00000"/>
        </w:rPr>
      </w:pPr>
    </w:p>
    <w:p w14:paraId="3EE952F2" w14:textId="77777777" w:rsidR="0002357A" w:rsidRDefault="0002357A" w:rsidP="008135A8">
      <w:pPr>
        <w:spacing w:after="200" w:line="276" w:lineRule="auto"/>
        <w:rPr>
          <w:rFonts w:ascii="Arial" w:hAnsi="Arial" w:cs="Arial"/>
          <w:b/>
          <w:color w:val="C00000"/>
        </w:rPr>
      </w:pPr>
    </w:p>
    <w:p w14:paraId="17A0D01A" w14:textId="77777777" w:rsidR="0002357A" w:rsidRDefault="0002357A" w:rsidP="008135A8">
      <w:pPr>
        <w:spacing w:after="200" w:line="276" w:lineRule="auto"/>
        <w:rPr>
          <w:rFonts w:ascii="Arial" w:hAnsi="Arial" w:cs="Arial"/>
          <w:b/>
          <w:color w:val="C00000"/>
        </w:rPr>
      </w:pPr>
    </w:p>
    <w:p w14:paraId="614F4CBA" w14:textId="77777777" w:rsidR="0002357A" w:rsidRDefault="0002357A" w:rsidP="008135A8">
      <w:pPr>
        <w:spacing w:after="200" w:line="276" w:lineRule="auto"/>
        <w:rPr>
          <w:rFonts w:ascii="Arial" w:hAnsi="Arial" w:cs="Arial"/>
          <w:b/>
          <w:color w:val="C00000"/>
        </w:rPr>
      </w:pPr>
    </w:p>
    <w:p w14:paraId="751C88DD" w14:textId="77777777" w:rsidR="00FD783B" w:rsidRDefault="00FD783B" w:rsidP="0025498F">
      <w:pPr>
        <w:spacing w:after="200" w:line="276" w:lineRule="auto"/>
        <w:rPr>
          <w:rFonts w:ascii="Arial" w:hAnsi="Arial" w:cs="Arial"/>
          <w:b/>
          <w:color w:val="C00000"/>
        </w:rPr>
      </w:pPr>
    </w:p>
    <w:p w14:paraId="4861D190" w14:textId="77777777" w:rsidR="0036077A" w:rsidRDefault="0036077A" w:rsidP="00D23314">
      <w:pPr>
        <w:spacing w:after="200" w:line="276" w:lineRule="auto"/>
        <w:ind w:right="-285"/>
        <w:rPr>
          <w:rFonts w:ascii="Arial" w:hAnsi="Arial" w:cs="Arial"/>
          <w:b/>
          <w:bCs/>
          <w:color w:val="C00000"/>
        </w:rPr>
      </w:pPr>
    </w:p>
    <w:p w14:paraId="6D16255E" w14:textId="7D5531BB" w:rsidR="00B20849" w:rsidRPr="00601B12" w:rsidRDefault="00256B44" w:rsidP="00D23314">
      <w:pPr>
        <w:spacing w:after="200" w:line="276" w:lineRule="auto"/>
        <w:ind w:right="-285"/>
        <w:rPr>
          <w:rFonts w:ascii="Arial" w:hAnsi="Arial" w:cs="Arial"/>
          <w:b/>
          <w:bCs/>
          <w:color w:val="C00000"/>
        </w:rPr>
      </w:pPr>
      <w:r w:rsidRPr="005D4778">
        <w:rPr>
          <w:rFonts w:ascii="Arial" w:hAnsi="Arial" w:cs="Arial"/>
          <w:b/>
          <w:bCs/>
          <w:color w:val="C00000"/>
        </w:rPr>
        <w:t>Pension Fund Three Year Budget (</w:t>
      </w:r>
      <w:r w:rsidR="00CA45FB" w:rsidRPr="005D4778">
        <w:rPr>
          <w:rFonts w:ascii="Arial" w:hAnsi="Arial" w:cs="Arial"/>
          <w:b/>
          <w:bCs/>
          <w:color w:val="C00000"/>
        </w:rPr>
        <w:t>20</w:t>
      </w:r>
      <w:r w:rsidR="00560C5A" w:rsidRPr="0076066D">
        <w:rPr>
          <w:rFonts w:ascii="Arial" w:hAnsi="Arial" w:cs="Arial"/>
          <w:b/>
          <w:bCs/>
          <w:color w:val="C00000"/>
        </w:rPr>
        <w:t>2</w:t>
      </w:r>
      <w:r w:rsidR="00C50DB3">
        <w:rPr>
          <w:rFonts w:ascii="Arial" w:hAnsi="Arial" w:cs="Arial"/>
          <w:b/>
          <w:bCs/>
          <w:color w:val="C00000"/>
        </w:rPr>
        <w:t>2</w:t>
      </w:r>
      <w:r w:rsidR="00CA45FB" w:rsidRPr="005D4778">
        <w:rPr>
          <w:rFonts w:ascii="Arial" w:hAnsi="Arial" w:cs="Arial"/>
          <w:b/>
          <w:bCs/>
          <w:color w:val="C00000"/>
        </w:rPr>
        <w:t>/</w:t>
      </w:r>
      <w:r w:rsidR="00FE65E4" w:rsidRPr="005D4778">
        <w:rPr>
          <w:rFonts w:ascii="Arial" w:hAnsi="Arial" w:cs="Arial"/>
          <w:b/>
          <w:bCs/>
          <w:color w:val="C00000"/>
        </w:rPr>
        <w:t>2</w:t>
      </w:r>
      <w:r w:rsidR="00C50DB3">
        <w:rPr>
          <w:rFonts w:ascii="Arial" w:hAnsi="Arial" w:cs="Arial"/>
          <w:b/>
          <w:bCs/>
          <w:color w:val="C00000"/>
        </w:rPr>
        <w:t>3</w:t>
      </w:r>
      <w:r w:rsidRPr="005D4778">
        <w:rPr>
          <w:rFonts w:ascii="Arial" w:hAnsi="Arial" w:cs="Arial"/>
          <w:b/>
          <w:bCs/>
          <w:color w:val="C00000"/>
        </w:rPr>
        <w:t xml:space="preserve"> to 20</w:t>
      </w:r>
      <w:r w:rsidR="006175B2" w:rsidRPr="005D4778">
        <w:rPr>
          <w:rFonts w:ascii="Arial" w:hAnsi="Arial" w:cs="Arial"/>
          <w:b/>
          <w:bCs/>
          <w:color w:val="C00000"/>
        </w:rPr>
        <w:t>2</w:t>
      </w:r>
      <w:r w:rsidR="00C50DB3">
        <w:rPr>
          <w:rFonts w:ascii="Arial" w:hAnsi="Arial" w:cs="Arial"/>
          <w:b/>
          <w:bCs/>
          <w:color w:val="C00000"/>
        </w:rPr>
        <w:t>4</w:t>
      </w:r>
      <w:r w:rsidRPr="005D4778">
        <w:rPr>
          <w:rFonts w:ascii="Arial" w:hAnsi="Arial" w:cs="Arial"/>
          <w:b/>
          <w:bCs/>
          <w:color w:val="C00000"/>
        </w:rPr>
        <w:t>/</w:t>
      </w:r>
      <w:r w:rsidR="00121C84" w:rsidRPr="005D4778">
        <w:rPr>
          <w:rFonts w:ascii="Arial" w:hAnsi="Arial" w:cs="Arial"/>
          <w:b/>
          <w:bCs/>
          <w:color w:val="C00000"/>
        </w:rPr>
        <w:t>2</w:t>
      </w:r>
      <w:r w:rsidR="00C50DB3">
        <w:rPr>
          <w:rFonts w:ascii="Arial" w:hAnsi="Arial" w:cs="Arial"/>
          <w:b/>
          <w:bCs/>
          <w:color w:val="C00000"/>
        </w:rPr>
        <w:t>5</w:t>
      </w:r>
      <w:r w:rsidRPr="005D4778">
        <w:rPr>
          <w:rFonts w:ascii="Arial" w:hAnsi="Arial" w:cs="Arial"/>
          <w:b/>
          <w:bCs/>
          <w:color w:val="C00000"/>
        </w:rPr>
        <w:t>)</w:t>
      </w:r>
    </w:p>
    <w:p w14:paraId="4142AC6B" w14:textId="22F60A84" w:rsidR="00E64471" w:rsidRPr="00E64471" w:rsidRDefault="00256B44" w:rsidP="007C35C8">
      <w:pPr>
        <w:ind w:left="567" w:right="95" w:hanging="567"/>
        <w:jc w:val="both"/>
        <w:rPr>
          <w:rFonts w:ascii="Arial" w:hAnsi="Arial" w:cs="Arial"/>
          <w:sz w:val="22"/>
          <w:szCs w:val="22"/>
        </w:rPr>
      </w:pPr>
      <w:r w:rsidRPr="00601B12">
        <w:rPr>
          <w:rFonts w:ascii="Arial" w:hAnsi="Arial" w:cs="Arial"/>
          <w:sz w:val="22"/>
          <w:szCs w:val="22"/>
        </w:rPr>
        <w:t>1</w:t>
      </w:r>
      <w:r w:rsidR="009618F6" w:rsidRPr="00601B12">
        <w:rPr>
          <w:rFonts w:ascii="Arial" w:hAnsi="Arial" w:cs="Arial"/>
          <w:sz w:val="22"/>
          <w:szCs w:val="22"/>
        </w:rPr>
        <w:t>1</w:t>
      </w:r>
      <w:r w:rsidRPr="00601B12">
        <w:rPr>
          <w:rFonts w:ascii="Arial" w:hAnsi="Arial" w:cs="Arial"/>
          <w:sz w:val="22"/>
          <w:szCs w:val="22"/>
        </w:rPr>
        <w:t>.1</w:t>
      </w:r>
      <w:r w:rsidRPr="00601B12">
        <w:rPr>
          <w:rFonts w:ascii="Arial" w:hAnsi="Arial" w:cs="Arial"/>
          <w:sz w:val="22"/>
          <w:szCs w:val="22"/>
        </w:rPr>
        <w:tab/>
      </w:r>
      <w:r w:rsidR="000514D9" w:rsidRPr="000514D9">
        <w:rPr>
          <w:rFonts w:ascii="Arial" w:hAnsi="Arial" w:cs="Arial"/>
          <w:sz w:val="22"/>
          <w:szCs w:val="22"/>
        </w:rPr>
        <w:t xml:space="preserve">A 10.1% increase in pensions in 2023/24 due to the current high level of inflation has risen the total expenses forecasted. There is an average salary increase of 6.6%, however as the council contribution will fall from 23% to 22%, this will partially offset the increase in income in 2023/24. Pension Strain is forecasted in increase </w:t>
      </w:r>
      <w:proofErr w:type="gramStart"/>
      <w:r w:rsidR="000514D9" w:rsidRPr="000514D9">
        <w:rPr>
          <w:rFonts w:ascii="Arial" w:hAnsi="Arial" w:cs="Arial"/>
          <w:sz w:val="22"/>
          <w:szCs w:val="22"/>
        </w:rPr>
        <w:t>as a result of</w:t>
      </w:r>
      <w:proofErr w:type="gramEnd"/>
      <w:r w:rsidR="000514D9" w:rsidRPr="000514D9">
        <w:rPr>
          <w:rFonts w:ascii="Arial" w:hAnsi="Arial" w:cs="Arial"/>
          <w:sz w:val="22"/>
          <w:szCs w:val="22"/>
        </w:rPr>
        <w:t xml:space="preserve"> the council’s savings programme due to central government funding cuts.</w:t>
      </w:r>
    </w:p>
    <w:p w14:paraId="35DD69BA" w14:textId="77777777" w:rsidR="00E64471" w:rsidRPr="00E64471" w:rsidRDefault="00E64471" w:rsidP="00E64471">
      <w:pPr>
        <w:ind w:left="567" w:right="568" w:hanging="567"/>
        <w:jc w:val="both"/>
        <w:rPr>
          <w:rFonts w:ascii="Arial" w:hAnsi="Arial" w:cs="Arial"/>
          <w:sz w:val="22"/>
          <w:szCs w:val="22"/>
        </w:rPr>
      </w:pPr>
    </w:p>
    <w:p w14:paraId="6D162566" w14:textId="4313FFDD" w:rsidR="00C31994" w:rsidRDefault="00E64471" w:rsidP="0036077A">
      <w:pPr>
        <w:ind w:left="567" w:right="95" w:hanging="567"/>
        <w:jc w:val="both"/>
        <w:rPr>
          <w:rFonts w:ascii="Arial" w:hAnsi="Arial" w:cs="Arial"/>
          <w:sz w:val="22"/>
          <w:szCs w:val="22"/>
        </w:rPr>
      </w:pPr>
      <w:r>
        <w:rPr>
          <w:rFonts w:ascii="Arial" w:hAnsi="Arial" w:cs="Arial"/>
          <w:sz w:val="22"/>
          <w:szCs w:val="22"/>
        </w:rPr>
        <w:t>11.2</w:t>
      </w:r>
      <w:r w:rsidRPr="00E64471">
        <w:rPr>
          <w:rFonts w:ascii="Arial" w:hAnsi="Arial" w:cs="Arial"/>
          <w:sz w:val="22"/>
          <w:szCs w:val="22"/>
        </w:rPr>
        <w:t xml:space="preserve"> </w:t>
      </w:r>
      <w:r w:rsidRPr="00E64471">
        <w:rPr>
          <w:rFonts w:ascii="Arial" w:hAnsi="Arial" w:cs="Arial"/>
          <w:sz w:val="22"/>
          <w:szCs w:val="22"/>
        </w:rPr>
        <w:tab/>
      </w:r>
      <w:r w:rsidR="00B54346" w:rsidRPr="00B54346">
        <w:rPr>
          <w:rFonts w:ascii="Arial" w:hAnsi="Arial" w:cs="Arial"/>
          <w:sz w:val="22"/>
          <w:szCs w:val="22"/>
        </w:rPr>
        <w:t xml:space="preserve">A </w:t>
      </w:r>
      <w:r w:rsidR="005F0F67">
        <w:rPr>
          <w:rFonts w:ascii="Arial" w:hAnsi="Arial" w:cs="Arial"/>
          <w:sz w:val="22"/>
          <w:szCs w:val="22"/>
        </w:rPr>
        <w:t>fall</w:t>
      </w:r>
      <w:r w:rsidR="00B54346" w:rsidRPr="00B54346">
        <w:rPr>
          <w:rFonts w:ascii="Arial" w:hAnsi="Arial" w:cs="Arial"/>
          <w:sz w:val="22"/>
          <w:szCs w:val="22"/>
        </w:rPr>
        <w:t xml:space="preserve"> in management expenses is being forecasted as the prepayment from the council is repaid so no interest payments are due to be made. Excluding investments, the fund is expected to be cashflow negative for 3 years.</w:t>
      </w:r>
      <w:r w:rsidR="0081207F">
        <w:rPr>
          <w:rFonts w:ascii="Arial" w:hAnsi="Arial" w:cs="Arial"/>
          <w:sz w:val="22"/>
          <w:szCs w:val="22"/>
        </w:rPr>
        <w:t xml:space="preserve"> </w:t>
      </w:r>
      <w:r w:rsidR="00B54346" w:rsidRPr="00B54346">
        <w:rPr>
          <w:rFonts w:ascii="Arial" w:hAnsi="Arial" w:cs="Arial"/>
          <w:sz w:val="22"/>
          <w:szCs w:val="22"/>
        </w:rPr>
        <w:t xml:space="preserve">There is investment income expected from two </w:t>
      </w:r>
      <w:r w:rsidR="005F0F67">
        <w:rPr>
          <w:rFonts w:ascii="Arial" w:hAnsi="Arial" w:cs="Arial"/>
          <w:sz w:val="22"/>
          <w:szCs w:val="22"/>
        </w:rPr>
        <w:t xml:space="preserve">fund </w:t>
      </w:r>
      <w:r w:rsidR="00B54346" w:rsidRPr="00B54346">
        <w:rPr>
          <w:rFonts w:ascii="Arial" w:hAnsi="Arial" w:cs="Arial"/>
          <w:sz w:val="22"/>
          <w:szCs w:val="22"/>
        </w:rPr>
        <w:t xml:space="preserve">managers of £3m per annum. </w:t>
      </w:r>
      <w:r w:rsidR="00971565">
        <w:rPr>
          <w:rFonts w:ascii="Arial" w:hAnsi="Arial" w:cs="Arial"/>
          <w:sz w:val="22"/>
          <w:szCs w:val="22"/>
        </w:rPr>
        <w:t>T</w:t>
      </w:r>
      <w:r w:rsidR="00B54346" w:rsidRPr="00B54346">
        <w:rPr>
          <w:rFonts w:ascii="Arial" w:hAnsi="Arial" w:cs="Arial"/>
          <w:sz w:val="22"/>
          <w:szCs w:val="22"/>
        </w:rPr>
        <w:t>he Fund is expected to be cashflow positive, after investment income, for 2022/23 and negative in the following 2 years.</w:t>
      </w:r>
    </w:p>
    <w:p w14:paraId="760C250E" w14:textId="77777777" w:rsidR="00B54346" w:rsidRPr="00E35F96" w:rsidRDefault="00B54346" w:rsidP="00B54346">
      <w:pPr>
        <w:autoSpaceDE w:val="0"/>
        <w:autoSpaceDN w:val="0"/>
        <w:adjustRightInd w:val="0"/>
        <w:ind w:left="567" w:right="568" w:hanging="567"/>
        <w:jc w:val="both"/>
        <w:rPr>
          <w:rFonts w:ascii="Arial" w:hAnsi="Arial" w:cs="Arial"/>
          <w:b/>
        </w:rPr>
      </w:pPr>
    </w:p>
    <w:p w14:paraId="12F0BE4A" w14:textId="6371BAF9" w:rsidR="002F6D26" w:rsidRPr="0076066D" w:rsidRDefault="00256B44">
      <w:pPr>
        <w:pStyle w:val="ListParagraph"/>
        <w:autoSpaceDE w:val="0"/>
        <w:autoSpaceDN w:val="0"/>
        <w:adjustRightInd w:val="0"/>
        <w:spacing w:after="0" w:line="240" w:lineRule="auto"/>
        <w:ind w:left="0" w:right="142" w:firstLine="567"/>
        <w:rPr>
          <w:rFonts w:ascii="Arial" w:hAnsi="Arial" w:cs="Arial"/>
          <w:b/>
          <w:bCs/>
          <w:color w:val="000000" w:themeColor="text1"/>
        </w:rPr>
      </w:pPr>
      <w:r w:rsidRPr="00601B12">
        <w:rPr>
          <w:rFonts w:ascii="Arial" w:hAnsi="Arial" w:cs="Arial"/>
          <w:b/>
        </w:rPr>
        <w:t>Table</w:t>
      </w:r>
      <w:r w:rsidR="00F775C4">
        <w:rPr>
          <w:rFonts w:ascii="Arial" w:hAnsi="Arial" w:cs="Arial"/>
          <w:b/>
        </w:rPr>
        <w:t xml:space="preserve"> 7</w:t>
      </w:r>
      <w:r w:rsidRPr="00601B12">
        <w:rPr>
          <w:rFonts w:ascii="Arial" w:hAnsi="Arial" w:cs="Arial"/>
          <w:b/>
        </w:rPr>
        <w:t xml:space="preserve">: </w:t>
      </w:r>
      <w:r w:rsidRPr="00601B12">
        <w:rPr>
          <w:rFonts w:ascii="Arial" w:hAnsi="Arial" w:cs="Arial"/>
          <w:b/>
          <w:bCs/>
          <w:color w:val="000000" w:themeColor="text1"/>
        </w:rPr>
        <w:t>Pension Fund Budget 1 April 20</w:t>
      </w:r>
      <w:r w:rsidR="004A3EE8">
        <w:rPr>
          <w:rFonts w:ascii="Arial" w:hAnsi="Arial" w:cs="Arial"/>
          <w:b/>
          <w:bCs/>
          <w:color w:val="000000" w:themeColor="text1"/>
        </w:rPr>
        <w:t>2</w:t>
      </w:r>
      <w:r w:rsidR="001D09BE">
        <w:rPr>
          <w:rFonts w:ascii="Arial" w:hAnsi="Arial" w:cs="Arial"/>
          <w:b/>
          <w:bCs/>
          <w:color w:val="000000" w:themeColor="text1"/>
        </w:rPr>
        <w:t>2</w:t>
      </w:r>
      <w:r w:rsidRPr="00601B12">
        <w:rPr>
          <w:rFonts w:ascii="Arial" w:hAnsi="Arial" w:cs="Arial"/>
          <w:b/>
          <w:bCs/>
          <w:color w:val="000000" w:themeColor="text1"/>
        </w:rPr>
        <w:t xml:space="preserve"> to 31 March 20</w:t>
      </w:r>
      <w:r w:rsidR="00121C84" w:rsidRPr="00601B12">
        <w:rPr>
          <w:rFonts w:ascii="Arial" w:hAnsi="Arial" w:cs="Arial"/>
          <w:b/>
          <w:bCs/>
          <w:color w:val="000000" w:themeColor="text1"/>
        </w:rPr>
        <w:t>2</w:t>
      </w:r>
      <w:r w:rsidR="001D09BE">
        <w:rPr>
          <w:rFonts w:ascii="Arial" w:hAnsi="Arial" w:cs="Arial"/>
          <w:b/>
          <w:bCs/>
          <w:color w:val="000000" w:themeColor="text1"/>
        </w:rPr>
        <w:t>5</w:t>
      </w:r>
    </w:p>
    <w:tbl>
      <w:tblPr>
        <w:tblW w:w="10356" w:type="dxa"/>
        <w:jc w:val="center"/>
        <w:tblLook w:val="04A0" w:firstRow="1" w:lastRow="0" w:firstColumn="1" w:lastColumn="0" w:noHBand="0" w:noVBand="1"/>
      </w:tblPr>
      <w:tblGrid>
        <w:gridCol w:w="5738"/>
        <w:gridCol w:w="1199"/>
        <w:gridCol w:w="290"/>
        <w:gridCol w:w="1620"/>
        <w:gridCol w:w="303"/>
        <w:gridCol w:w="1206"/>
      </w:tblGrid>
      <w:tr w:rsidR="00F25E68" w:rsidRPr="00F25E68" w14:paraId="7A8A8B51" w14:textId="77777777" w:rsidTr="0036077A">
        <w:trPr>
          <w:trHeight w:val="133"/>
          <w:jc w:val="center"/>
        </w:trPr>
        <w:tc>
          <w:tcPr>
            <w:tcW w:w="5738" w:type="dxa"/>
            <w:tcBorders>
              <w:top w:val="single" w:sz="8" w:space="0" w:color="auto"/>
              <w:left w:val="single" w:sz="8" w:space="0" w:color="auto"/>
              <w:bottom w:val="nil"/>
              <w:right w:val="nil"/>
            </w:tcBorders>
            <w:shd w:val="clear" w:color="000000" w:fill="FFFFFF"/>
            <w:noWrap/>
            <w:vAlign w:val="bottom"/>
            <w:hideMark/>
          </w:tcPr>
          <w:p w14:paraId="2F429B6B" w14:textId="77777777" w:rsidR="00F25E68" w:rsidRPr="00F25E68" w:rsidRDefault="00F25E68" w:rsidP="006E1769">
            <w:pPr>
              <w:rPr>
                <w:rFonts w:ascii="Arial" w:hAnsi="Arial" w:cs="Arial"/>
                <w:color w:val="000000"/>
              </w:rPr>
            </w:pPr>
            <w:r w:rsidRPr="00F25E68">
              <w:rPr>
                <w:rFonts w:ascii="Arial" w:hAnsi="Arial" w:cs="Arial"/>
                <w:color w:val="000000"/>
              </w:rPr>
              <w:t> </w:t>
            </w:r>
          </w:p>
        </w:tc>
        <w:tc>
          <w:tcPr>
            <w:tcW w:w="1199" w:type="dxa"/>
            <w:tcBorders>
              <w:top w:val="single" w:sz="8" w:space="0" w:color="auto"/>
              <w:left w:val="nil"/>
              <w:bottom w:val="nil"/>
              <w:right w:val="nil"/>
            </w:tcBorders>
            <w:shd w:val="clear" w:color="000000" w:fill="FFFFFF"/>
            <w:vAlign w:val="center"/>
            <w:hideMark/>
          </w:tcPr>
          <w:p w14:paraId="2951311D" w14:textId="77777777" w:rsidR="00F25E68" w:rsidRPr="00F25E68" w:rsidRDefault="00F25E68" w:rsidP="006E1769">
            <w:pPr>
              <w:jc w:val="center"/>
              <w:rPr>
                <w:rFonts w:ascii="Arial" w:hAnsi="Arial" w:cs="Arial"/>
                <w:b/>
                <w:color w:val="000000"/>
              </w:rPr>
            </w:pPr>
            <w:r w:rsidRPr="00F25E68">
              <w:rPr>
                <w:rFonts w:ascii="Arial" w:hAnsi="Arial" w:cs="Arial"/>
                <w:b/>
                <w:color w:val="000000"/>
              </w:rPr>
              <w:t>2022/23</w:t>
            </w:r>
          </w:p>
        </w:tc>
        <w:tc>
          <w:tcPr>
            <w:tcW w:w="290" w:type="dxa"/>
            <w:tcBorders>
              <w:top w:val="single" w:sz="8" w:space="0" w:color="auto"/>
              <w:left w:val="nil"/>
              <w:bottom w:val="nil"/>
              <w:right w:val="nil"/>
            </w:tcBorders>
            <w:shd w:val="clear" w:color="000000" w:fill="FFFFFF"/>
            <w:vAlign w:val="center"/>
            <w:hideMark/>
          </w:tcPr>
          <w:p w14:paraId="2AD5E5D3" w14:textId="77777777" w:rsidR="00F25E68" w:rsidRPr="00F25E68" w:rsidRDefault="00F25E68" w:rsidP="006E1769">
            <w:pPr>
              <w:jc w:val="center"/>
              <w:rPr>
                <w:rFonts w:ascii="Arial" w:hAnsi="Arial" w:cs="Arial"/>
                <w:b/>
                <w:color w:val="000000"/>
              </w:rPr>
            </w:pPr>
            <w:r w:rsidRPr="00F25E68">
              <w:rPr>
                <w:rFonts w:ascii="Arial" w:hAnsi="Arial" w:cs="Arial"/>
                <w:b/>
                <w:color w:val="000000"/>
              </w:rPr>
              <w:t> </w:t>
            </w:r>
          </w:p>
        </w:tc>
        <w:tc>
          <w:tcPr>
            <w:tcW w:w="1620" w:type="dxa"/>
            <w:tcBorders>
              <w:top w:val="single" w:sz="8" w:space="0" w:color="auto"/>
              <w:left w:val="nil"/>
              <w:bottom w:val="nil"/>
              <w:right w:val="nil"/>
            </w:tcBorders>
            <w:shd w:val="clear" w:color="000000" w:fill="FFFFFF"/>
            <w:vAlign w:val="center"/>
            <w:hideMark/>
          </w:tcPr>
          <w:p w14:paraId="6ADEA3A5" w14:textId="77777777" w:rsidR="00F25E68" w:rsidRPr="00F25E68" w:rsidRDefault="00F25E68" w:rsidP="006E1769">
            <w:pPr>
              <w:jc w:val="center"/>
              <w:rPr>
                <w:rFonts w:ascii="Arial" w:hAnsi="Arial" w:cs="Arial"/>
                <w:b/>
                <w:color w:val="000000"/>
              </w:rPr>
            </w:pPr>
            <w:r w:rsidRPr="00F25E68">
              <w:rPr>
                <w:rFonts w:ascii="Arial" w:hAnsi="Arial" w:cs="Arial"/>
                <w:b/>
                <w:color w:val="000000"/>
              </w:rPr>
              <w:t>2023/24</w:t>
            </w:r>
          </w:p>
        </w:tc>
        <w:tc>
          <w:tcPr>
            <w:tcW w:w="303" w:type="dxa"/>
            <w:tcBorders>
              <w:top w:val="single" w:sz="8" w:space="0" w:color="auto"/>
              <w:left w:val="nil"/>
              <w:bottom w:val="nil"/>
              <w:right w:val="nil"/>
            </w:tcBorders>
            <w:shd w:val="clear" w:color="000000" w:fill="FFFFFF"/>
            <w:noWrap/>
            <w:vAlign w:val="bottom"/>
            <w:hideMark/>
          </w:tcPr>
          <w:p w14:paraId="7A38E288" w14:textId="77777777" w:rsidR="00F25E68" w:rsidRPr="00F25E68" w:rsidRDefault="00F25E68" w:rsidP="006E1769">
            <w:pPr>
              <w:rPr>
                <w:rFonts w:ascii="Arial" w:hAnsi="Arial" w:cs="Arial"/>
                <w:color w:val="000000"/>
              </w:rPr>
            </w:pPr>
            <w:r w:rsidRPr="00F25E68">
              <w:rPr>
                <w:rFonts w:ascii="Arial" w:hAnsi="Arial" w:cs="Arial"/>
                <w:color w:val="000000"/>
              </w:rPr>
              <w:t> </w:t>
            </w:r>
          </w:p>
        </w:tc>
        <w:tc>
          <w:tcPr>
            <w:tcW w:w="1206" w:type="dxa"/>
            <w:tcBorders>
              <w:top w:val="single" w:sz="8" w:space="0" w:color="auto"/>
              <w:left w:val="nil"/>
              <w:bottom w:val="nil"/>
              <w:right w:val="single" w:sz="8" w:space="0" w:color="auto"/>
            </w:tcBorders>
            <w:shd w:val="clear" w:color="000000" w:fill="FFFFFF"/>
            <w:vAlign w:val="center"/>
            <w:hideMark/>
          </w:tcPr>
          <w:p w14:paraId="73576354" w14:textId="77777777" w:rsidR="00F25E68" w:rsidRPr="00F25E68" w:rsidRDefault="00F25E68" w:rsidP="006E1769">
            <w:pPr>
              <w:jc w:val="center"/>
              <w:rPr>
                <w:rFonts w:ascii="Arial" w:hAnsi="Arial" w:cs="Arial"/>
                <w:b/>
                <w:color w:val="000000"/>
              </w:rPr>
            </w:pPr>
            <w:r w:rsidRPr="00F25E68">
              <w:rPr>
                <w:rFonts w:ascii="Arial" w:hAnsi="Arial" w:cs="Arial"/>
                <w:b/>
                <w:color w:val="000000"/>
              </w:rPr>
              <w:t>2024/25</w:t>
            </w:r>
          </w:p>
        </w:tc>
      </w:tr>
      <w:tr w:rsidR="00F25E68" w:rsidRPr="00F25E68" w14:paraId="4CD564E9" w14:textId="77777777" w:rsidTr="0036077A">
        <w:trPr>
          <w:trHeight w:val="133"/>
          <w:jc w:val="center"/>
        </w:trPr>
        <w:tc>
          <w:tcPr>
            <w:tcW w:w="5738" w:type="dxa"/>
            <w:tcBorders>
              <w:top w:val="single" w:sz="4" w:space="0" w:color="auto"/>
              <w:left w:val="single" w:sz="4" w:space="0" w:color="auto"/>
              <w:bottom w:val="nil"/>
              <w:right w:val="nil"/>
            </w:tcBorders>
            <w:shd w:val="clear" w:color="000000" w:fill="FFFFFF"/>
            <w:noWrap/>
            <w:vAlign w:val="bottom"/>
            <w:hideMark/>
          </w:tcPr>
          <w:p w14:paraId="300FA1BB" w14:textId="77777777" w:rsidR="00F25E68" w:rsidRPr="00F25E68" w:rsidRDefault="00F25E68" w:rsidP="006E1769">
            <w:pPr>
              <w:rPr>
                <w:rFonts w:ascii="Arial" w:hAnsi="Arial" w:cs="Arial"/>
                <w:b/>
                <w:color w:val="4472C4"/>
                <w:sz w:val="22"/>
                <w:szCs w:val="22"/>
              </w:rPr>
            </w:pPr>
            <w:r w:rsidRPr="00F25E68">
              <w:rPr>
                <w:rFonts w:ascii="Arial" w:hAnsi="Arial" w:cs="Arial"/>
                <w:b/>
                <w:color w:val="4472C4"/>
                <w:sz w:val="22"/>
                <w:szCs w:val="22"/>
              </w:rPr>
              <w:t>Income</w:t>
            </w:r>
          </w:p>
        </w:tc>
        <w:tc>
          <w:tcPr>
            <w:tcW w:w="1199" w:type="dxa"/>
            <w:tcBorders>
              <w:top w:val="single" w:sz="4" w:space="0" w:color="auto"/>
              <w:left w:val="nil"/>
              <w:bottom w:val="nil"/>
              <w:right w:val="nil"/>
            </w:tcBorders>
            <w:shd w:val="clear" w:color="000000" w:fill="FFFFFF"/>
            <w:noWrap/>
            <w:vAlign w:val="bottom"/>
            <w:hideMark/>
          </w:tcPr>
          <w:p w14:paraId="62BC4DC9" w14:textId="77777777" w:rsidR="00F25E68" w:rsidRPr="00F25E68" w:rsidRDefault="00F25E68" w:rsidP="006E1769">
            <w:pPr>
              <w:jc w:val="center"/>
              <w:rPr>
                <w:rFonts w:ascii="Arial" w:hAnsi="Arial" w:cs="Arial"/>
                <w:b/>
                <w:color w:val="000000"/>
                <w:sz w:val="22"/>
                <w:szCs w:val="22"/>
              </w:rPr>
            </w:pPr>
            <w:r w:rsidRPr="00F25E68">
              <w:rPr>
                <w:rFonts w:ascii="Arial" w:hAnsi="Arial" w:cs="Arial"/>
                <w:b/>
                <w:color w:val="000000"/>
                <w:sz w:val="22"/>
                <w:szCs w:val="22"/>
              </w:rPr>
              <w:t>£000s</w:t>
            </w:r>
          </w:p>
        </w:tc>
        <w:tc>
          <w:tcPr>
            <w:tcW w:w="290" w:type="dxa"/>
            <w:tcBorders>
              <w:top w:val="single" w:sz="4" w:space="0" w:color="auto"/>
              <w:left w:val="nil"/>
              <w:bottom w:val="nil"/>
              <w:right w:val="nil"/>
            </w:tcBorders>
            <w:shd w:val="clear" w:color="000000" w:fill="FFFFFF"/>
            <w:noWrap/>
            <w:vAlign w:val="bottom"/>
            <w:hideMark/>
          </w:tcPr>
          <w:p w14:paraId="6D010377"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nil"/>
              <w:right w:val="nil"/>
            </w:tcBorders>
            <w:shd w:val="clear" w:color="000000" w:fill="FFFFFF"/>
            <w:noWrap/>
            <w:vAlign w:val="bottom"/>
            <w:hideMark/>
          </w:tcPr>
          <w:p w14:paraId="5AEED833" w14:textId="77777777" w:rsidR="00F25E68" w:rsidRPr="00F25E68" w:rsidRDefault="00F25E68" w:rsidP="006E1769">
            <w:pPr>
              <w:jc w:val="center"/>
              <w:rPr>
                <w:rFonts w:ascii="Arial" w:hAnsi="Arial" w:cs="Arial"/>
                <w:b/>
                <w:color w:val="000000"/>
                <w:sz w:val="22"/>
                <w:szCs w:val="22"/>
              </w:rPr>
            </w:pPr>
            <w:r w:rsidRPr="00F25E68">
              <w:rPr>
                <w:rFonts w:ascii="Arial" w:hAnsi="Arial" w:cs="Arial"/>
                <w:b/>
                <w:color w:val="000000"/>
                <w:sz w:val="22"/>
                <w:szCs w:val="22"/>
              </w:rPr>
              <w:t>£000s</w:t>
            </w:r>
          </w:p>
        </w:tc>
        <w:tc>
          <w:tcPr>
            <w:tcW w:w="303" w:type="dxa"/>
            <w:tcBorders>
              <w:top w:val="single" w:sz="4" w:space="0" w:color="auto"/>
              <w:left w:val="nil"/>
              <w:bottom w:val="nil"/>
              <w:right w:val="nil"/>
            </w:tcBorders>
            <w:shd w:val="clear" w:color="000000" w:fill="FFFFFF"/>
            <w:noWrap/>
            <w:vAlign w:val="bottom"/>
            <w:hideMark/>
          </w:tcPr>
          <w:p w14:paraId="17E912F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nil"/>
              <w:right w:val="single" w:sz="4" w:space="0" w:color="auto"/>
            </w:tcBorders>
            <w:shd w:val="clear" w:color="000000" w:fill="FFFFFF"/>
            <w:noWrap/>
            <w:vAlign w:val="bottom"/>
            <w:hideMark/>
          </w:tcPr>
          <w:p w14:paraId="638A546A" w14:textId="77777777" w:rsidR="00F25E68" w:rsidRPr="00F25E68" w:rsidRDefault="00F25E68" w:rsidP="006E1769">
            <w:pPr>
              <w:jc w:val="center"/>
              <w:rPr>
                <w:rFonts w:ascii="Arial" w:hAnsi="Arial" w:cs="Arial"/>
                <w:b/>
                <w:color w:val="000000"/>
                <w:sz w:val="22"/>
                <w:szCs w:val="22"/>
              </w:rPr>
            </w:pPr>
            <w:r w:rsidRPr="00F25E68">
              <w:rPr>
                <w:rFonts w:ascii="Arial" w:hAnsi="Arial" w:cs="Arial"/>
                <w:b/>
                <w:color w:val="000000"/>
                <w:sz w:val="22"/>
                <w:szCs w:val="22"/>
              </w:rPr>
              <w:t>£000s</w:t>
            </w:r>
          </w:p>
        </w:tc>
      </w:tr>
      <w:tr w:rsidR="00F25E68" w:rsidRPr="00F25E68" w14:paraId="67F1F838" w14:textId="77777777" w:rsidTr="0036077A">
        <w:trPr>
          <w:trHeight w:val="29"/>
          <w:jc w:val="center"/>
        </w:trPr>
        <w:tc>
          <w:tcPr>
            <w:tcW w:w="5738" w:type="dxa"/>
            <w:tcBorders>
              <w:top w:val="nil"/>
              <w:left w:val="single" w:sz="4" w:space="0" w:color="auto"/>
              <w:bottom w:val="nil"/>
              <w:right w:val="nil"/>
            </w:tcBorders>
            <w:shd w:val="clear" w:color="000000" w:fill="FFFFFF"/>
            <w:noWrap/>
            <w:vAlign w:val="center"/>
            <w:hideMark/>
          </w:tcPr>
          <w:p w14:paraId="318D28E5"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Council</w:t>
            </w:r>
          </w:p>
        </w:tc>
        <w:tc>
          <w:tcPr>
            <w:tcW w:w="1199" w:type="dxa"/>
            <w:tcBorders>
              <w:top w:val="nil"/>
              <w:left w:val="nil"/>
              <w:bottom w:val="nil"/>
              <w:right w:val="nil"/>
            </w:tcBorders>
            <w:shd w:val="clear" w:color="000000" w:fill="FFFFFF"/>
            <w:noWrap/>
            <w:vAlign w:val="center"/>
            <w:hideMark/>
          </w:tcPr>
          <w:p w14:paraId="0F66A266"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8,681 </w:t>
            </w:r>
          </w:p>
        </w:tc>
        <w:tc>
          <w:tcPr>
            <w:tcW w:w="290" w:type="dxa"/>
            <w:tcBorders>
              <w:top w:val="nil"/>
              <w:left w:val="nil"/>
              <w:bottom w:val="nil"/>
              <w:right w:val="nil"/>
            </w:tcBorders>
            <w:shd w:val="clear" w:color="000000" w:fill="FFFFFF"/>
            <w:noWrap/>
            <w:vAlign w:val="bottom"/>
            <w:hideMark/>
          </w:tcPr>
          <w:p w14:paraId="6F70E84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center"/>
            <w:hideMark/>
          </w:tcPr>
          <w:p w14:paraId="598C326D"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9,068 </w:t>
            </w:r>
          </w:p>
        </w:tc>
        <w:tc>
          <w:tcPr>
            <w:tcW w:w="303" w:type="dxa"/>
            <w:tcBorders>
              <w:top w:val="nil"/>
              <w:left w:val="nil"/>
              <w:bottom w:val="nil"/>
              <w:right w:val="nil"/>
            </w:tcBorders>
            <w:shd w:val="clear" w:color="000000" w:fill="FFFFFF"/>
            <w:noWrap/>
            <w:vAlign w:val="bottom"/>
            <w:hideMark/>
          </w:tcPr>
          <w:p w14:paraId="72776DD0"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center"/>
            <w:hideMark/>
          </w:tcPr>
          <w:p w14:paraId="6ABCCC2E"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9,341 </w:t>
            </w:r>
          </w:p>
        </w:tc>
      </w:tr>
      <w:tr w:rsidR="00F25E68" w:rsidRPr="00F25E68" w14:paraId="7AF81B85" w14:textId="77777777" w:rsidTr="0036077A">
        <w:trPr>
          <w:trHeight w:val="92"/>
          <w:jc w:val="center"/>
        </w:trPr>
        <w:tc>
          <w:tcPr>
            <w:tcW w:w="5738" w:type="dxa"/>
            <w:tcBorders>
              <w:top w:val="nil"/>
              <w:left w:val="single" w:sz="4" w:space="0" w:color="auto"/>
              <w:bottom w:val="nil"/>
              <w:right w:val="nil"/>
            </w:tcBorders>
            <w:shd w:val="clear" w:color="000000" w:fill="FFFFFF"/>
            <w:noWrap/>
            <w:vAlign w:val="center"/>
            <w:hideMark/>
          </w:tcPr>
          <w:p w14:paraId="48CC71A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Admitted bodies</w:t>
            </w:r>
          </w:p>
        </w:tc>
        <w:tc>
          <w:tcPr>
            <w:tcW w:w="1199" w:type="dxa"/>
            <w:tcBorders>
              <w:top w:val="nil"/>
              <w:left w:val="nil"/>
              <w:bottom w:val="nil"/>
              <w:right w:val="nil"/>
            </w:tcBorders>
            <w:shd w:val="clear" w:color="000000" w:fill="FFFFFF"/>
            <w:noWrap/>
            <w:vAlign w:val="center"/>
            <w:hideMark/>
          </w:tcPr>
          <w:p w14:paraId="66320B48"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467 </w:t>
            </w:r>
          </w:p>
        </w:tc>
        <w:tc>
          <w:tcPr>
            <w:tcW w:w="290" w:type="dxa"/>
            <w:tcBorders>
              <w:top w:val="nil"/>
              <w:left w:val="nil"/>
              <w:bottom w:val="nil"/>
              <w:right w:val="nil"/>
            </w:tcBorders>
            <w:shd w:val="clear" w:color="000000" w:fill="FFFFFF"/>
            <w:noWrap/>
            <w:vAlign w:val="bottom"/>
            <w:hideMark/>
          </w:tcPr>
          <w:p w14:paraId="28E7B8A7"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center"/>
            <w:hideMark/>
          </w:tcPr>
          <w:p w14:paraId="5CA39CEF"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448 </w:t>
            </w:r>
          </w:p>
        </w:tc>
        <w:tc>
          <w:tcPr>
            <w:tcW w:w="303" w:type="dxa"/>
            <w:tcBorders>
              <w:top w:val="nil"/>
              <w:left w:val="nil"/>
              <w:bottom w:val="nil"/>
              <w:right w:val="nil"/>
            </w:tcBorders>
            <w:shd w:val="clear" w:color="000000" w:fill="FFFFFF"/>
            <w:noWrap/>
            <w:vAlign w:val="bottom"/>
            <w:hideMark/>
          </w:tcPr>
          <w:p w14:paraId="0BC8547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center"/>
            <w:hideMark/>
          </w:tcPr>
          <w:p w14:paraId="1F5E2D2F"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415 </w:t>
            </w:r>
          </w:p>
        </w:tc>
      </w:tr>
      <w:tr w:rsidR="00F25E68" w:rsidRPr="00F25E68" w14:paraId="2DB3AECE" w14:textId="77777777" w:rsidTr="0036077A">
        <w:trPr>
          <w:trHeight w:val="129"/>
          <w:jc w:val="center"/>
        </w:trPr>
        <w:tc>
          <w:tcPr>
            <w:tcW w:w="5738" w:type="dxa"/>
            <w:tcBorders>
              <w:top w:val="nil"/>
              <w:left w:val="single" w:sz="4" w:space="0" w:color="auto"/>
              <w:bottom w:val="nil"/>
              <w:right w:val="nil"/>
            </w:tcBorders>
            <w:shd w:val="clear" w:color="000000" w:fill="FFFFFF"/>
            <w:noWrap/>
            <w:vAlign w:val="center"/>
            <w:hideMark/>
          </w:tcPr>
          <w:p w14:paraId="1B44A70B"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Scheduled bodies</w:t>
            </w:r>
          </w:p>
        </w:tc>
        <w:tc>
          <w:tcPr>
            <w:tcW w:w="1199" w:type="dxa"/>
            <w:tcBorders>
              <w:top w:val="nil"/>
              <w:left w:val="nil"/>
              <w:bottom w:val="nil"/>
              <w:right w:val="nil"/>
            </w:tcBorders>
            <w:shd w:val="clear" w:color="000000" w:fill="FFFFFF"/>
            <w:noWrap/>
            <w:vAlign w:val="center"/>
            <w:hideMark/>
          </w:tcPr>
          <w:p w14:paraId="33C90FDD"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1,908 </w:t>
            </w:r>
          </w:p>
        </w:tc>
        <w:tc>
          <w:tcPr>
            <w:tcW w:w="290" w:type="dxa"/>
            <w:tcBorders>
              <w:top w:val="nil"/>
              <w:left w:val="nil"/>
              <w:bottom w:val="nil"/>
              <w:right w:val="nil"/>
            </w:tcBorders>
            <w:shd w:val="clear" w:color="000000" w:fill="FFFFFF"/>
            <w:noWrap/>
            <w:vAlign w:val="bottom"/>
            <w:hideMark/>
          </w:tcPr>
          <w:p w14:paraId="437253F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center"/>
            <w:hideMark/>
          </w:tcPr>
          <w:p w14:paraId="140C4443"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1,933 </w:t>
            </w:r>
          </w:p>
        </w:tc>
        <w:tc>
          <w:tcPr>
            <w:tcW w:w="303" w:type="dxa"/>
            <w:tcBorders>
              <w:top w:val="nil"/>
              <w:left w:val="nil"/>
              <w:bottom w:val="nil"/>
              <w:right w:val="nil"/>
            </w:tcBorders>
            <w:shd w:val="clear" w:color="000000" w:fill="FFFFFF"/>
            <w:noWrap/>
            <w:vAlign w:val="bottom"/>
            <w:hideMark/>
          </w:tcPr>
          <w:p w14:paraId="35A378C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center"/>
            <w:hideMark/>
          </w:tcPr>
          <w:p w14:paraId="5B5D8492"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1,891 </w:t>
            </w:r>
          </w:p>
        </w:tc>
      </w:tr>
      <w:tr w:rsidR="00F25E68" w:rsidRPr="00F25E68" w14:paraId="3B1547F1" w14:textId="77777777" w:rsidTr="0036077A">
        <w:trPr>
          <w:trHeight w:val="133"/>
          <w:jc w:val="center"/>
        </w:trPr>
        <w:tc>
          <w:tcPr>
            <w:tcW w:w="5738" w:type="dxa"/>
            <w:tcBorders>
              <w:top w:val="nil"/>
              <w:left w:val="single" w:sz="4" w:space="0" w:color="auto"/>
              <w:bottom w:val="nil"/>
              <w:right w:val="nil"/>
            </w:tcBorders>
            <w:shd w:val="clear" w:color="000000" w:fill="FFFFFF"/>
            <w:noWrap/>
            <w:vAlign w:val="center"/>
            <w:hideMark/>
          </w:tcPr>
          <w:p w14:paraId="6145DF8A"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Total contributions from members</w:t>
            </w:r>
          </w:p>
        </w:tc>
        <w:tc>
          <w:tcPr>
            <w:tcW w:w="1199" w:type="dxa"/>
            <w:tcBorders>
              <w:top w:val="single" w:sz="4" w:space="0" w:color="auto"/>
              <w:left w:val="nil"/>
              <w:bottom w:val="single" w:sz="4" w:space="0" w:color="auto"/>
              <w:right w:val="nil"/>
            </w:tcBorders>
            <w:shd w:val="clear" w:color="000000" w:fill="FFFFFF"/>
            <w:noWrap/>
            <w:vAlign w:val="center"/>
            <w:hideMark/>
          </w:tcPr>
          <w:p w14:paraId="509D8EA5"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11,055 </w:t>
            </w:r>
          </w:p>
        </w:tc>
        <w:tc>
          <w:tcPr>
            <w:tcW w:w="290" w:type="dxa"/>
            <w:tcBorders>
              <w:top w:val="nil"/>
              <w:left w:val="nil"/>
              <w:bottom w:val="nil"/>
              <w:right w:val="nil"/>
            </w:tcBorders>
            <w:shd w:val="clear" w:color="000000" w:fill="FFFFFF"/>
            <w:noWrap/>
            <w:vAlign w:val="bottom"/>
            <w:hideMark/>
          </w:tcPr>
          <w:p w14:paraId="47761DCB"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single" w:sz="4" w:space="0" w:color="auto"/>
              <w:right w:val="nil"/>
            </w:tcBorders>
            <w:shd w:val="clear" w:color="000000" w:fill="FFFFFF"/>
            <w:noWrap/>
            <w:vAlign w:val="center"/>
            <w:hideMark/>
          </w:tcPr>
          <w:p w14:paraId="1961C406"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11,449 </w:t>
            </w:r>
          </w:p>
        </w:tc>
        <w:tc>
          <w:tcPr>
            <w:tcW w:w="303" w:type="dxa"/>
            <w:tcBorders>
              <w:top w:val="nil"/>
              <w:left w:val="nil"/>
              <w:bottom w:val="nil"/>
              <w:right w:val="nil"/>
            </w:tcBorders>
            <w:shd w:val="clear" w:color="000000" w:fill="FFFFFF"/>
            <w:noWrap/>
            <w:vAlign w:val="bottom"/>
            <w:hideMark/>
          </w:tcPr>
          <w:p w14:paraId="56A9D466"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4C462C10"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11,646 </w:t>
            </w:r>
          </w:p>
        </w:tc>
      </w:tr>
      <w:tr w:rsidR="00F25E68" w:rsidRPr="00F25E68" w14:paraId="68A16291" w14:textId="77777777" w:rsidTr="0036077A">
        <w:trPr>
          <w:trHeight w:val="129"/>
          <w:jc w:val="center"/>
        </w:trPr>
        <w:tc>
          <w:tcPr>
            <w:tcW w:w="5738" w:type="dxa"/>
            <w:tcBorders>
              <w:top w:val="nil"/>
              <w:left w:val="single" w:sz="4" w:space="0" w:color="auto"/>
              <w:bottom w:val="nil"/>
              <w:right w:val="nil"/>
            </w:tcBorders>
            <w:shd w:val="clear" w:color="000000" w:fill="FFFFFF"/>
            <w:noWrap/>
            <w:vAlign w:val="center"/>
            <w:hideMark/>
          </w:tcPr>
          <w:p w14:paraId="3A75B222"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199" w:type="dxa"/>
            <w:tcBorders>
              <w:top w:val="nil"/>
              <w:left w:val="nil"/>
              <w:bottom w:val="nil"/>
              <w:right w:val="nil"/>
            </w:tcBorders>
            <w:shd w:val="clear" w:color="000000" w:fill="FFFFFF"/>
            <w:vAlign w:val="center"/>
            <w:hideMark/>
          </w:tcPr>
          <w:p w14:paraId="503F8410"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290" w:type="dxa"/>
            <w:tcBorders>
              <w:top w:val="nil"/>
              <w:left w:val="nil"/>
              <w:bottom w:val="nil"/>
              <w:right w:val="nil"/>
            </w:tcBorders>
            <w:shd w:val="clear" w:color="000000" w:fill="FFFFFF"/>
            <w:noWrap/>
            <w:vAlign w:val="bottom"/>
            <w:hideMark/>
          </w:tcPr>
          <w:p w14:paraId="2FBA3F1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vAlign w:val="center"/>
            <w:hideMark/>
          </w:tcPr>
          <w:p w14:paraId="17142B8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303" w:type="dxa"/>
            <w:tcBorders>
              <w:top w:val="nil"/>
              <w:left w:val="nil"/>
              <w:bottom w:val="nil"/>
              <w:right w:val="nil"/>
            </w:tcBorders>
            <w:shd w:val="clear" w:color="000000" w:fill="FFFFFF"/>
            <w:noWrap/>
            <w:vAlign w:val="bottom"/>
            <w:hideMark/>
          </w:tcPr>
          <w:p w14:paraId="7BD7AF43"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vAlign w:val="center"/>
            <w:hideMark/>
          </w:tcPr>
          <w:p w14:paraId="1C6BA4E3"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r>
      <w:tr w:rsidR="00F25E68" w:rsidRPr="00F25E68" w14:paraId="5398C5F4" w14:textId="77777777" w:rsidTr="0036077A">
        <w:trPr>
          <w:trHeight w:val="129"/>
          <w:jc w:val="center"/>
        </w:trPr>
        <w:tc>
          <w:tcPr>
            <w:tcW w:w="5738" w:type="dxa"/>
            <w:tcBorders>
              <w:top w:val="nil"/>
              <w:left w:val="single" w:sz="4" w:space="0" w:color="auto"/>
              <w:bottom w:val="nil"/>
              <w:right w:val="nil"/>
            </w:tcBorders>
            <w:shd w:val="clear" w:color="000000" w:fill="FFFFFF"/>
            <w:noWrap/>
            <w:vAlign w:val="center"/>
            <w:hideMark/>
          </w:tcPr>
          <w:p w14:paraId="124F472B"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Council - Normal</w:t>
            </w:r>
          </w:p>
        </w:tc>
        <w:tc>
          <w:tcPr>
            <w:tcW w:w="1199" w:type="dxa"/>
            <w:tcBorders>
              <w:top w:val="nil"/>
              <w:left w:val="nil"/>
              <w:bottom w:val="nil"/>
              <w:right w:val="nil"/>
            </w:tcBorders>
            <w:shd w:val="clear" w:color="000000" w:fill="FFFFFF"/>
            <w:noWrap/>
            <w:vAlign w:val="bottom"/>
            <w:hideMark/>
          </w:tcPr>
          <w:p w14:paraId="066A0515"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27,822 </w:t>
            </w:r>
          </w:p>
        </w:tc>
        <w:tc>
          <w:tcPr>
            <w:tcW w:w="290" w:type="dxa"/>
            <w:tcBorders>
              <w:top w:val="nil"/>
              <w:left w:val="nil"/>
              <w:bottom w:val="nil"/>
              <w:right w:val="nil"/>
            </w:tcBorders>
            <w:shd w:val="clear" w:color="000000" w:fill="FFFFFF"/>
            <w:noWrap/>
            <w:vAlign w:val="bottom"/>
            <w:hideMark/>
          </w:tcPr>
          <w:p w14:paraId="2C519C8B"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51EF56E3"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27,801 </w:t>
            </w:r>
          </w:p>
        </w:tc>
        <w:tc>
          <w:tcPr>
            <w:tcW w:w="303" w:type="dxa"/>
            <w:tcBorders>
              <w:top w:val="nil"/>
              <w:left w:val="nil"/>
              <w:bottom w:val="nil"/>
              <w:right w:val="nil"/>
            </w:tcBorders>
            <w:shd w:val="clear" w:color="000000" w:fill="FFFFFF"/>
            <w:noWrap/>
            <w:vAlign w:val="bottom"/>
            <w:hideMark/>
          </w:tcPr>
          <w:p w14:paraId="65E52CDC"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23F6F16E"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28,635 </w:t>
            </w:r>
          </w:p>
        </w:tc>
      </w:tr>
      <w:tr w:rsidR="00F25E68" w:rsidRPr="00F25E68" w14:paraId="18F1CF9D" w14:textId="77777777" w:rsidTr="0036077A">
        <w:trPr>
          <w:trHeight w:val="129"/>
          <w:jc w:val="center"/>
        </w:trPr>
        <w:tc>
          <w:tcPr>
            <w:tcW w:w="5738" w:type="dxa"/>
            <w:tcBorders>
              <w:top w:val="nil"/>
              <w:left w:val="single" w:sz="4" w:space="0" w:color="auto"/>
              <w:bottom w:val="nil"/>
              <w:right w:val="nil"/>
            </w:tcBorders>
            <w:shd w:val="clear" w:color="000000" w:fill="FFFFFF"/>
            <w:noWrap/>
            <w:vAlign w:val="center"/>
            <w:hideMark/>
          </w:tcPr>
          <w:p w14:paraId="26EEF5F0"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Admitted bodies - Normal</w:t>
            </w:r>
          </w:p>
        </w:tc>
        <w:tc>
          <w:tcPr>
            <w:tcW w:w="1199" w:type="dxa"/>
            <w:tcBorders>
              <w:top w:val="nil"/>
              <w:left w:val="nil"/>
              <w:bottom w:val="nil"/>
              <w:right w:val="nil"/>
            </w:tcBorders>
            <w:shd w:val="clear" w:color="000000" w:fill="FFFFFF"/>
            <w:noWrap/>
            <w:vAlign w:val="bottom"/>
            <w:hideMark/>
          </w:tcPr>
          <w:p w14:paraId="385DB8ED"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1,938 </w:t>
            </w:r>
          </w:p>
        </w:tc>
        <w:tc>
          <w:tcPr>
            <w:tcW w:w="290" w:type="dxa"/>
            <w:tcBorders>
              <w:top w:val="nil"/>
              <w:left w:val="nil"/>
              <w:bottom w:val="nil"/>
              <w:right w:val="nil"/>
            </w:tcBorders>
            <w:shd w:val="clear" w:color="000000" w:fill="FFFFFF"/>
            <w:noWrap/>
            <w:vAlign w:val="bottom"/>
            <w:hideMark/>
          </w:tcPr>
          <w:p w14:paraId="7E8C338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63A20DFF"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1,860 </w:t>
            </w:r>
          </w:p>
        </w:tc>
        <w:tc>
          <w:tcPr>
            <w:tcW w:w="303" w:type="dxa"/>
            <w:tcBorders>
              <w:top w:val="nil"/>
              <w:left w:val="nil"/>
              <w:bottom w:val="nil"/>
              <w:right w:val="nil"/>
            </w:tcBorders>
            <w:shd w:val="clear" w:color="000000" w:fill="FFFFFF"/>
            <w:noWrap/>
            <w:vAlign w:val="bottom"/>
            <w:hideMark/>
          </w:tcPr>
          <w:p w14:paraId="5AFFD9F5"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2459828B"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1,724 </w:t>
            </w:r>
          </w:p>
        </w:tc>
      </w:tr>
      <w:tr w:rsidR="00F25E68" w:rsidRPr="00F25E68" w14:paraId="3B45DDD6" w14:textId="77777777" w:rsidTr="0036077A">
        <w:trPr>
          <w:trHeight w:val="129"/>
          <w:jc w:val="center"/>
        </w:trPr>
        <w:tc>
          <w:tcPr>
            <w:tcW w:w="5738" w:type="dxa"/>
            <w:tcBorders>
              <w:top w:val="nil"/>
              <w:left w:val="single" w:sz="4" w:space="0" w:color="auto"/>
              <w:bottom w:val="nil"/>
              <w:right w:val="nil"/>
            </w:tcBorders>
            <w:shd w:val="clear" w:color="000000" w:fill="FFFFFF"/>
            <w:noWrap/>
            <w:vAlign w:val="center"/>
            <w:hideMark/>
          </w:tcPr>
          <w:p w14:paraId="0FB66798"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Scheduled bodies - Normal</w:t>
            </w:r>
          </w:p>
        </w:tc>
        <w:tc>
          <w:tcPr>
            <w:tcW w:w="1199" w:type="dxa"/>
            <w:tcBorders>
              <w:top w:val="nil"/>
              <w:left w:val="nil"/>
              <w:bottom w:val="nil"/>
              <w:right w:val="nil"/>
            </w:tcBorders>
            <w:shd w:val="clear" w:color="000000" w:fill="FFFFFF"/>
            <w:noWrap/>
            <w:vAlign w:val="bottom"/>
            <w:hideMark/>
          </w:tcPr>
          <w:p w14:paraId="63B0F67A"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7,383 </w:t>
            </w:r>
          </w:p>
        </w:tc>
        <w:tc>
          <w:tcPr>
            <w:tcW w:w="290" w:type="dxa"/>
            <w:tcBorders>
              <w:top w:val="nil"/>
              <w:left w:val="nil"/>
              <w:bottom w:val="nil"/>
              <w:right w:val="nil"/>
            </w:tcBorders>
            <w:shd w:val="clear" w:color="000000" w:fill="FFFFFF"/>
            <w:noWrap/>
            <w:vAlign w:val="bottom"/>
            <w:hideMark/>
          </w:tcPr>
          <w:p w14:paraId="16EC925F"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0CB7F725"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7,477 </w:t>
            </w:r>
          </w:p>
        </w:tc>
        <w:tc>
          <w:tcPr>
            <w:tcW w:w="303" w:type="dxa"/>
            <w:tcBorders>
              <w:top w:val="nil"/>
              <w:left w:val="nil"/>
              <w:bottom w:val="nil"/>
              <w:right w:val="nil"/>
            </w:tcBorders>
            <w:shd w:val="clear" w:color="000000" w:fill="FFFFFF"/>
            <w:noWrap/>
            <w:vAlign w:val="bottom"/>
            <w:hideMark/>
          </w:tcPr>
          <w:p w14:paraId="0890F580"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3C26E5AC"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7,316 </w:t>
            </w:r>
          </w:p>
        </w:tc>
      </w:tr>
      <w:tr w:rsidR="00F25E68" w:rsidRPr="00F25E68" w14:paraId="2280F2A0" w14:textId="77777777" w:rsidTr="0036077A">
        <w:trPr>
          <w:trHeight w:val="129"/>
          <w:jc w:val="center"/>
        </w:trPr>
        <w:tc>
          <w:tcPr>
            <w:tcW w:w="5738" w:type="dxa"/>
            <w:tcBorders>
              <w:top w:val="nil"/>
              <w:left w:val="single" w:sz="4" w:space="0" w:color="auto"/>
              <w:bottom w:val="nil"/>
              <w:right w:val="nil"/>
            </w:tcBorders>
            <w:shd w:val="clear" w:color="000000" w:fill="FFFFFF"/>
            <w:noWrap/>
            <w:vAlign w:val="center"/>
            <w:hideMark/>
          </w:tcPr>
          <w:p w14:paraId="025C393B"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Pension Strain</w:t>
            </w:r>
          </w:p>
        </w:tc>
        <w:tc>
          <w:tcPr>
            <w:tcW w:w="1199" w:type="dxa"/>
            <w:tcBorders>
              <w:top w:val="nil"/>
              <w:left w:val="nil"/>
              <w:bottom w:val="nil"/>
              <w:right w:val="nil"/>
            </w:tcBorders>
            <w:shd w:val="clear" w:color="000000" w:fill="FFFFFF"/>
            <w:noWrap/>
            <w:vAlign w:val="bottom"/>
            <w:hideMark/>
          </w:tcPr>
          <w:p w14:paraId="270C41C9"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250 </w:t>
            </w:r>
          </w:p>
        </w:tc>
        <w:tc>
          <w:tcPr>
            <w:tcW w:w="290" w:type="dxa"/>
            <w:tcBorders>
              <w:top w:val="nil"/>
              <w:left w:val="nil"/>
              <w:bottom w:val="nil"/>
              <w:right w:val="nil"/>
            </w:tcBorders>
            <w:shd w:val="clear" w:color="000000" w:fill="FFFFFF"/>
            <w:noWrap/>
            <w:vAlign w:val="bottom"/>
            <w:hideMark/>
          </w:tcPr>
          <w:p w14:paraId="1C447C17"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0A592E17"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500 </w:t>
            </w:r>
          </w:p>
        </w:tc>
        <w:tc>
          <w:tcPr>
            <w:tcW w:w="303" w:type="dxa"/>
            <w:tcBorders>
              <w:top w:val="nil"/>
              <w:left w:val="nil"/>
              <w:bottom w:val="nil"/>
              <w:right w:val="nil"/>
            </w:tcBorders>
            <w:shd w:val="clear" w:color="000000" w:fill="FFFFFF"/>
            <w:noWrap/>
            <w:vAlign w:val="bottom"/>
            <w:hideMark/>
          </w:tcPr>
          <w:p w14:paraId="1A49D085"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1CD13F95"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250 </w:t>
            </w:r>
          </w:p>
        </w:tc>
      </w:tr>
      <w:tr w:rsidR="00F25E68" w:rsidRPr="00F25E68" w14:paraId="76F687E4" w14:textId="77777777" w:rsidTr="0036077A">
        <w:trPr>
          <w:trHeight w:val="133"/>
          <w:jc w:val="center"/>
        </w:trPr>
        <w:tc>
          <w:tcPr>
            <w:tcW w:w="5738" w:type="dxa"/>
            <w:tcBorders>
              <w:top w:val="nil"/>
              <w:left w:val="single" w:sz="4" w:space="0" w:color="auto"/>
              <w:bottom w:val="nil"/>
              <w:right w:val="nil"/>
            </w:tcBorders>
            <w:shd w:val="clear" w:color="000000" w:fill="FFFFFF"/>
            <w:noWrap/>
            <w:vAlign w:val="center"/>
            <w:hideMark/>
          </w:tcPr>
          <w:p w14:paraId="47E8A024"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Total contributions from employers</w:t>
            </w:r>
          </w:p>
        </w:tc>
        <w:tc>
          <w:tcPr>
            <w:tcW w:w="1199" w:type="dxa"/>
            <w:tcBorders>
              <w:top w:val="single" w:sz="4" w:space="0" w:color="auto"/>
              <w:left w:val="nil"/>
              <w:bottom w:val="single" w:sz="4" w:space="0" w:color="auto"/>
              <w:right w:val="nil"/>
            </w:tcBorders>
            <w:shd w:val="clear" w:color="000000" w:fill="FFFFFF"/>
            <w:noWrap/>
            <w:vAlign w:val="center"/>
            <w:hideMark/>
          </w:tcPr>
          <w:p w14:paraId="425471E0"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37,393 </w:t>
            </w:r>
          </w:p>
        </w:tc>
        <w:tc>
          <w:tcPr>
            <w:tcW w:w="290" w:type="dxa"/>
            <w:tcBorders>
              <w:top w:val="nil"/>
              <w:left w:val="nil"/>
              <w:bottom w:val="nil"/>
              <w:right w:val="nil"/>
            </w:tcBorders>
            <w:shd w:val="clear" w:color="000000" w:fill="FFFFFF"/>
            <w:noWrap/>
            <w:vAlign w:val="bottom"/>
            <w:hideMark/>
          </w:tcPr>
          <w:p w14:paraId="3CA16E53"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single" w:sz="4" w:space="0" w:color="auto"/>
              <w:right w:val="nil"/>
            </w:tcBorders>
            <w:shd w:val="clear" w:color="000000" w:fill="FFFFFF"/>
            <w:noWrap/>
            <w:vAlign w:val="center"/>
            <w:hideMark/>
          </w:tcPr>
          <w:p w14:paraId="181238BA"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37,638 </w:t>
            </w:r>
          </w:p>
        </w:tc>
        <w:tc>
          <w:tcPr>
            <w:tcW w:w="303" w:type="dxa"/>
            <w:tcBorders>
              <w:top w:val="nil"/>
              <w:left w:val="nil"/>
              <w:bottom w:val="nil"/>
              <w:right w:val="nil"/>
            </w:tcBorders>
            <w:shd w:val="clear" w:color="000000" w:fill="FFFFFF"/>
            <w:noWrap/>
            <w:vAlign w:val="bottom"/>
            <w:hideMark/>
          </w:tcPr>
          <w:p w14:paraId="0E16F17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213B31E9"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37,925 </w:t>
            </w:r>
          </w:p>
        </w:tc>
      </w:tr>
      <w:tr w:rsidR="00F25E68" w:rsidRPr="00F25E68" w14:paraId="5CA6479A" w14:textId="77777777" w:rsidTr="0036077A">
        <w:trPr>
          <w:trHeight w:val="129"/>
          <w:jc w:val="center"/>
        </w:trPr>
        <w:tc>
          <w:tcPr>
            <w:tcW w:w="5738" w:type="dxa"/>
            <w:tcBorders>
              <w:top w:val="nil"/>
              <w:left w:val="single" w:sz="4" w:space="0" w:color="auto"/>
              <w:bottom w:val="nil"/>
              <w:right w:val="nil"/>
            </w:tcBorders>
            <w:shd w:val="clear" w:color="000000" w:fill="FFFFFF"/>
            <w:noWrap/>
            <w:vAlign w:val="center"/>
            <w:hideMark/>
          </w:tcPr>
          <w:p w14:paraId="6AC82445"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199" w:type="dxa"/>
            <w:tcBorders>
              <w:top w:val="nil"/>
              <w:left w:val="nil"/>
              <w:bottom w:val="nil"/>
              <w:right w:val="nil"/>
            </w:tcBorders>
            <w:shd w:val="clear" w:color="000000" w:fill="FFFFFF"/>
            <w:noWrap/>
            <w:vAlign w:val="center"/>
            <w:hideMark/>
          </w:tcPr>
          <w:p w14:paraId="1B246161"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290" w:type="dxa"/>
            <w:tcBorders>
              <w:top w:val="nil"/>
              <w:left w:val="nil"/>
              <w:bottom w:val="nil"/>
              <w:right w:val="nil"/>
            </w:tcBorders>
            <w:shd w:val="clear" w:color="000000" w:fill="FFFFFF"/>
            <w:noWrap/>
            <w:vAlign w:val="bottom"/>
            <w:hideMark/>
          </w:tcPr>
          <w:p w14:paraId="5DB898E2"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center"/>
            <w:hideMark/>
          </w:tcPr>
          <w:p w14:paraId="0DCDFD5B"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303" w:type="dxa"/>
            <w:tcBorders>
              <w:top w:val="nil"/>
              <w:left w:val="nil"/>
              <w:bottom w:val="nil"/>
              <w:right w:val="nil"/>
            </w:tcBorders>
            <w:shd w:val="clear" w:color="000000" w:fill="FFFFFF"/>
            <w:noWrap/>
            <w:vAlign w:val="bottom"/>
            <w:hideMark/>
          </w:tcPr>
          <w:p w14:paraId="327D4B13"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center"/>
            <w:hideMark/>
          </w:tcPr>
          <w:p w14:paraId="0BB5E887"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r>
      <w:tr w:rsidR="00F25E68" w:rsidRPr="00F25E68" w14:paraId="2E7C8B4E" w14:textId="77777777" w:rsidTr="0036077A">
        <w:trPr>
          <w:trHeight w:val="140"/>
          <w:jc w:val="center"/>
        </w:trPr>
        <w:tc>
          <w:tcPr>
            <w:tcW w:w="5738" w:type="dxa"/>
            <w:tcBorders>
              <w:top w:val="nil"/>
              <w:left w:val="single" w:sz="4" w:space="0" w:color="auto"/>
              <w:bottom w:val="nil"/>
              <w:right w:val="nil"/>
            </w:tcBorders>
            <w:shd w:val="clear" w:color="000000" w:fill="FFFFFF"/>
            <w:noWrap/>
            <w:vAlign w:val="center"/>
            <w:hideMark/>
          </w:tcPr>
          <w:p w14:paraId="7215C080"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Total Contributions</w:t>
            </w:r>
          </w:p>
        </w:tc>
        <w:tc>
          <w:tcPr>
            <w:tcW w:w="1199" w:type="dxa"/>
            <w:tcBorders>
              <w:top w:val="nil"/>
              <w:left w:val="nil"/>
              <w:bottom w:val="double" w:sz="6" w:space="0" w:color="auto"/>
              <w:right w:val="nil"/>
            </w:tcBorders>
            <w:shd w:val="clear" w:color="000000" w:fill="FFFFFF"/>
            <w:vAlign w:val="center"/>
            <w:hideMark/>
          </w:tcPr>
          <w:p w14:paraId="4786DB5F"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48,449 </w:t>
            </w:r>
          </w:p>
        </w:tc>
        <w:tc>
          <w:tcPr>
            <w:tcW w:w="290" w:type="dxa"/>
            <w:tcBorders>
              <w:top w:val="nil"/>
              <w:left w:val="nil"/>
              <w:bottom w:val="nil"/>
              <w:right w:val="nil"/>
            </w:tcBorders>
            <w:shd w:val="clear" w:color="000000" w:fill="FFFFFF"/>
            <w:noWrap/>
            <w:vAlign w:val="bottom"/>
            <w:hideMark/>
          </w:tcPr>
          <w:p w14:paraId="1B9AA282"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double" w:sz="6" w:space="0" w:color="auto"/>
              <w:right w:val="nil"/>
            </w:tcBorders>
            <w:shd w:val="clear" w:color="000000" w:fill="FFFFFF"/>
            <w:vAlign w:val="center"/>
            <w:hideMark/>
          </w:tcPr>
          <w:p w14:paraId="16590449"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49,086 </w:t>
            </w:r>
          </w:p>
        </w:tc>
        <w:tc>
          <w:tcPr>
            <w:tcW w:w="303" w:type="dxa"/>
            <w:tcBorders>
              <w:top w:val="nil"/>
              <w:left w:val="nil"/>
              <w:bottom w:val="nil"/>
              <w:right w:val="nil"/>
            </w:tcBorders>
            <w:shd w:val="clear" w:color="000000" w:fill="FFFFFF"/>
            <w:noWrap/>
            <w:vAlign w:val="bottom"/>
            <w:hideMark/>
          </w:tcPr>
          <w:p w14:paraId="70061AB1"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double" w:sz="6" w:space="0" w:color="auto"/>
              <w:right w:val="single" w:sz="4" w:space="0" w:color="auto"/>
            </w:tcBorders>
            <w:shd w:val="clear" w:color="000000" w:fill="FFFFFF"/>
            <w:vAlign w:val="center"/>
            <w:hideMark/>
          </w:tcPr>
          <w:p w14:paraId="353ADEA7"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49,572 </w:t>
            </w:r>
          </w:p>
        </w:tc>
      </w:tr>
      <w:tr w:rsidR="00F25E68" w:rsidRPr="00F25E68" w14:paraId="75356684" w14:textId="77777777" w:rsidTr="0036077A">
        <w:trPr>
          <w:trHeight w:val="133"/>
          <w:jc w:val="center"/>
        </w:trPr>
        <w:tc>
          <w:tcPr>
            <w:tcW w:w="5738" w:type="dxa"/>
            <w:tcBorders>
              <w:top w:val="nil"/>
              <w:left w:val="single" w:sz="4" w:space="0" w:color="auto"/>
              <w:bottom w:val="nil"/>
              <w:right w:val="nil"/>
            </w:tcBorders>
            <w:shd w:val="clear" w:color="000000" w:fill="FFFFFF"/>
            <w:noWrap/>
            <w:vAlign w:val="center"/>
            <w:hideMark/>
          </w:tcPr>
          <w:p w14:paraId="7AF8F29E"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Individual Transfers</w:t>
            </w:r>
          </w:p>
        </w:tc>
        <w:tc>
          <w:tcPr>
            <w:tcW w:w="1199" w:type="dxa"/>
            <w:tcBorders>
              <w:top w:val="single" w:sz="4" w:space="0" w:color="auto"/>
              <w:left w:val="nil"/>
              <w:bottom w:val="single" w:sz="4" w:space="0" w:color="auto"/>
              <w:right w:val="nil"/>
            </w:tcBorders>
            <w:shd w:val="clear" w:color="000000" w:fill="FFFFFF"/>
            <w:noWrap/>
            <w:vAlign w:val="center"/>
            <w:hideMark/>
          </w:tcPr>
          <w:p w14:paraId="3B809BF2"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3,500 </w:t>
            </w:r>
          </w:p>
        </w:tc>
        <w:tc>
          <w:tcPr>
            <w:tcW w:w="290" w:type="dxa"/>
            <w:tcBorders>
              <w:top w:val="nil"/>
              <w:left w:val="nil"/>
              <w:bottom w:val="nil"/>
              <w:right w:val="nil"/>
            </w:tcBorders>
            <w:shd w:val="clear" w:color="000000" w:fill="FFFFFF"/>
            <w:noWrap/>
            <w:vAlign w:val="bottom"/>
            <w:hideMark/>
          </w:tcPr>
          <w:p w14:paraId="4FEB7931"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single" w:sz="4" w:space="0" w:color="auto"/>
              <w:right w:val="nil"/>
            </w:tcBorders>
            <w:shd w:val="clear" w:color="000000" w:fill="FFFFFF"/>
            <w:noWrap/>
            <w:vAlign w:val="center"/>
            <w:hideMark/>
          </w:tcPr>
          <w:p w14:paraId="17952452"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3,500 </w:t>
            </w:r>
          </w:p>
        </w:tc>
        <w:tc>
          <w:tcPr>
            <w:tcW w:w="303" w:type="dxa"/>
            <w:tcBorders>
              <w:top w:val="nil"/>
              <w:left w:val="nil"/>
              <w:bottom w:val="nil"/>
              <w:right w:val="nil"/>
            </w:tcBorders>
            <w:shd w:val="clear" w:color="000000" w:fill="FFFFFF"/>
            <w:noWrap/>
            <w:vAlign w:val="bottom"/>
            <w:hideMark/>
          </w:tcPr>
          <w:p w14:paraId="4F9F1742"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254C2508"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3,500 </w:t>
            </w:r>
          </w:p>
        </w:tc>
      </w:tr>
      <w:tr w:rsidR="00F25E68" w:rsidRPr="00F25E68" w14:paraId="0AA608FE" w14:textId="77777777" w:rsidTr="0036077A">
        <w:trPr>
          <w:trHeight w:val="140"/>
          <w:jc w:val="center"/>
        </w:trPr>
        <w:tc>
          <w:tcPr>
            <w:tcW w:w="5738" w:type="dxa"/>
            <w:tcBorders>
              <w:top w:val="nil"/>
              <w:left w:val="single" w:sz="4" w:space="0" w:color="auto"/>
              <w:bottom w:val="nil"/>
              <w:right w:val="nil"/>
            </w:tcBorders>
            <w:shd w:val="clear" w:color="000000" w:fill="FFFFFF"/>
            <w:noWrap/>
            <w:vAlign w:val="bottom"/>
            <w:hideMark/>
          </w:tcPr>
          <w:p w14:paraId="1CAAC227"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Total Income Before Investments</w:t>
            </w:r>
          </w:p>
        </w:tc>
        <w:tc>
          <w:tcPr>
            <w:tcW w:w="1199" w:type="dxa"/>
            <w:tcBorders>
              <w:top w:val="single" w:sz="4" w:space="0" w:color="auto"/>
              <w:left w:val="nil"/>
              <w:bottom w:val="double" w:sz="6" w:space="0" w:color="auto"/>
              <w:right w:val="nil"/>
            </w:tcBorders>
            <w:shd w:val="clear" w:color="000000" w:fill="FFFFFF"/>
            <w:noWrap/>
            <w:vAlign w:val="bottom"/>
            <w:hideMark/>
          </w:tcPr>
          <w:p w14:paraId="5DE710BB"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51,949 </w:t>
            </w:r>
          </w:p>
        </w:tc>
        <w:tc>
          <w:tcPr>
            <w:tcW w:w="290" w:type="dxa"/>
            <w:tcBorders>
              <w:top w:val="nil"/>
              <w:left w:val="nil"/>
              <w:bottom w:val="nil"/>
              <w:right w:val="nil"/>
            </w:tcBorders>
            <w:shd w:val="clear" w:color="000000" w:fill="FFFFFF"/>
            <w:noWrap/>
            <w:vAlign w:val="bottom"/>
            <w:hideMark/>
          </w:tcPr>
          <w:p w14:paraId="0479C97A"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double" w:sz="6" w:space="0" w:color="auto"/>
              <w:right w:val="nil"/>
            </w:tcBorders>
            <w:shd w:val="clear" w:color="000000" w:fill="FFFFFF"/>
            <w:noWrap/>
            <w:vAlign w:val="bottom"/>
            <w:hideMark/>
          </w:tcPr>
          <w:p w14:paraId="4F33043E"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52,586 </w:t>
            </w:r>
          </w:p>
        </w:tc>
        <w:tc>
          <w:tcPr>
            <w:tcW w:w="303" w:type="dxa"/>
            <w:tcBorders>
              <w:top w:val="nil"/>
              <w:left w:val="nil"/>
              <w:bottom w:val="nil"/>
              <w:right w:val="nil"/>
            </w:tcBorders>
            <w:shd w:val="clear" w:color="000000" w:fill="FFFFFF"/>
            <w:noWrap/>
            <w:vAlign w:val="bottom"/>
            <w:hideMark/>
          </w:tcPr>
          <w:p w14:paraId="73369DD4"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double" w:sz="6" w:space="0" w:color="auto"/>
              <w:right w:val="single" w:sz="4" w:space="0" w:color="auto"/>
            </w:tcBorders>
            <w:shd w:val="clear" w:color="000000" w:fill="FFFFFF"/>
            <w:noWrap/>
            <w:vAlign w:val="bottom"/>
            <w:hideMark/>
          </w:tcPr>
          <w:p w14:paraId="1151D005"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53,072 </w:t>
            </w:r>
          </w:p>
        </w:tc>
      </w:tr>
      <w:tr w:rsidR="00F25E68" w:rsidRPr="00F25E68" w14:paraId="5400579B" w14:textId="77777777" w:rsidTr="0036077A">
        <w:trPr>
          <w:trHeight w:val="62"/>
          <w:jc w:val="center"/>
        </w:trPr>
        <w:tc>
          <w:tcPr>
            <w:tcW w:w="5738" w:type="dxa"/>
            <w:tcBorders>
              <w:top w:val="nil"/>
              <w:left w:val="single" w:sz="4" w:space="0" w:color="auto"/>
              <w:bottom w:val="nil"/>
              <w:right w:val="nil"/>
            </w:tcBorders>
            <w:shd w:val="clear" w:color="000000" w:fill="FFFFFF"/>
            <w:noWrap/>
            <w:vAlign w:val="bottom"/>
            <w:hideMark/>
          </w:tcPr>
          <w:p w14:paraId="1EB39C17"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199" w:type="dxa"/>
            <w:tcBorders>
              <w:top w:val="nil"/>
              <w:left w:val="nil"/>
              <w:bottom w:val="nil"/>
              <w:right w:val="nil"/>
            </w:tcBorders>
            <w:shd w:val="clear" w:color="000000" w:fill="FFFFFF"/>
            <w:noWrap/>
            <w:vAlign w:val="bottom"/>
            <w:hideMark/>
          </w:tcPr>
          <w:p w14:paraId="6B77F173"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290" w:type="dxa"/>
            <w:tcBorders>
              <w:top w:val="nil"/>
              <w:left w:val="nil"/>
              <w:bottom w:val="nil"/>
              <w:right w:val="nil"/>
            </w:tcBorders>
            <w:shd w:val="clear" w:color="000000" w:fill="FFFFFF"/>
            <w:noWrap/>
            <w:vAlign w:val="bottom"/>
            <w:hideMark/>
          </w:tcPr>
          <w:p w14:paraId="7376B37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2BD01BF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303" w:type="dxa"/>
            <w:tcBorders>
              <w:top w:val="nil"/>
              <w:left w:val="nil"/>
              <w:bottom w:val="nil"/>
              <w:right w:val="nil"/>
            </w:tcBorders>
            <w:shd w:val="clear" w:color="000000" w:fill="FFFFFF"/>
            <w:noWrap/>
            <w:vAlign w:val="bottom"/>
            <w:hideMark/>
          </w:tcPr>
          <w:p w14:paraId="69CDF267"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1CD9362F"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r>
      <w:tr w:rsidR="00F25E68" w:rsidRPr="00F25E68" w14:paraId="62955387" w14:textId="77777777" w:rsidTr="0036077A">
        <w:trPr>
          <w:trHeight w:val="133"/>
          <w:jc w:val="center"/>
        </w:trPr>
        <w:tc>
          <w:tcPr>
            <w:tcW w:w="5738" w:type="dxa"/>
            <w:tcBorders>
              <w:top w:val="nil"/>
              <w:left w:val="single" w:sz="4" w:space="0" w:color="auto"/>
              <w:bottom w:val="nil"/>
              <w:right w:val="nil"/>
            </w:tcBorders>
            <w:shd w:val="clear" w:color="000000" w:fill="FFFFFF"/>
            <w:noWrap/>
            <w:vAlign w:val="bottom"/>
            <w:hideMark/>
          </w:tcPr>
          <w:p w14:paraId="2C2DA76E" w14:textId="77777777" w:rsidR="00F25E68" w:rsidRPr="00F25E68" w:rsidRDefault="00F25E68" w:rsidP="006E1769">
            <w:pPr>
              <w:rPr>
                <w:rFonts w:ascii="Arial" w:hAnsi="Arial" w:cs="Arial"/>
                <w:b/>
                <w:color w:val="FF0000"/>
                <w:sz w:val="22"/>
                <w:szCs w:val="22"/>
              </w:rPr>
            </w:pPr>
            <w:r w:rsidRPr="00F25E68">
              <w:rPr>
                <w:rFonts w:ascii="Arial" w:hAnsi="Arial" w:cs="Arial"/>
                <w:b/>
                <w:color w:val="FF0000"/>
                <w:sz w:val="22"/>
                <w:szCs w:val="22"/>
              </w:rPr>
              <w:t>Expenses</w:t>
            </w:r>
          </w:p>
        </w:tc>
        <w:tc>
          <w:tcPr>
            <w:tcW w:w="1199" w:type="dxa"/>
            <w:tcBorders>
              <w:top w:val="nil"/>
              <w:left w:val="nil"/>
              <w:bottom w:val="nil"/>
              <w:right w:val="nil"/>
            </w:tcBorders>
            <w:shd w:val="clear" w:color="000000" w:fill="FFFFFF"/>
            <w:noWrap/>
            <w:vAlign w:val="bottom"/>
            <w:hideMark/>
          </w:tcPr>
          <w:p w14:paraId="6E7D03CB"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290" w:type="dxa"/>
            <w:tcBorders>
              <w:top w:val="nil"/>
              <w:left w:val="nil"/>
              <w:bottom w:val="nil"/>
              <w:right w:val="nil"/>
            </w:tcBorders>
            <w:shd w:val="clear" w:color="000000" w:fill="FFFFFF"/>
            <w:noWrap/>
            <w:vAlign w:val="bottom"/>
            <w:hideMark/>
          </w:tcPr>
          <w:p w14:paraId="4D0784F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3485129C"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303" w:type="dxa"/>
            <w:tcBorders>
              <w:top w:val="nil"/>
              <w:left w:val="nil"/>
              <w:bottom w:val="nil"/>
              <w:right w:val="nil"/>
            </w:tcBorders>
            <w:shd w:val="clear" w:color="000000" w:fill="FFFFFF"/>
            <w:noWrap/>
            <w:vAlign w:val="bottom"/>
            <w:hideMark/>
          </w:tcPr>
          <w:p w14:paraId="7027AF74"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3D82EB9A"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r>
      <w:tr w:rsidR="00F25E68" w:rsidRPr="00F25E68" w14:paraId="027CEC75" w14:textId="77777777" w:rsidTr="0036077A">
        <w:trPr>
          <w:trHeight w:val="133"/>
          <w:jc w:val="center"/>
        </w:trPr>
        <w:tc>
          <w:tcPr>
            <w:tcW w:w="5738" w:type="dxa"/>
            <w:tcBorders>
              <w:top w:val="nil"/>
              <w:left w:val="single" w:sz="4" w:space="0" w:color="auto"/>
              <w:bottom w:val="nil"/>
              <w:right w:val="nil"/>
            </w:tcBorders>
            <w:shd w:val="clear" w:color="000000" w:fill="FFFFFF"/>
            <w:noWrap/>
            <w:vAlign w:val="center"/>
            <w:hideMark/>
          </w:tcPr>
          <w:p w14:paraId="15B2410E"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Pensions</w:t>
            </w:r>
          </w:p>
        </w:tc>
        <w:tc>
          <w:tcPr>
            <w:tcW w:w="1199" w:type="dxa"/>
            <w:tcBorders>
              <w:top w:val="nil"/>
              <w:left w:val="nil"/>
              <w:bottom w:val="nil"/>
              <w:right w:val="nil"/>
            </w:tcBorders>
            <w:shd w:val="clear" w:color="000000" w:fill="FFFFFF"/>
            <w:noWrap/>
            <w:vAlign w:val="bottom"/>
            <w:hideMark/>
          </w:tcPr>
          <w:p w14:paraId="727675D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290" w:type="dxa"/>
            <w:tcBorders>
              <w:top w:val="nil"/>
              <w:left w:val="nil"/>
              <w:bottom w:val="nil"/>
              <w:right w:val="nil"/>
            </w:tcBorders>
            <w:shd w:val="clear" w:color="000000" w:fill="FFFFFF"/>
            <w:noWrap/>
            <w:vAlign w:val="bottom"/>
            <w:hideMark/>
          </w:tcPr>
          <w:p w14:paraId="4593F5C6"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58489527"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303" w:type="dxa"/>
            <w:tcBorders>
              <w:top w:val="nil"/>
              <w:left w:val="nil"/>
              <w:bottom w:val="nil"/>
              <w:right w:val="nil"/>
            </w:tcBorders>
            <w:shd w:val="clear" w:color="000000" w:fill="FFFFFF"/>
            <w:noWrap/>
            <w:vAlign w:val="bottom"/>
            <w:hideMark/>
          </w:tcPr>
          <w:p w14:paraId="738EEC68"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4D10398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r>
      <w:tr w:rsidR="00F25E68" w:rsidRPr="00F25E68" w14:paraId="66BC4505" w14:textId="77777777" w:rsidTr="0036077A">
        <w:trPr>
          <w:trHeight w:val="129"/>
          <w:jc w:val="center"/>
        </w:trPr>
        <w:tc>
          <w:tcPr>
            <w:tcW w:w="5738" w:type="dxa"/>
            <w:tcBorders>
              <w:top w:val="nil"/>
              <w:left w:val="single" w:sz="4" w:space="0" w:color="auto"/>
              <w:bottom w:val="nil"/>
              <w:right w:val="nil"/>
            </w:tcBorders>
            <w:shd w:val="clear" w:color="000000" w:fill="FFFFFF"/>
            <w:vAlign w:val="center"/>
            <w:hideMark/>
          </w:tcPr>
          <w:p w14:paraId="0D87FF40"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Council</w:t>
            </w:r>
          </w:p>
        </w:tc>
        <w:tc>
          <w:tcPr>
            <w:tcW w:w="1199" w:type="dxa"/>
            <w:tcBorders>
              <w:top w:val="nil"/>
              <w:left w:val="nil"/>
              <w:bottom w:val="nil"/>
              <w:right w:val="nil"/>
            </w:tcBorders>
            <w:shd w:val="clear" w:color="000000" w:fill="FFFFFF"/>
            <w:noWrap/>
            <w:vAlign w:val="center"/>
            <w:hideMark/>
          </w:tcPr>
          <w:p w14:paraId="3557FD50"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30,891 </w:t>
            </w:r>
          </w:p>
        </w:tc>
        <w:tc>
          <w:tcPr>
            <w:tcW w:w="290" w:type="dxa"/>
            <w:tcBorders>
              <w:top w:val="nil"/>
              <w:left w:val="nil"/>
              <w:bottom w:val="nil"/>
              <w:right w:val="nil"/>
            </w:tcBorders>
            <w:shd w:val="clear" w:color="000000" w:fill="FFFFFF"/>
            <w:noWrap/>
            <w:vAlign w:val="bottom"/>
            <w:hideMark/>
          </w:tcPr>
          <w:p w14:paraId="0B9DC65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center"/>
            <w:hideMark/>
          </w:tcPr>
          <w:p w14:paraId="3ECF0778"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-34,999 </w:t>
            </w:r>
          </w:p>
        </w:tc>
        <w:tc>
          <w:tcPr>
            <w:tcW w:w="303" w:type="dxa"/>
            <w:tcBorders>
              <w:top w:val="nil"/>
              <w:left w:val="nil"/>
              <w:bottom w:val="nil"/>
              <w:right w:val="nil"/>
            </w:tcBorders>
            <w:shd w:val="clear" w:color="000000" w:fill="FFFFFF"/>
            <w:noWrap/>
            <w:vAlign w:val="bottom"/>
            <w:hideMark/>
          </w:tcPr>
          <w:p w14:paraId="275E56D8"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center"/>
            <w:hideMark/>
          </w:tcPr>
          <w:p w14:paraId="6936648C"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- 36,049 </w:t>
            </w:r>
          </w:p>
        </w:tc>
      </w:tr>
      <w:tr w:rsidR="00F25E68" w:rsidRPr="00F25E68" w14:paraId="31941606" w14:textId="77777777" w:rsidTr="0036077A">
        <w:trPr>
          <w:trHeight w:val="129"/>
          <w:jc w:val="center"/>
        </w:trPr>
        <w:tc>
          <w:tcPr>
            <w:tcW w:w="5738" w:type="dxa"/>
            <w:tcBorders>
              <w:top w:val="nil"/>
              <w:left w:val="single" w:sz="4" w:space="0" w:color="auto"/>
              <w:bottom w:val="nil"/>
              <w:right w:val="nil"/>
            </w:tcBorders>
            <w:shd w:val="clear" w:color="000000" w:fill="FFFFFF"/>
            <w:vAlign w:val="center"/>
            <w:hideMark/>
          </w:tcPr>
          <w:p w14:paraId="5FB0BBD0"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Admitted Bodies</w:t>
            </w:r>
          </w:p>
        </w:tc>
        <w:tc>
          <w:tcPr>
            <w:tcW w:w="1199" w:type="dxa"/>
            <w:tcBorders>
              <w:top w:val="nil"/>
              <w:left w:val="nil"/>
              <w:bottom w:val="nil"/>
              <w:right w:val="nil"/>
            </w:tcBorders>
            <w:shd w:val="clear" w:color="000000" w:fill="FFFFFF"/>
            <w:noWrap/>
            <w:vAlign w:val="center"/>
            <w:hideMark/>
          </w:tcPr>
          <w:p w14:paraId="1A220317"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394 </w:t>
            </w:r>
          </w:p>
        </w:tc>
        <w:tc>
          <w:tcPr>
            <w:tcW w:w="290" w:type="dxa"/>
            <w:tcBorders>
              <w:top w:val="nil"/>
              <w:left w:val="nil"/>
              <w:bottom w:val="nil"/>
              <w:right w:val="nil"/>
            </w:tcBorders>
            <w:shd w:val="clear" w:color="000000" w:fill="FFFFFF"/>
            <w:noWrap/>
            <w:vAlign w:val="bottom"/>
            <w:hideMark/>
          </w:tcPr>
          <w:p w14:paraId="25DD4BB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center"/>
            <w:hideMark/>
          </w:tcPr>
          <w:p w14:paraId="35AF8F51"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447 </w:t>
            </w:r>
          </w:p>
        </w:tc>
        <w:tc>
          <w:tcPr>
            <w:tcW w:w="303" w:type="dxa"/>
            <w:tcBorders>
              <w:top w:val="nil"/>
              <w:left w:val="nil"/>
              <w:bottom w:val="nil"/>
              <w:right w:val="nil"/>
            </w:tcBorders>
            <w:shd w:val="clear" w:color="000000" w:fill="FFFFFF"/>
            <w:noWrap/>
            <w:vAlign w:val="bottom"/>
            <w:hideMark/>
          </w:tcPr>
          <w:p w14:paraId="2B19E15B"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center"/>
            <w:hideMark/>
          </w:tcPr>
          <w:p w14:paraId="1AE72C1D"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460 </w:t>
            </w:r>
          </w:p>
        </w:tc>
      </w:tr>
      <w:tr w:rsidR="00F25E68" w:rsidRPr="00F25E68" w14:paraId="6A811345" w14:textId="77777777" w:rsidTr="0036077A">
        <w:trPr>
          <w:trHeight w:val="129"/>
          <w:jc w:val="center"/>
        </w:trPr>
        <w:tc>
          <w:tcPr>
            <w:tcW w:w="5738" w:type="dxa"/>
            <w:tcBorders>
              <w:top w:val="nil"/>
              <w:left w:val="single" w:sz="4" w:space="0" w:color="auto"/>
              <w:bottom w:val="nil"/>
              <w:right w:val="nil"/>
            </w:tcBorders>
            <w:shd w:val="clear" w:color="000000" w:fill="FFFFFF"/>
            <w:vAlign w:val="center"/>
            <w:hideMark/>
          </w:tcPr>
          <w:p w14:paraId="191DB495"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Scheduled Bodies</w:t>
            </w:r>
          </w:p>
        </w:tc>
        <w:tc>
          <w:tcPr>
            <w:tcW w:w="1199" w:type="dxa"/>
            <w:tcBorders>
              <w:top w:val="nil"/>
              <w:left w:val="nil"/>
              <w:bottom w:val="nil"/>
              <w:right w:val="nil"/>
            </w:tcBorders>
            <w:shd w:val="clear" w:color="000000" w:fill="FFFFFF"/>
            <w:noWrap/>
            <w:vAlign w:val="center"/>
            <w:hideMark/>
          </w:tcPr>
          <w:p w14:paraId="23A567C9"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6,610 </w:t>
            </w:r>
          </w:p>
        </w:tc>
        <w:tc>
          <w:tcPr>
            <w:tcW w:w="290" w:type="dxa"/>
            <w:tcBorders>
              <w:top w:val="nil"/>
              <w:left w:val="nil"/>
              <w:bottom w:val="nil"/>
              <w:right w:val="nil"/>
            </w:tcBorders>
            <w:shd w:val="clear" w:color="000000" w:fill="FFFFFF"/>
            <w:noWrap/>
            <w:vAlign w:val="bottom"/>
            <w:hideMark/>
          </w:tcPr>
          <w:p w14:paraId="1B8B5194"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center"/>
            <w:hideMark/>
          </w:tcPr>
          <w:p w14:paraId="4AC56026"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7,490 </w:t>
            </w:r>
          </w:p>
        </w:tc>
        <w:tc>
          <w:tcPr>
            <w:tcW w:w="303" w:type="dxa"/>
            <w:tcBorders>
              <w:top w:val="nil"/>
              <w:left w:val="nil"/>
              <w:bottom w:val="nil"/>
              <w:right w:val="nil"/>
            </w:tcBorders>
            <w:shd w:val="clear" w:color="000000" w:fill="FFFFFF"/>
            <w:noWrap/>
            <w:vAlign w:val="bottom"/>
            <w:hideMark/>
          </w:tcPr>
          <w:p w14:paraId="1106734A"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center"/>
            <w:hideMark/>
          </w:tcPr>
          <w:p w14:paraId="3F819D6C"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7,714 </w:t>
            </w:r>
          </w:p>
        </w:tc>
      </w:tr>
      <w:tr w:rsidR="00F25E68" w:rsidRPr="00F25E68" w14:paraId="3A827C4E" w14:textId="77777777" w:rsidTr="0036077A">
        <w:trPr>
          <w:trHeight w:val="133"/>
          <w:jc w:val="center"/>
        </w:trPr>
        <w:tc>
          <w:tcPr>
            <w:tcW w:w="5738" w:type="dxa"/>
            <w:tcBorders>
              <w:top w:val="nil"/>
              <w:left w:val="single" w:sz="4" w:space="0" w:color="auto"/>
              <w:bottom w:val="nil"/>
              <w:right w:val="nil"/>
            </w:tcBorders>
            <w:shd w:val="clear" w:color="000000" w:fill="FFFFFF"/>
            <w:noWrap/>
            <w:vAlign w:val="center"/>
            <w:hideMark/>
          </w:tcPr>
          <w:p w14:paraId="74CD3281"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Total</w:t>
            </w:r>
          </w:p>
        </w:tc>
        <w:tc>
          <w:tcPr>
            <w:tcW w:w="1199" w:type="dxa"/>
            <w:tcBorders>
              <w:top w:val="single" w:sz="4" w:space="0" w:color="auto"/>
              <w:left w:val="nil"/>
              <w:bottom w:val="single" w:sz="4" w:space="0" w:color="auto"/>
              <w:right w:val="nil"/>
            </w:tcBorders>
            <w:shd w:val="clear" w:color="000000" w:fill="FFFFFF"/>
            <w:noWrap/>
            <w:vAlign w:val="center"/>
            <w:hideMark/>
          </w:tcPr>
          <w:p w14:paraId="7F17630A"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-37,895 </w:t>
            </w:r>
          </w:p>
        </w:tc>
        <w:tc>
          <w:tcPr>
            <w:tcW w:w="290" w:type="dxa"/>
            <w:tcBorders>
              <w:top w:val="nil"/>
              <w:left w:val="nil"/>
              <w:bottom w:val="nil"/>
              <w:right w:val="nil"/>
            </w:tcBorders>
            <w:shd w:val="clear" w:color="000000" w:fill="FFFFFF"/>
            <w:noWrap/>
            <w:vAlign w:val="bottom"/>
            <w:hideMark/>
          </w:tcPr>
          <w:p w14:paraId="3F3F714A"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single" w:sz="4" w:space="0" w:color="auto"/>
              <w:right w:val="nil"/>
            </w:tcBorders>
            <w:shd w:val="clear" w:color="000000" w:fill="FFFFFF"/>
            <w:noWrap/>
            <w:vAlign w:val="center"/>
            <w:hideMark/>
          </w:tcPr>
          <w:p w14:paraId="7FEA0B0E"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-42,935 </w:t>
            </w:r>
          </w:p>
        </w:tc>
        <w:tc>
          <w:tcPr>
            <w:tcW w:w="303" w:type="dxa"/>
            <w:tcBorders>
              <w:top w:val="nil"/>
              <w:left w:val="nil"/>
              <w:bottom w:val="nil"/>
              <w:right w:val="nil"/>
            </w:tcBorders>
            <w:shd w:val="clear" w:color="000000" w:fill="FFFFFF"/>
            <w:noWrap/>
            <w:vAlign w:val="bottom"/>
            <w:hideMark/>
          </w:tcPr>
          <w:p w14:paraId="50B71CDC"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1BDAF8AB"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- 44,223 </w:t>
            </w:r>
          </w:p>
        </w:tc>
      </w:tr>
      <w:tr w:rsidR="00F25E68" w:rsidRPr="00F25E68" w14:paraId="15FED9D0" w14:textId="77777777" w:rsidTr="0036077A">
        <w:trPr>
          <w:trHeight w:val="129"/>
          <w:jc w:val="center"/>
        </w:trPr>
        <w:tc>
          <w:tcPr>
            <w:tcW w:w="5738" w:type="dxa"/>
            <w:tcBorders>
              <w:top w:val="nil"/>
              <w:left w:val="single" w:sz="4" w:space="0" w:color="auto"/>
              <w:bottom w:val="nil"/>
              <w:right w:val="nil"/>
            </w:tcBorders>
            <w:shd w:val="clear" w:color="000000" w:fill="FFFFFF"/>
            <w:noWrap/>
            <w:vAlign w:val="bottom"/>
            <w:hideMark/>
          </w:tcPr>
          <w:p w14:paraId="3AE7A16A"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199" w:type="dxa"/>
            <w:tcBorders>
              <w:top w:val="nil"/>
              <w:left w:val="nil"/>
              <w:bottom w:val="nil"/>
              <w:right w:val="nil"/>
            </w:tcBorders>
            <w:shd w:val="clear" w:color="000000" w:fill="FFFFFF"/>
            <w:noWrap/>
            <w:vAlign w:val="bottom"/>
            <w:hideMark/>
          </w:tcPr>
          <w:p w14:paraId="63283A9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290" w:type="dxa"/>
            <w:tcBorders>
              <w:top w:val="nil"/>
              <w:left w:val="nil"/>
              <w:bottom w:val="nil"/>
              <w:right w:val="nil"/>
            </w:tcBorders>
            <w:shd w:val="clear" w:color="000000" w:fill="FFFFFF"/>
            <w:noWrap/>
            <w:vAlign w:val="bottom"/>
            <w:hideMark/>
          </w:tcPr>
          <w:p w14:paraId="195DBACF"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3BD450E5"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303" w:type="dxa"/>
            <w:tcBorders>
              <w:top w:val="nil"/>
              <w:left w:val="nil"/>
              <w:bottom w:val="nil"/>
              <w:right w:val="nil"/>
            </w:tcBorders>
            <w:shd w:val="clear" w:color="000000" w:fill="FFFFFF"/>
            <w:noWrap/>
            <w:vAlign w:val="bottom"/>
            <w:hideMark/>
          </w:tcPr>
          <w:p w14:paraId="5B3035C9"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638C3CA1"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r>
      <w:tr w:rsidR="00F25E68" w:rsidRPr="00F25E68" w14:paraId="6CD97BBD" w14:textId="77777777" w:rsidTr="0036077A">
        <w:trPr>
          <w:trHeight w:val="129"/>
          <w:jc w:val="center"/>
        </w:trPr>
        <w:tc>
          <w:tcPr>
            <w:tcW w:w="5738" w:type="dxa"/>
            <w:tcBorders>
              <w:top w:val="nil"/>
              <w:left w:val="single" w:sz="4" w:space="0" w:color="auto"/>
              <w:bottom w:val="nil"/>
              <w:right w:val="nil"/>
            </w:tcBorders>
            <w:shd w:val="clear" w:color="000000" w:fill="FFFFFF"/>
            <w:vAlign w:val="center"/>
            <w:hideMark/>
          </w:tcPr>
          <w:p w14:paraId="6095C556" w14:textId="1BB21609" w:rsidR="00F25E68" w:rsidRPr="00FD783B" w:rsidRDefault="00FD783B" w:rsidP="006E1769">
            <w:pPr>
              <w:rPr>
                <w:rFonts w:ascii="Arial" w:hAnsi="Arial" w:cs="Arial"/>
                <w:b/>
                <w:bCs/>
                <w:color w:val="000000"/>
                <w:sz w:val="22"/>
                <w:szCs w:val="22"/>
              </w:rPr>
            </w:pPr>
            <w:r w:rsidRPr="00FD783B">
              <w:rPr>
                <w:rFonts w:ascii="Arial" w:hAnsi="Arial" w:cs="Arial"/>
                <w:b/>
                <w:bCs/>
                <w:color w:val="000000"/>
                <w:sz w:val="22"/>
                <w:szCs w:val="22"/>
              </w:rPr>
              <w:t>Lump Sums</w:t>
            </w:r>
          </w:p>
        </w:tc>
        <w:tc>
          <w:tcPr>
            <w:tcW w:w="1199" w:type="dxa"/>
            <w:tcBorders>
              <w:top w:val="nil"/>
              <w:left w:val="nil"/>
              <w:bottom w:val="nil"/>
              <w:right w:val="nil"/>
            </w:tcBorders>
            <w:shd w:val="clear" w:color="000000" w:fill="FFFFFF"/>
            <w:noWrap/>
            <w:vAlign w:val="center"/>
            <w:hideMark/>
          </w:tcPr>
          <w:p w14:paraId="6CC04B3B" w14:textId="06DCE142"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w:t>
            </w:r>
            <w:r w:rsidR="00132BF4" w:rsidRPr="00132BF4">
              <w:rPr>
                <w:rFonts w:ascii="Arial" w:hAnsi="Arial" w:cs="Arial"/>
                <w:color w:val="000000"/>
                <w:sz w:val="22"/>
                <w:szCs w:val="22"/>
              </w:rPr>
              <w:t>5,093</w:t>
            </w:r>
          </w:p>
        </w:tc>
        <w:tc>
          <w:tcPr>
            <w:tcW w:w="290" w:type="dxa"/>
            <w:tcBorders>
              <w:top w:val="nil"/>
              <w:left w:val="nil"/>
              <w:bottom w:val="nil"/>
              <w:right w:val="nil"/>
            </w:tcBorders>
            <w:shd w:val="clear" w:color="000000" w:fill="FFFFFF"/>
            <w:noWrap/>
            <w:vAlign w:val="bottom"/>
            <w:hideMark/>
          </w:tcPr>
          <w:p w14:paraId="28131238"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center"/>
            <w:hideMark/>
          </w:tcPr>
          <w:p w14:paraId="7EAEA483" w14:textId="490165E8"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w:t>
            </w:r>
            <w:r w:rsidR="00667CE5">
              <w:rPr>
                <w:rFonts w:ascii="Arial" w:hAnsi="Arial" w:cs="Arial"/>
                <w:color w:val="000000"/>
                <w:sz w:val="22"/>
                <w:szCs w:val="22"/>
              </w:rPr>
              <w:t>5,093</w:t>
            </w:r>
            <w:r w:rsidRPr="00F25E68">
              <w:rPr>
                <w:rFonts w:ascii="Arial" w:hAnsi="Arial" w:cs="Arial"/>
                <w:color w:val="000000"/>
                <w:sz w:val="22"/>
                <w:szCs w:val="22"/>
              </w:rPr>
              <w:t xml:space="preserve"> </w:t>
            </w:r>
          </w:p>
        </w:tc>
        <w:tc>
          <w:tcPr>
            <w:tcW w:w="303" w:type="dxa"/>
            <w:tcBorders>
              <w:top w:val="nil"/>
              <w:left w:val="nil"/>
              <w:bottom w:val="nil"/>
              <w:right w:val="nil"/>
            </w:tcBorders>
            <w:shd w:val="clear" w:color="000000" w:fill="FFFFFF"/>
            <w:noWrap/>
            <w:vAlign w:val="bottom"/>
            <w:hideMark/>
          </w:tcPr>
          <w:p w14:paraId="0CEA424F"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center"/>
            <w:hideMark/>
          </w:tcPr>
          <w:p w14:paraId="11FE88F9" w14:textId="43FF1DE5"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w:t>
            </w:r>
            <w:r w:rsidR="00667CE5">
              <w:rPr>
                <w:rFonts w:ascii="Arial" w:hAnsi="Arial" w:cs="Arial"/>
                <w:color w:val="000000"/>
                <w:sz w:val="22"/>
                <w:szCs w:val="22"/>
              </w:rPr>
              <w:t>5,093</w:t>
            </w:r>
            <w:r w:rsidRPr="00F25E68">
              <w:rPr>
                <w:rFonts w:ascii="Arial" w:hAnsi="Arial" w:cs="Arial"/>
                <w:color w:val="000000"/>
                <w:sz w:val="22"/>
                <w:szCs w:val="22"/>
              </w:rPr>
              <w:t xml:space="preserve"> </w:t>
            </w:r>
          </w:p>
        </w:tc>
      </w:tr>
      <w:tr w:rsidR="00F25E68" w:rsidRPr="00F25E68" w14:paraId="10D1BF4C" w14:textId="77777777" w:rsidTr="0036077A">
        <w:trPr>
          <w:trHeight w:val="133"/>
          <w:jc w:val="center"/>
        </w:trPr>
        <w:tc>
          <w:tcPr>
            <w:tcW w:w="5738" w:type="dxa"/>
            <w:tcBorders>
              <w:top w:val="nil"/>
              <w:left w:val="single" w:sz="4" w:space="0" w:color="auto"/>
              <w:bottom w:val="nil"/>
              <w:right w:val="nil"/>
            </w:tcBorders>
            <w:shd w:val="clear" w:color="000000" w:fill="FFFFFF"/>
            <w:noWrap/>
            <w:vAlign w:val="center"/>
            <w:hideMark/>
          </w:tcPr>
          <w:p w14:paraId="0AD6405E"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Death grants</w:t>
            </w:r>
          </w:p>
        </w:tc>
        <w:tc>
          <w:tcPr>
            <w:tcW w:w="1199" w:type="dxa"/>
            <w:tcBorders>
              <w:top w:val="nil"/>
              <w:left w:val="nil"/>
              <w:bottom w:val="nil"/>
              <w:right w:val="nil"/>
            </w:tcBorders>
            <w:shd w:val="clear" w:color="000000" w:fill="FFFFFF"/>
            <w:noWrap/>
            <w:vAlign w:val="center"/>
            <w:hideMark/>
          </w:tcPr>
          <w:p w14:paraId="58701756"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1,400 </w:t>
            </w:r>
          </w:p>
        </w:tc>
        <w:tc>
          <w:tcPr>
            <w:tcW w:w="290" w:type="dxa"/>
            <w:tcBorders>
              <w:top w:val="nil"/>
              <w:left w:val="nil"/>
              <w:bottom w:val="nil"/>
              <w:right w:val="nil"/>
            </w:tcBorders>
            <w:shd w:val="clear" w:color="000000" w:fill="FFFFFF"/>
            <w:noWrap/>
            <w:vAlign w:val="bottom"/>
            <w:hideMark/>
          </w:tcPr>
          <w:p w14:paraId="5F3C301F"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center"/>
            <w:hideMark/>
          </w:tcPr>
          <w:p w14:paraId="230F09C7"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1,500 </w:t>
            </w:r>
          </w:p>
        </w:tc>
        <w:tc>
          <w:tcPr>
            <w:tcW w:w="303" w:type="dxa"/>
            <w:tcBorders>
              <w:top w:val="nil"/>
              <w:left w:val="nil"/>
              <w:bottom w:val="nil"/>
              <w:right w:val="nil"/>
            </w:tcBorders>
            <w:shd w:val="clear" w:color="000000" w:fill="FFFFFF"/>
            <w:noWrap/>
            <w:vAlign w:val="bottom"/>
            <w:hideMark/>
          </w:tcPr>
          <w:p w14:paraId="12F6DC15"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center"/>
            <w:hideMark/>
          </w:tcPr>
          <w:p w14:paraId="2365BB5E"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1,600 </w:t>
            </w:r>
          </w:p>
        </w:tc>
      </w:tr>
      <w:tr w:rsidR="00F25E68" w:rsidRPr="00F25E68" w14:paraId="7B93B08E" w14:textId="77777777" w:rsidTr="0036077A">
        <w:trPr>
          <w:trHeight w:val="133"/>
          <w:jc w:val="center"/>
        </w:trPr>
        <w:tc>
          <w:tcPr>
            <w:tcW w:w="5738" w:type="dxa"/>
            <w:tcBorders>
              <w:top w:val="nil"/>
              <w:left w:val="single" w:sz="4" w:space="0" w:color="auto"/>
              <w:bottom w:val="nil"/>
              <w:right w:val="nil"/>
            </w:tcBorders>
            <w:shd w:val="clear" w:color="000000" w:fill="FFFFFF"/>
            <w:vAlign w:val="bottom"/>
            <w:hideMark/>
          </w:tcPr>
          <w:p w14:paraId="59A47849"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Payments to and on account of leavers</w:t>
            </w:r>
          </w:p>
        </w:tc>
        <w:tc>
          <w:tcPr>
            <w:tcW w:w="1199" w:type="dxa"/>
            <w:tcBorders>
              <w:top w:val="nil"/>
              <w:left w:val="nil"/>
              <w:bottom w:val="nil"/>
              <w:right w:val="nil"/>
            </w:tcBorders>
            <w:shd w:val="clear" w:color="000000" w:fill="FFFFFF"/>
            <w:noWrap/>
            <w:vAlign w:val="bottom"/>
            <w:hideMark/>
          </w:tcPr>
          <w:p w14:paraId="15A772C5"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4,500 </w:t>
            </w:r>
          </w:p>
        </w:tc>
        <w:tc>
          <w:tcPr>
            <w:tcW w:w="290" w:type="dxa"/>
            <w:tcBorders>
              <w:top w:val="nil"/>
              <w:left w:val="nil"/>
              <w:bottom w:val="nil"/>
              <w:right w:val="nil"/>
            </w:tcBorders>
            <w:shd w:val="clear" w:color="000000" w:fill="FFFFFF"/>
            <w:noWrap/>
            <w:vAlign w:val="bottom"/>
            <w:hideMark/>
          </w:tcPr>
          <w:p w14:paraId="53EAB8C5"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6EBF4929"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4,500 </w:t>
            </w:r>
          </w:p>
        </w:tc>
        <w:tc>
          <w:tcPr>
            <w:tcW w:w="303" w:type="dxa"/>
            <w:tcBorders>
              <w:top w:val="nil"/>
              <w:left w:val="nil"/>
              <w:bottom w:val="nil"/>
              <w:right w:val="nil"/>
            </w:tcBorders>
            <w:shd w:val="clear" w:color="000000" w:fill="FFFFFF"/>
            <w:noWrap/>
            <w:vAlign w:val="bottom"/>
            <w:hideMark/>
          </w:tcPr>
          <w:p w14:paraId="3B66A3CE"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6BA6DDB1"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4,500 </w:t>
            </w:r>
          </w:p>
        </w:tc>
      </w:tr>
      <w:tr w:rsidR="00F25E68" w:rsidRPr="00F25E68" w14:paraId="33CBF389" w14:textId="77777777" w:rsidTr="0036077A">
        <w:trPr>
          <w:trHeight w:val="129"/>
          <w:jc w:val="center"/>
        </w:trPr>
        <w:tc>
          <w:tcPr>
            <w:tcW w:w="5738" w:type="dxa"/>
            <w:tcBorders>
              <w:top w:val="nil"/>
              <w:left w:val="single" w:sz="4" w:space="0" w:color="auto"/>
              <w:bottom w:val="nil"/>
              <w:right w:val="nil"/>
            </w:tcBorders>
            <w:shd w:val="clear" w:color="000000" w:fill="FFFFFF"/>
            <w:noWrap/>
            <w:vAlign w:val="bottom"/>
            <w:hideMark/>
          </w:tcPr>
          <w:p w14:paraId="6BE92F18"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199" w:type="dxa"/>
            <w:tcBorders>
              <w:top w:val="nil"/>
              <w:left w:val="nil"/>
              <w:bottom w:val="nil"/>
              <w:right w:val="nil"/>
            </w:tcBorders>
            <w:shd w:val="clear" w:color="000000" w:fill="FFFFFF"/>
            <w:noWrap/>
            <w:vAlign w:val="bottom"/>
            <w:hideMark/>
          </w:tcPr>
          <w:p w14:paraId="6BC0A121"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290" w:type="dxa"/>
            <w:tcBorders>
              <w:top w:val="nil"/>
              <w:left w:val="nil"/>
              <w:bottom w:val="nil"/>
              <w:right w:val="nil"/>
            </w:tcBorders>
            <w:shd w:val="clear" w:color="000000" w:fill="FFFFFF"/>
            <w:noWrap/>
            <w:vAlign w:val="bottom"/>
            <w:hideMark/>
          </w:tcPr>
          <w:p w14:paraId="57F2611A"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088414DD"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303" w:type="dxa"/>
            <w:tcBorders>
              <w:top w:val="nil"/>
              <w:left w:val="nil"/>
              <w:bottom w:val="nil"/>
              <w:right w:val="nil"/>
            </w:tcBorders>
            <w:shd w:val="clear" w:color="000000" w:fill="FFFFFF"/>
            <w:noWrap/>
            <w:vAlign w:val="bottom"/>
            <w:hideMark/>
          </w:tcPr>
          <w:p w14:paraId="4E2123C6"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68663353"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r>
      <w:tr w:rsidR="00F25E68" w:rsidRPr="00F25E68" w14:paraId="5AAD69FE" w14:textId="77777777" w:rsidTr="0036077A">
        <w:trPr>
          <w:trHeight w:val="140"/>
          <w:jc w:val="center"/>
        </w:trPr>
        <w:tc>
          <w:tcPr>
            <w:tcW w:w="5738" w:type="dxa"/>
            <w:tcBorders>
              <w:top w:val="nil"/>
              <w:left w:val="single" w:sz="4" w:space="0" w:color="auto"/>
              <w:bottom w:val="nil"/>
              <w:right w:val="nil"/>
            </w:tcBorders>
            <w:shd w:val="clear" w:color="000000" w:fill="FFFFFF"/>
            <w:noWrap/>
            <w:vAlign w:val="bottom"/>
            <w:hideMark/>
          </w:tcPr>
          <w:p w14:paraId="324A9654"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Total Expense</w:t>
            </w:r>
          </w:p>
        </w:tc>
        <w:tc>
          <w:tcPr>
            <w:tcW w:w="1199" w:type="dxa"/>
            <w:tcBorders>
              <w:top w:val="single" w:sz="4" w:space="0" w:color="auto"/>
              <w:left w:val="nil"/>
              <w:bottom w:val="double" w:sz="6" w:space="0" w:color="auto"/>
              <w:right w:val="nil"/>
            </w:tcBorders>
            <w:shd w:val="clear" w:color="000000" w:fill="FFFFFF"/>
            <w:noWrap/>
            <w:vAlign w:val="bottom"/>
            <w:hideMark/>
          </w:tcPr>
          <w:p w14:paraId="7275D9E5"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48,888 </w:t>
            </w:r>
          </w:p>
        </w:tc>
        <w:tc>
          <w:tcPr>
            <w:tcW w:w="290" w:type="dxa"/>
            <w:tcBorders>
              <w:top w:val="nil"/>
              <w:left w:val="nil"/>
              <w:bottom w:val="nil"/>
              <w:right w:val="nil"/>
            </w:tcBorders>
            <w:shd w:val="clear" w:color="000000" w:fill="FFFFFF"/>
            <w:noWrap/>
            <w:vAlign w:val="bottom"/>
            <w:hideMark/>
          </w:tcPr>
          <w:p w14:paraId="2E352E0A"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double" w:sz="6" w:space="0" w:color="auto"/>
              <w:right w:val="nil"/>
            </w:tcBorders>
            <w:shd w:val="clear" w:color="000000" w:fill="FFFFFF"/>
            <w:noWrap/>
            <w:vAlign w:val="bottom"/>
            <w:hideMark/>
          </w:tcPr>
          <w:p w14:paraId="4933F53F" w14:textId="77777777" w:rsidR="00F25E68" w:rsidRPr="00F25E68" w:rsidRDefault="00F25E68" w:rsidP="007337FE">
            <w:pPr>
              <w:pStyle w:val="ListParagraph"/>
              <w:numPr>
                <w:ilvl w:val="0"/>
                <w:numId w:val="103"/>
              </w:numPr>
              <w:spacing w:after="0" w:line="240" w:lineRule="auto"/>
              <w:jc w:val="right"/>
              <w:rPr>
                <w:rFonts w:ascii="Arial" w:hAnsi="Arial" w:cs="Arial"/>
                <w:b/>
                <w:color w:val="000000"/>
              </w:rPr>
            </w:pPr>
            <w:r w:rsidRPr="00F25E68">
              <w:rPr>
                <w:rFonts w:ascii="Arial" w:hAnsi="Arial" w:cs="Arial"/>
                <w:b/>
                <w:color w:val="000000"/>
              </w:rPr>
              <w:t xml:space="preserve">54,028 </w:t>
            </w:r>
          </w:p>
        </w:tc>
        <w:tc>
          <w:tcPr>
            <w:tcW w:w="303" w:type="dxa"/>
            <w:tcBorders>
              <w:top w:val="nil"/>
              <w:left w:val="nil"/>
              <w:bottom w:val="nil"/>
              <w:right w:val="nil"/>
            </w:tcBorders>
            <w:shd w:val="clear" w:color="000000" w:fill="FFFFFF"/>
            <w:noWrap/>
            <w:vAlign w:val="bottom"/>
            <w:hideMark/>
          </w:tcPr>
          <w:p w14:paraId="695453E4"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double" w:sz="6" w:space="0" w:color="auto"/>
              <w:right w:val="single" w:sz="4" w:space="0" w:color="auto"/>
            </w:tcBorders>
            <w:shd w:val="clear" w:color="000000" w:fill="FFFFFF"/>
            <w:noWrap/>
            <w:vAlign w:val="bottom"/>
            <w:hideMark/>
          </w:tcPr>
          <w:p w14:paraId="63234225"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- 55,416 </w:t>
            </w:r>
          </w:p>
        </w:tc>
      </w:tr>
      <w:tr w:rsidR="00F25E68" w:rsidRPr="00F25E68" w14:paraId="022FFAEB" w14:textId="77777777" w:rsidTr="0036077A">
        <w:trPr>
          <w:trHeight w:val="140"/>
          <w:jc w:val="center"/>
        </w:trPr>
        <w:tc>
          <w:tcPr>
            <w:tcW w:w="5738" w:type="dxa"/>
            <w:tcBorders>
              <w:top w:val="nil"/>
              <w:left w:val="single" w:sz="4" w:space="0" w:color="auto"/>
              <w:bottom w:val="nil"/>
              <w:right w:val="nil"/>
            </w:tcBorders>
            <w:shd w:val="clear" w:color="000000" w:fill="FFFFFF"/>
            <w:noWrap/>
            <w:vAlign w:val="bottom"/>
            <w:hideMark/>
          </w:tcPr>
          <w:p w14:paraId="3164CDCC"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 xml:space="preserve">Net Income / (Expenditure) </w:t>
            </w:r>
            <w:proofErr w:type="spellStart"/>
            <w:r w:rsidRPr="00F25E68">
              <w:rPr>
                <w:rFonts w:ascii="Arial" w:hAnsi="Arial" w:cs="Arial"/>
                <w:b/>
                <w:bCs/>
                <w:color w:val="000000"/>
                <w:sz w:val="22"/>
                <w:szCs w:val="22"/>
              </w:rPr>
              <w:t>Excl</w:t>
            </w:r>
            <w:proofErr w:type="spellEnd"/>
            <w:r w:rsidRPr="00F25E68">
              <w:rPr>
                <w:rFonts w:ascii="Arial" w:hAnsi="Arial" w:cs="Arial"/>
                <w:b/>
                <w:color w:val="000000"/>
                <w:sz w:val="22"/>
                <w:szCs w:val="22"/>
              </w:rPr>
              <w:t xml:space="preserve"> Investments and Management Costs</w:t>
            </w:r>
          </w:p>
        </w:tc>
        <w:tc>
          <w:tcPr>
            <w:tcW w:w="1199" w:type="dxa"/>
            <w:tcBorders>
              <w:top w:val="single" w:sz="4" w:space="0" w:color="auto"/>
              <w:left w:val="nil"/>
              <w:bottom w:val="double" w:sz="6" w:space="0" w:color="auto"/>
              <w:right w:val="nil"/>
            </w:tcBorders>
            <w:shd w:val="clear" w:color="000000" w:fill="FFFFFF"/>
            <w:noWrap/>
            <w:vAlign w:val="bottom"/>
            <w:hideMark/>
          </w:tcPr>
          <w:p w14:paraId="0337D2D2"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3,061 </w:t>
            </w:r>
          </w:p>
        </w:tc>
        <w:tc>
          <w:tcPr>
            <w:tcW w:w="290" w:type="dxa"/>
            <w:tcBorders>
              <w:top w:val="nil"/>
              <w:left w:val="nil"/>
              <w:bottom w:val="nil"/>
              <w:right w:val="nil"/>
            </w:tcBorders>
            <w:shd w:val="clear" w:color="000000" w:fill="FFFFFF"/>
            <w:noWrap/>
            <w:vAlign w:val="bottom"/>
            <w:hideMark/>
          </w:tcPr>
          <w:p w14:paraId="0F9F6F40"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double" w:sz="6" w:space="0" w:color="auto"/>
              <w:right w:val="nil"/>
            </w:tcBorders>
            <w:shd w:val="clear" w:color="000000" w:fill="FFFFFF"/>
            <w:noWrap/>
            <w:vAlign w:val="bottom"/>
            <w:hideMark/>
          </w:tcPr>
          <w:p w14:paraId="727B9D20" w14:textId="77777777" w:rsidR="00F25E68" w:rsidRPr="00F25E68" w:rsidRDefault="00F25E68" w:rsidP="006E1769">
            <w:pPr>
              <w:jc w:val="right"/>
              <w:rPr>
                <w:rFonts w:ascii="Arial" w:hAnsi="Arial" w:cs="Arial"/>
                <w:b/>
                <w:color w:val="FF0000"/>
                <w:sz w:val="22"/>
                <w:szCs w:val="22"/>
              </w:rPr>
            </w:pPr>
            <w:r w:rsidRPr="00F25E68">
              <w:rPr>
                <w:rFonts w:ascii="Arial" w:hAnsi="Arial" w:cs="Arial"/>
                <w:b/>
                <w:color w:val="FF0000"/>
                <w:sz w:val="22"/>
                <w:szCs w:val="22"/>
              </w:rPr>
              <w:t xml:space="preserve">-  1,441 </w:t>
            </w:r>
          </w:p>
        </w:tc>
        <w:tc>
          <w:tcPr>
            <w:tcW w:w="303" w:type="dxa"/>
            <w:tcBorders>
              <w:top w:val="nil"/>
              <w:left w:val="nil"/>
              <w:bottom w:val="nil"/>
              <w:right w:val="nil"/>
            </w:tcBorders>
            <w:shd w:val="clear" w:color="000000" w:fill="FFFFFF"/>
            <w:noWrap/>
            <w:vAlign w:val="bottom"/>
            <w:hideMark/>
          </w:tcPr>
          <w:p w14:paraId="0B47D249"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double" w:sz="6" w:space="0" w:color="auto"/>
              <w:right w:val="single" w:sz="4" w:space="0" w:color="auto"/>
            </w:tcBorders>
            <w:shd w:val="clear" w:color="000000" w:fill="FFFFFF"/>
            <w:noWrap/>
            <w:vAlign w:val="bottom"/>
            <w:hideMark/>
          </w:tcPr>
          <w:p w14:paraId="5D5ADF28" w14:textId="77777777" w:rsidR="00F25E68" w:rsidRPr="00F25E68" w:rsidRDefault="00F25E68" w:rsidP="006E1769">
            <w:pPr>
              <w:jc w:val="right"/>
              <w:rPr>
                <w:rFonts w:ascii="Arial" w:hAnsi="Arial" w:cs="Arial"/>
                <w:b/>
                <w:color w:val="FF0000"/>
                <w:sz w:val="22"/>
                <w:szCs w:val="22"/>
              </w:rPr>
            </w:pPr>
            <w:r w:rsidRPr="00F25E68">
              <w:rPr>
                <w:rFonts w:ascii="Arial" w:hAnsi="Arial" w:cs="Arial"/>
                <w:b/>
                <w:color w:val="FF0000"/>
                <w:sz w:val="22"/>
                <w:szCs w:val="22"/>
              </w:rPr>
              <w:t xml:space="preserve">-  2,344 </w:t>
            </w:r>
          </w:p>
        </w:tc>
      </w:tr>
      <w:tr w:rsidR="00F25E68" w:rsidRPr="00F25E68" w14:paraId="10ECB016" w14:textId="77777777" w:rsidTr="0036077A">
        <w:trPr>
          <w:trHeight w:val="133"/>
          <w:jc w:val="center"/>
        </w:trPr>
        <w:tc>
          <w:tcPr>
            <w:tcW w:w="5738" w:type="dxa"/>
            <w:tcBorders>
              <w:top w:val="nil"/>
              <w:left w:val="single" w:sz="4" w:space="0" w:color="auto"/>
              <w:bottom w:val="nil"/>
              <w:right w:val="nil"/>
            </w:tcBorders>
            <w:shd w:val="clear" w:color="000000" w:fill="FFFFFF"/>
            <w:noWrap/>
            <w:vAlign w:val="bottom"/>
            <w:hideMark/>
          </w:tcPr>
          <w:p w14:paraId="0F6E566A" w14:textId="77777777" w:rsidR="00F25E68" w:rsidRPr="00F25E68" w:rsidRDefault="00F25E68" w:rsidP="006E1769">
            <w:pPr>
              <w:rPr>
                <w:rFonts w:ascii="Arial" w:hAnsi="Arial" w:cs="Arial"/>
                <w:b/>
                <w:color w:val="FF0000"/>
                <w:sz w:val="22"/>
                <w:szCs w:val="22"/>
              </w:rPr>
            </w:pPr>
            <w:r w:rsidRPr="00F25E68">
              <w:rPr>
                <w:rFonts w:ascii="Arial" w:hAnsi="Arial" w:cs="Arial"/>
                <w:b/>
                <w:color w:val="FF0000"/>
                <w:sz w:val="22"/>
                <w:szCs w:val="22"/>
              </w:rPr>
              <w:t>Total Management Costs (cash)</w:t>
            </w:r>
          </w:p>
        </w:tc>
        <w:tc>
          <w:tcPr>
            <w:tcW w:w="1199" w:type="dxa"/>
            <w:tcBorders>
              <w:top w:val="nil"/>
              <w:left w:val="nil"/>
              <w:bottom w:val="nil"/>
              <w:right w:val="nil"/>
            </w:tcBorders>
            <w:shd w:val="clear" w:color="000000" w:fill="FFFFFF"/>
            <w:noWrap/>
            <w:vAlign w:val="bottom"/>
            <w:hideMark/>
          </w:tcPr>
          <w:p w14:paraId="16F5EC30"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3,204 </w:t>
            </w:r>
          </w:p>
        </w:tc>
        <w:tc>
          <w:tcPr>
            <w:tcW w:w="290" w:type="dxa"/>
            <w:tcBorders>
              <w:top w:val="nil"/>
              <w:left w:val="nil"/>
              <w:bottom w:val="nil"/>
              <w:right w:val="nil"/>
            </w:tcBorders>
            <w:shd w:val="clear" w:color="000000" w:fill="FFFFFF"/>
            <w:noWrap/>
            <w:vAlign w:val="bottom"/>
            <w:hideMark/>
          </w:tcPr>
          <w:p w14:paraId="7372B272"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w:t>
            </w:r>
          </w:p>
        </w:tc>
        <w:tc>
          <w:tcPr>
            <w:tcW w:w="1620" w:type="dxa"/>
            <w:tcBorders>
              <w:top w:val="nil"/>
              <w:left w:val="nil"/>
              <w:bottom w:val="nil"/>
              <w:right w:val="nil"/>
            </w:tcBorders>
            <w:shd w:val="clear" w:color="000000" w:fill="FFFFFF"/>
            <w:noWrap/>
            <w:vAlign w:val="bottom"/>
            <w:hideMark/>
          </w:tcPr>
          <w:p w14:paraId="1234A46C"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1,887 </w:t>
            </w:r>
          </w:p>
        </w:tc>
        <w:tc>
          <w:tcPr>
            <w:tcW w:w="303" w:type="dxa"/>
            <w:tcBorders>
              <w:top w:val="nil"/>
              <w:left w:val="nil"/>
              <w:bottom w:val="nil"/>
              <w:right w:val="nil"/>
            </w:tcBorders>
            <w:shd w:val="clear" w:color="000000" w:fill="FFFFFF"/>
            <w:noWrap/>
            <w:vAlign w:val="bottom"/>
            <w:hideMark/>
          </w:tcPr>
          <w:p w14:paraId="08947105"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41C07F9E"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1,958 </w:t>
            </w:r>
          </w:p>
        </w:tc>
      </w:tr>
      <w:tr w:rsidR="00F25E68" w:rsidRPr="00F25E68" w14:paraId="0829A76A" w14:textId="77777777" w:rsidTr="0036077A">
        <w:trPr>
          <w:trHeight w:val="140"/>
          <w:jc w:val="center"/>
        </w:trPr>
        <w:tc>
          <w:tcPr>
            <w:tcW w:w="5738" w:type="dxa"/>
            <w:tcBorders>
              <w:top w:val="nil"/>
              <w:left w:val="single" w:sz="4" w:space="0" w:color="auto"/>
              <w:bottom w:val="nil"/>
              <w:right w:val="nil"/>
            </w:tcBorders>
            <w:shd w:val="clear" w:color="000000" w:fill="FFFFFF"/>
            <w:noWrap/>
            <w:vAlign w:val="bottom"/>
            <w:hideMark/>
          </w:tcPr>
          <w:p w14:paraId="632BEDBE"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 xml:space="preserve">Net Income / (Expenditure) Excluding Investments </w:t>
            </w:r>
          </w:p>
        </w:tc>
        <w:tc>
          <w:tcPr>
            <w:tcW w:w="1199" w:type="dxa"/>
            <w:tcBorders>
              <w:top w:val="single" w:sz="4" w:space="0" w:color="auto"/>
              <w:left w:val="nil"/>
              <w:bottom w:val="double" w:sz="6" w:space="0" w:color="auto"/>
              <w:right w:val="nil"/>
            </w:tcBorders>
            <w:shd w:val="clear" w:color="000000" w:fill="FFFFFF"/>
            <w:noWrap/>
            <w:vAlign w:val="bottom"/>
            <w:hideMark/>
          </w:tcPr>
          <w:p w14:paraId="274C833E" w14:textId="77777777" w:rsidR="00F25E68" w:rsidRPr="00F25E68" w:rsidRDefault="00F25E68" w:rsidP="006E1769">
            <w:pPr>
              <w:jc w:val="right"/>
              <w:rPr>
                <w:rFonts w:ascii="Arial" w:hAnsi="Arial" w:cs="Arial"/>
                <w:b/>
                <w:color w:val="FF0000"/>
                <w:sz w:val="22"/>
                <w:szCs w:val="22"/>
              </w:rPr>
            </w:pPr>
            <w:r w:rsidRPr="00F25E68">
              <w:rPr>
                <w:rFonts w:ascii="Arial" w:hAnsi="Arial" w:cs="Arial"/>
                <w:b/>
                <w:color w:val="FF0000"/>
                <w:sz w:val="22"/>
                <w:szCs w:val="22"/>
              </w:rPr>
              <w:t xml:space="preserve">-     143 </w:t>
            </w:r>
          </w:p>
        </w:tc>
        <w:tc>
          <w:tcPr>
            <w:tcW w:w="290" w:type="dxa"/>
            <w:tcBorders>
              <w:top w:val="nil"/>
              <w:left w:val="nil"/>
              <w:bottom w:val="nil"/>
              <w:right w:val="nil"/>
            </w:tcBorders>
            <w:shd w:val="clear" w:color="000000" w:fill="FFFFFF"/>
            <w:noWrap/>
            <w:vAlign w:val="bottom"/>
            <w:hideMark/>
          </w:tcPr>
          <w:p w14:paraId="3D53A69C"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double" w:sz="6" w:space="0" w:color="auto"/>
              <w:right w:val="nil"/>
            </w:tcBorders>
            <w:shd w:val="clear" w:color="000000" w:fill="FFFFFF"/>
            <w:noWrap/>
            <w:vAlign w:val="bottom"/>
            <w:hideMark/>
          </w:tcPr>
          <w:p w14:paraId="4D2B7448" w14:textId="77777777" w:rsidR="00F25E68" w:rsidRPr="00F25E68" w:rsidRDefault="00F25E68" w:rsidP="006E1769">
            <w:pPr>
              <w:jc w:val="right"/>
              <w:rPr>
                <w:rFonts w:ascii="Arial" w:hAnsi="Arial" w:cs="Arial"/>
                <w:b/>
                <w:color w:val="FF0000"/>
                <w:sz w:val="22"/>
                <w:szCs w:val="22"/>
              </w:rPr>
            </w:pPr>
            <w:r w:rsidRPr="00F25E68">
              <w:rPr>
                <w:rFonts w:ascii="Arial" w:hAnsi="Arial" w:cs="Arial"/>
                <w:b/>
                <w:color w:val="FF0000"/>
                <w:sz w:val="22"/>
                <w:szCs w:val="22"/>
              </w:rPr>
              <w:t xml:space="preserve">-  3,328 </w:t>
            </w:r>
          </w:p>
        </w:tc>
        <w:tc>
          <w:tcPr>
            <w:tcW w:w="303" w:type="dxa"/>
            <w:tcBorders>
              <w:top w:val="nil"/>
              <w:left w:val="nil"/>
              <w:bottom w:val="nil"/>
              <w:right w:val="nil"/>
            </w:tcBorders>
            <w:shd w:val="clear" w:color="000000" w:fill="FFFFFF"/>
            <w:noWrap/>
            <w:vAlign w:val="bottom"/>
            <w:hideMark/>
          </w:tcPr>
          <w:p w14:paraId="1718BE2F"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double" w:sz="6" w:space="0" w:color="auto"/>
              <w:right w:val="single" w:sz="4" w:space="0" w:color="auto"/>
            </w:tcBorders>
            <w:shd w:val="clear" w:color="000000" w:fill="FFFFFF"/>
            <w:noWrap/>
            <w:vAlign w:val="bottom"/>
            <w:hideMark/>
          </w:tcPr>
          <w:p w14:paraId="2B44C440" w14:textId="77777777" w:rsidR="00F25E68" w:rsidRPr="00F25E68" w:rsidRDefault="00F25E68" w:rsidP="006E1769">
            <w:pPr>
              <w:jc w:val="right"/>
              <w:rPr>
                <w:rFonts w:ascii="Arial" w:hAnsi="Arial" w:cs="Arial"/>
                <w:b/>
                <w:color w:val="FF0000"/>
                <w:sz w:val="22"/>
                <w:szCs w:val="22"/>
              </w:rPr>
            </w:pPr>
            <w:r w:rsidRPr="00F25E68">
              <w:rPr>
                <w:rFonts w:ascii="Arial" w:hAnsi="Arial" w:cs="Arial"/>
                <w:b/>
                <w:color w:val="FF0000"/>
                <w:sz w:val="22"/>
                <w:szCs w:val="22"/>
              </w:rPr>
              <w:t xml:space="preserve">-  4,302 </w:t>
            </w:r>
          </w:p>
        </w:tc>
      </w:tr>
      <w:tr w:rsidR="00F25E68" w:rsidRPr="00F25E68" w14:paraId="33FF121D" w14:textId="77777777" w:rsidTr="0036077A">
        <w:trPr>
          <w:trHeight w:val="73"/>
          <w:jc w:val="center"/>
        </w:trPr>
        <w:tc>
          <w:tcPr>
            <w:tcW w:w="5738" w:type="dxa"/>
            <w:tcBorders>
              <w:top w:val="nil"/>
              <w:left w:val="single" w:sz="4" w:space="0" w:color="auto"/>
              <w:bottom w:val="nil"/>
              <w:right w:val="nil"/>
            </w:tcBorders>
            <w:shd w:val="clear" w:color="000000" w:fill="FFFFFF"/>
            <w:noWrap/>
            <w:vAlign w:val="bottom"/>
            <w:hideMark/>
          </w:tcPr>
          <w:p w14:paraId="41085105"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199" w:type="dxa"/>
            <w:tcBorders>
              <w:top w:val="nil"/>
              <w:left w:val="nil"/>
              <w:bottom w:val="nil"/>
              <w:right w:val="nil"/>
            </w:tcBorders>
            <w:shd w:val="clear" w:color="000000" w:fill="FFFFFF"/>
            <w:noWrap/>
            <w:vAlign w:val="bottom"/>
            <w:hideMark/>
          </w:tcPr>
          <w:p w14:paraId="7718F98A"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290" w:type="dxa"/>
            <w:tcBorders>
              <w:top w:val="nil"/>
              <w:left w:val="nil"/>
              <w:bottom w:val="nil"/>
              <w:right w:val="nil"/>
            </w:tcBorders>
            <w:shd w:val="clear" w:color="000000" w:fill="FFFFFF"/>
            <w:noWrap/>
            <w:vAlign w:val="bottom"/>
            <w:hideMark/>
          </w:tcPr>
          <w:p w14:paraId="142A2357"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2F9A6BF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303" w:type="dxa"/>
            <w:tcBorders>
              <w:top w:val="nil"/>
              <w:left w:val="nil"/>
              <w:bottom w:val="nil"/>
              <w:right w:val="nil"/>
            </w:tcBorders>
            <w:shd w:val="clear" w:color="000000" w:fill="FFFFFF"/>
            <w:noWrap/>
            <w:vAlign w:val="bottom"/>
            <w:hideMark/>
          </w:tcPr>
          <w:p w14:paraId="522DA944"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3CC3862C"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r>
      <w:tr w:rsidR="00F25E68" w:rsidRPr="00F25E68" w14:paraId="64FB49C9" w14:textId="77777777" w:rsidTr="0036077A">
        <w:trPr>
          <w:trHeight w:val="133"/>
          <w:jc w:val="center"/>
        </w:trPr>
        <w:tc>
          <w:tcPr>
            <w:tcW w:w="5738" w:type="dxa"/>
            <w:tcBorders>
              <w:top w:val="nil"/>
              <w:left w:val="single" w:sz="4" w:space="0" w:color="auto"/>
              <w:bottom w:val="nil"/>
              <w:right w:val="nil"/>
            </w:tcBorders>
            <w:shd w:val="clear" w:color="000000" w:fill="FFFFFF"/>
            <w:noWrap/>
            <w:vAlign w:val="bottom"/>
            <w:hideMark/>
          </w:tcPr>
          <w:p w14:paraId="5B66AAFD" w14:textId="77777777" w:rsidR="00F25E68" w:rsidRPr="00F25E68" w:rsidRDefault="00F25E68" w:rsidP="006E1769">
            <w:pPr>
              <w:rPr>
                <w:rFonts w:ascii="Arial" w:hAnsi="Arial" w:cs="Arial"/>
                <w:b/>
                <w:color w:val="4472C4"/>
                <w:sz w:val="22"/>
                <w:szCs w:val="22"/>
              </w:rPr>
            </w:pPr>
            <w:r w:rsidRPr="00F25E68">
              <w:rPr>
                <w:rFonts w:ascii="Arial" w:hAnsi="Arial" w:cs="Arial"/>
                <w:b/>
                <w:color w:val="4472C4"/>
                <w:sz w:val="22"/>
                <w:szCs w:val="22"/>
              </w:rPr>
              <w:t>Investment Income</w:t>
            </w:r>
          </w:p>
        </w:tc>
        <w:tc>
          <w:tcPr>
            <w:tcW w:w="1199" w:type="dxa"/>
            <w:tcBorders>
              <w:top w:val="nil"/>
              <w:left w:val="nil"/>
              <w:bottom w:val="nil"/>
              <w:right w:val="nil"/>
            </w:tcBorders>
            <w:shd w:val="clear" w:color="000000" w:fill="FFFFFF"/>
            <w:noWrap/>
            <w:vAlign w:val="bottom"/>
            <w:hideMark/>
          </w:tcPr>
          <w:p w14:paraId="0CBA9E8E"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290" w:type="dxa"/>
            <w:tcBorders>
              <w:top w:val="nil"/>
              <w:left w:val="nil"/>
              <w:bottom w:val="nil"/>
              <w:right w:val="nil"/>
            </w:tcBorders>
            <w:shd w:val="clear" w:color="000000" w:fill="FFFFFF"/>
            <w:noWrap/>
            <w:vAlign w:val="bottom"/>
            <w:hideMark/>
          </w:tcPr>
          <w:p w14:paraId="6E615D9D"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28513A6F"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303" w:type="dxa"/>
            <w:tcBorders>
              <w:top w:val="nil"/>
              <w:left w:val="nil"/>
              <w:bottom w:val="nil"/>
              <w:right w:val="nil"/>
            </w:tcBorders>
            <w:shd w:val="clear" w:color="000000" w:fill="FFFFFF"/>
            <w:noWrap/>
            <w:vAlign w:val="bottom"/>
            <w:hideMark/>
          </w:tcPr>
          <w:p w14:paraId="4F3B8B77"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3A623796"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r>
      <w:tr w:rsidR="00F25E68" w:rsidRPr="00F25E68" w14:paraId="4500EE25" w14:textId="77777777" w:rsidTr="0036077A">
        <w:trPr>
          <w:trHeight w:val="129"/>
          <w:jc w:val="center"/>
        </w:trPr>
        <w:tc>
          <w:tcPr>
            <w:tcW w:w="5738" w:type="dxa"/>
            <w:tcBorders>
              <w:top w:val="nil"/>
              <w:left w:val="single" w:sz="4" w:space="0" w:color="auto"/>
              <w:bottom w:val="nil"/>
              <w:right w:val="nil"/>
            </w:tcBorders>
            <w:shd w:val="clear" w:color="000000" w:fill="FFFFFF"/>
            <w:noWrap/>
            <w:vAlign w:val="bottom"/>
            <w:hideMark/>
          </w:tcPr>
          <w:p w14:paraId="174A8B20"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BlackRock</w:t>
            </w:r>
          </w:p>
        </w:tc>
        <w:tc>
          <w:tcPr>
            <w:tcW w:w="1199" w:type="dxa"/>
            <w:tcBorders>
              <w:top w:val="nil"/>
              <w:left w:val="nil"/>
              <w:bottom w:val="nil"/>
              <w:right w:val="nil"/>
            </w:tcBorders>
            <w:shd w:val="clear" w:color="000000" w:fill="FFFFFF"/>
            <w:noWrap/>
            <w:vAlign w:val="bottom"/>
            <w:hideMark/>
          </w:tcPr>
          <w:p w14:paraId="21C7FBB5"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2,400 </w:t>
            </w:r>
          </w:p>
        </w:tc>
        <w:tc>
          <w:tcPr>
            <w:tcW w:w="290" w:type="dxa"/>
            <w:tcBorders>
              <w:top w:val="nil"/>
              <w:left w:val="nil"/>
              <w:bottom w:val="nil"/>
              <w:right w:val="nil"/>
            </w:tcBorders>
            <w:shd w:val="clear" w:color="000000" w:fill="FFFFFF"/>
            <w:noWrap/>
            <w:vAlign w:val="bottom"/>
            <w:hideMark/>
          </w:tcPr>
          <w:p w14:paraId="10100142"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510D04C9"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2,472 </w:t>
            </w:r>
          </w:p>
        </w:tc>
        <w:tc>
          <w:tcPr>
            <w:tcW w:w="303" w:type="dxa"/>
            <w:tcBorders>
              <w:top w:val="nil"/>
              <w:left w:val="nil"/>
              <w:bottom w:val="nil"/>
              <w:right w:val="nil"/>
            </w:tcBorders>
            <w:shd w:val="clear" w:color="000000" w:fill="FFFFFF"/>
            <w:noWrap/>
            <w:vAlign w:val="bottom"/>
            <w:hideMark/>
          </w:tcPr>
          <w:p w14:paraId="7B7D7B9E"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17FC4C1F"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2,546 </w:t>
            </w:r>
          </w:p>
        </w:tc>
      </w:tr>
      <w:tr w:rsidR="00F25E68" w:rsidRPr="00F25E68" w14:paraId="24A722AE" w14:textId="77777777" w:rsidTr="0036077A">
        <w:trPr>
          <w:trHeight w:val="129"/>
          <w:jc w:val="center"/>
        </w:trPr>
        <w:tc>
          <w:tcPr>
            <w:tcW w:w="5738" w:type="dxa"/>
            <w:tcBorders>
              <w:top w:val="nil"/>
              <w:left w:val="single" w:sz="4" w:space="0" w:color="auto"/>
              <w:bottom w:val="nil"/>
              <w:right w:val="nil"/>
            </w:tcBorders>
            <w:shd w:val="clear" w:color="000000" w:fill="FFFFFF"/>
            <w:noWrap/>
            <w:vAlign w:val="bottom"/>
            <w:hideMark/>
          </w:tcPr>
          <w:p w14:paraId="4FBCD3B6"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Hermes</w:t>
            </w:r>
          </w:p>
        </w:tc>
        <w:tc>
          <w:tcPr>
            <w:tcW w:w="1199" w:type="dxa"/>
            <w:tcBorders>
              <w:top w:val="nil"/>
              <w:left w:val="nil"/>
              <w:bottom w:val="nil"/>
              <w:right w:val="nil"/>
            </w:tcBorders>
            <w:shd w:val="clear" w:color="000000" w:fill="FFFFFF"/>
            <w:noWrap/>
            <w:vAlign w:val="bottom"/>
            <w:hideMark/>
          </w:tcPr>
          <w:p w14:paraId="1A12D7E5"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500 </w:t>
            </w:r>
          </w:p>
        </w:tc>
        <w:tc>
          <w:tcPr>
            <w:tcW w:w="290" w:type="dxa"/>
            <w:tcBorders>
              <w:top w:val="nil"/>
              <w:left w:val="nil"/>
              <w:bottom w:val="nil"/>
              <w:right w:val="nil"/>
            </w:tcBorders>
            <w:shd w:val="clear" w:color="000000" w:fill="FFFFFF"/>
            <w:noWrap/>
            <w:vAlign w:val="bottom"/>
            <w:hideMark/>
          </w:tcPr>
          <w:p w14:paraId="5FF11972"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620" w:type="dxa"/>
            <w:tcBorders>
              <w:top w:val="nil"/>
              <w:left w:val="nil"/>
              <w:bottom w:val="nil"/>
              <w:right w:val="nil"/>
            </w:tcBorders>
            <w:shd w:val="clear" w:color="000000" w:fill="FFFFFF"/>
            <w:noWrap/>
            <w:vAlign w:val="bottom"/>
            <w:hideMark/>
          </w:tcPr>
          <w:p w14:paraId="3F6A1F87"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515 </w:t>
            </w:r>
          </w:p>
        </w:tc>
        <w:tc>
          <w:tcPr>
            <w:tcW w:w="303" w:type="dxa"/>
            <w:tcBorders>
              <w:top w:val="nil"/>
              <w:left w:val="nil"/>
              <w:bottom w:val="nil"/>
              <w:right w:val="nil"/>
            </w:tcBorders>
            <w:shd w:val="clear" w:color="000000" w:fill="FFFFFF"/>
            <w:noWrap/>
            <w:vAlign w:val="bottom"/>
            <w:hideMark/>
          </w:tcPr>
          <w:p w14:paraId="65485435"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206" w:type="dxa"/>
            <w:tcBorders>
              <w:top w:val="nil"/>
              <w:left w:val="nil"/>
              <w:bottom w:val="nil"/>
              <w:right w:val="single" w:sz="4" w:space="0" w:color="auto"/>
            </w:tcBorders>
            <w:shd w:val="clear" w:color="000000" w:fill="FFFFFF"/>
            <w:noWrap/>
            <w:vAlign w:val="bottom"/>
            <w:hideMark/>
          </w:tcPr>
          <w:p w14:paraId="22D3711D"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xml:space="preserve">      530 </w:t>
            </w:r>
          </w:p>
        </w:tc>
      </w:tr>
      <w:tr w:rsidR="00F25E68" w:rsidRPr="00F25E68" w14:paraId="3BC34ABC" w14:textId="77777777" w:rsidTr="0036077A">
        <w:trPr>
          <w:trHeight w:val="133"/>
          <w:jc w:val="center"/>
        </w:trPr>
        <w:tc>
          <w:tcPr>
            <w:tcW w:w="5738" w:type="dxa"/>
            <w:tcBorders>
              <w:top w:val="nil"/>
              <w:left w:val="single" w:sz="4" w:space="0" w:color="auto"/>
              <w:bottom w:val="nil"/>
              <w:right w:val="nil"/>
            </w:tcBorders>
            <w:shd w:val="clear" w:color="000000" w:fill="FFFFFF"/>
            <w:vAlign w:val="center"/>
            <w:hideMark/>
          </w:tcPr>
          <w:p w14:paraId="3AEA2914"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Total</w:t>
            </w:r>
          </w:p>
        </w:tc>
        <w:tc>
          <w:tcPr>
            <w:tcW w:w="1199" w:type="dxa"/>
            <w:tcBorders>
              <w:top w:val="single" w:sz="4" w:space="0" w:color="auto"/>
              <w:left w:val="nil"/>
              <w:bottom w:val="single" w:sz="4" w:space="0" w:color="auto"/>
              <w:right w:val="nil"/>
            </w:tcBorders>
            <w:shd w:val="clear" w:color="000000" w:fill="FFFFFF"/>
            <w:noWrap/>
            <w:vAlign w:val="center"/>
            <w:hideMark/>
          </w:tcPr>
          <w:p w14:paraId="4436C320"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2,900 </w:t>
            </w:r>
          </w:p>
        </w:tc>
        <w:tc>
          <w:tcPr>
            <w:tcW w:w="290" w:type="dxa"/>
            <w:tcBorders>
              <w:top w:val="nil"/>
              <w:left w:val="nil"/>
              <w:bottom w:val="nil"/>
              <w:right w:val="nil"/>
            </w:tcBorders>
            <w:shd w:val="clear" w:color="000000" w:fill="FFFFFF"/>
            <w:noWrap/>
            <w:vAlign w:val="bottom"/>
            <w:hideMark/>
          </w:tcPr>
          <w:p w14:paraId="03E87AD2"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single" w:sz="4" w:space="0" w:color="auto"/>
              <w:right w:val="nil"/>
            </w:tcBorders>
            <w:shd w:val="clear" w:color="000000" w:fill="FFFFFF"/>
            <w:noWrap/>
            <w:vAlign w:val="center"/>
            <w:hideMark/>
          </w:tcPr>
          <w:p w14:paraId="08BC75C0"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2,987 </w:t>
            </w:r>
          </w:p>
        </w:tc>
        <w:tc>
          <w:tcPr>
            <w:tcW w:w="303" w:type="dxa"/>
            <w:tcBorders>
              <w:top w:val="nil"/>
              <w:left w:val="nil"/>
              <w:bottom w:val="nil"/>
              <w:right w:val="nil"/>
            </w:tcBorders>
            <w:shd w:val="clear" w:color="000000" w:fill="FFFFFF"/>
            <w:noWrap/>
            <w:vAlign w:val="bottom"/>
            <w:hideMark/>
          </w:tcPr>
          <w:p w14:paraId="40FE07B7" w14:textId="77777777" w:rsidR="00F25E68" w:rsidRPr="00F25E68" w:rsidRDefault="00F25E68" w:rsidP="006E1769">
            <w:pPr>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single" w:sz="4" w:space="0" w:color="auto"/>
              <w:right w:val="single" w:sz="4" w:space="0" w:color="auto"/>
            </w:tcBorders>
            <w:shd w:val="clear" w:color="000000" w:fill="FFFFFF"/>
            <w:noWrap/>
            <w:vAlign w:val="center"/>
            <w:hideMark/>
          </w:tcPr>
          <w:p w14:paraId="6C7ABD76"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3,077 </w:t>
            </w:r>
          </w:p>
        </w:tc>
      </w:tr>
      <w:tr w:rsidR="00F25E68" w:rsidRPr="00F25E68" w14:paraId="3E5278BA" w14:textId="77777777" w:rsidTr="0036077A">
        <w:trPr>
          <w:trHeight w:val="192"/>
          <w:jc w:val="center"/>
        </w:trPr>
        <w:tc>
          <w:tcPr>
            <w:tcW w:w="5738" w:type="dxa"/>
            <w:tcBorders>
              <w:top w:val="nil"/>
              <w:left w:val="single" w:sz="4" w:space="0" w:color="auto"/>
              <w:bottom w:val="single" w:sz="4" w:space="0" w:color="auto"/>
              <w:right w:val="nil"/>
            </w:tcBorders>
            <w:shd w:val="clear" w:color="000000" w:fill="FFFFFF"/>
            <w:noWrap/>
            <w:vAlign w:val="bottom"/>
            <w:hideMark/>
          </w:tcPr>
          <w:p w14:paraId="4E16D34E" w14:textId="77777777" w:rsidR="00F25E68" w:rsidRPr="00F25E68" w:rsidRDefault="00F25E68" w:rsidP="006E1769">
            <w:pPr>
              <w:rPr>
                <w:rFonts w:ascii="Arial" w:hAnsi="Arial" w:cs="Arial"/>
                <w:b/>
                <w:color w:val="000000"/>
                <w:sz w:val="22"/>
                <w:szCs w:val="22"/>
              </w:rPr>
            </w:pPr>
            <w:r w:rsidRPr="00F25E68">
              <w:rPr>
                <w:rFonts w:ascii="Arial" w:hAnsi="Arial" w:cs="Arial"/>
                <w:b/>
                <w:color w:val="000000"/>
                <w:sz w:val="22"/>
                <w:szCs w:val="22"/>
              </w:rPr>
              <w:t>Net Income / (Expenditure) - cash</w:t>
            </w:r>
          </w:p>
        </w:tc>
        <w:tc>
          <w:tcPr>
            <w:tcW w:w="1199" w:type="dxa"/>
            <w:tcBorders>
              <w:top w:val="single" w:sz="4" w:space="0" w:color="auto"/>
              <w:left w:val="nil"/>
              <w:bottom w:val="single" w:sz="4" w:space="0" w:color="auto"/>
              <w:right w:val="nil"/>
            </w:tcBorders>
            <w:shd w:val="clear" w:color="000000" w:fill="FFFFFF"/>
            <w:noWrap/>
            <w:vAlign w:val="bottom"/>
            <w:hideMark/>
          </w:tcPr>
          <w:p w14:paraId="5CB53C56" w14:textId="77777777" w:rsidR="00F25E68" w:rsidRPr="00F25E68" w:rsidRDefault="00F25E68" w:rsidP="006E1769">
            <w:pPr>
              <w:jc w:val="right"/>
              <w:rPr>
                <w:rFonts w:ascii="Arial" w:hAnsi="Arial" w:cs="Arial"/>
                <w:b/>
                <w:color w:val="000000"/>
                <w:sz w:val="22"/>
                <w:szCs w:val="22"/>
              </w:rPr>
            </w:pPr>
            <w:r w:rsidRPr="00F25E68">
              <w:rPr>
                <w:rFonts w:ascii="Arial" w:hAnsi="Arial" w:cs="Arial"/>
                <w:b/>
                <w:color w:val="000000"/>
                <w:sz w:val="22"/>
                <w:szCs w:val="22"/>
              </w:rPr>
              <w:t xml:space="preserve">        2,757 </w:t>
            </w:r>
          </w:p>
        </w:tc>
        <w:tc>
          <w:tcPr>
            <w:tcW w:w="290" w:type="dxa"/>
            <w:tcBorders>
              <w:top w:val="nil"/>
              <w:left w:val="nil"/>
              <w:bottom w:val="single" w:sz="4" w:space="0" w:color="auto"/>
              <w:right w:val="nil"/>
            </w:tcBorders>
            <w:shd w:val="clear" w:color="000000" w:fill="FFFFFF"/>
            <w:noWrap/>
            <w:vAlign w:val="bottom"/>
            <w:hideMark/>
          </w:tcPr>
          <w:p w14:paraId="2FD8A9C0"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620" w:type="dxa"/>
            <w:tcBorders>
              <w:top w:val="single" w:sz="4" w:space="0" w:color="auto"/>
              <w:left w:val="nil"/>
              <w:bottom w:val="single" w:sz="4" w:space="0" w:color="auto"/>
              <w:right w:val="nil"/>
            </w:tcBorders>
            <w:shd w:val="clear" w:color="000000" w:fill="FFFFFF"/>
            <w:noWrap/>
            <w:vAlign w:val="bottom"/>
            <w:hideMark/>
          </w:tcPr>
          <w:p w14:paraId="25F503EB" w14:textId="77777777" w:rsidR="00F25E68" w:rsidRPr="00F25E68" w:rsidRDefault="00F25E68" w:rsidP="006E1769">
            <w:pPr>
              <w:jc w:val="right"/>
              <w:rPr>
                <w:rFonts w:ascii="Arial" w:hAnsi="Arial" w:cs="Arial"/>
                <w:b/>
                <w:color w:val="FF0000"/>
                <w:sz w:val="22"/>
                <w:szCs w:val="22"/>
              </w:rPr>
            </w:pPr>
            <w:r w:rsidRPr="00F25E68">
              <w:rPr>
                <w:rFonts w:ascii="Arial" w:hAnsi="Arial" w:cs="Arial"/>
                <w:b/>
                <w:color w:val="FF0000"/>
                <w:sz w:val="22"/>
                <w:szCs w:val="22"/>
              </w:rPr>
              <w:t xml:space="preserve">-     341 </w:t>
            </w:r>
          </w:p>
        </w:tc>
        <w:tc>
          <w:tcPr>
            <w:tcW w:w="303" w:type="dxa"/>
            <w:tcBorders>
              <w:top w:val="nil"/>
              <w:left w:val="nil"/>
              <w:bottom w:val="single" w:sz="4" w:space="0" w:color="auto"/>
              <w:right w:val="nil"/>
            </w:tcBorders>
            <w:shd w:val="clear" w:color="000000" w:fill="FFFFFF"/>
            <w:noWrap/>
            <w:vAlign w:val="bottom"/>
            <w:hideMark/>
          </w:tcPr>
          <w:p w14:paraId="43A407B1" w14:textId="77777777" w:rsidR="00F25E68" w:rsidRPr="00F25E68" w:rsidRDefault="00F25E68" w:rsidP="006E1769">
            <w:pPr>
              <w:jc w:val="right"/>
              <w:rPr>
                <w:rFonts w:ascii="Arial" w:hAnsi="Arial" w:cs="Arial"/>
                <w:color w:val="000000"/>
                <w:sz w:val="22"/>
                <w:szCs w:val="22"/>
              </w:rPr>
            </w:pPr>
            <w:r w:rsidRPr="00F25E68">
              <w:rPr>
                <w:rFonts w:ascii="Arial" w:hAnsi="Arial" w:cs="Arial"/>
                <w:color w:val="000000"/>
                <w:sz w:val="22"/>
                <w:szCs w:val="22"/>
              </w:rPr>
              <w:t> </w:t>
            </w:r>
          </w:p>
        </w:tc>
        <w:tc>
          <w:tcPr>
            <w:tcW w:w="1206" w:type="dxa"/>
            <w:tcBorders>
              <w:top w:val="single" w:sz="4" w:space="0" w:color="auto"/>
              <w:left w:val="nil"/>
              <w:bottom w:val="single" w:sz="4" w:space="0" w:color="auto"/>
              <w:right w:val="single" w:sz="4" w:space="0" w:color="auto"/>
            </w:tcBorders>
            <w:shd w:val="clear" w:color="000000" w:fill="FFFFFF"/>
            <w:noWrap/>
            <w:vAlign w:val="bottom"/>
            <w:hideMark/>
          </w:tcPr>
          <w:p w14:paraId="06C7E96C" w14:textId="77777777" w:rsidR="00F25E68" w:rsidRPr="00F25E68" w:rsidRDefault="00F25E68" w:rsidP="006E1769">
            <w:pPr>
              <w:jc w:val="right"/>
              <w:rPr>
                <w:rFonts w:ascii="Arial" w:hAnsi="Arial" w:cs="Arial"/>
                <w:b/>
                <w:color w:val="FF0000"/>
                <w:sz w:val="22"/>
                <w:szCs w:val="22"/>
              </w:rPr>
            </w:pPr>
            <w:r w:rsidRPr="00F25E68">
              <w:rPr>
                <w:rFonts w:ascii="Arial" w:hAnsi="Arial" w:cs="Arial"/>
                <w:b/>
                <w:color w:val="FF0000"/>
                <w:sz w:val="22"/>
                <w:szCs w:val="22"/>
              </w:rPr>
              <w:t xml:space="preserve">-  1,225 </w:t>
            </w:r>
          </w:p>
        </w:tc>
      </w:tr>
    </w:tbl>
    <w:p w14:paraId="6D1625FE" w14:textId="2424B0F5" w:rsidR="00C41C82" w:rsidRPr="00601B12" w:rsidRDefault="00C41C82" w:rsidP="00971565">
      <w:pPr>
        <w:pStyle w:val="ListParagraph"/>
        <w:tabs>
          <w:tab w:val="left" w:pos="5820"/>
        </w:tabs>
        <w:autoSpaceDE w:val="0"/>
        <w:autoSpaceDN w:val="0"/>
        <w:adjustRightInd w:val="0"/>
        <w:ind w:left="0" w:right="142"/>
        <w:rPr>
          <w:rFonts w:ascii="Arial" w:hAnsi="Arial" w:cs="Arial"/>
          <w:b/>
          <w:bCs/>
          <w:color w:val="000000" w:themeColor="text1"/>
        </w:rPr>
      </w:pPr>
      <w:r w:rsidRPr="000B0106">
        <w:rPr>
          <w:rFonts w:ascii="Arial" w:hAnsi="Arial" w:cs="Arial"/>
          <w:b/>
          <w:bCs/>
          <w:color w:val="000000" w:themeColor="text1"/>
        </w:rPr>
        <w:t xml:space="preserve">Appendix 1: Fund Accounts </w:t>
      </w:r>
      <w:r w:rsidR="00F22964">
        <w:rPr>
          <w:rFonts w:ascii="Arial" w:hAnsi="Arial" w:cs="Arial"/>
          <w:b/>
          <w:bCs/>
          <w:color w:val="000000" w:themeColor="text1"/>
        </w:rPr>
        <w:t>202</w:t>
      </w:r>
      <w:r w:rsidR="00641C45">
        <w:rPr>
          <w:rFonts w:ascii="Arial" w:hAnsi="Arial" w:cs="Arial"/>
          <w:b/>
          <w:bCs/>
          <w:color w:val="000000" w:themeColor="text1"/>
        </w:rPr>
        <w:t>1</w:t>
      </w:r>
      <w:r w:rsidR="00F22964">
        <w:rPr>
          <w:rFonts w:ascii="Arial" w:hAnsi="Arial" w:cs="Arial"/>
          <w:b/>
          <w:bCs/>
          <w:color w:val="000000" w:themeColor="text1"/>
        </w:rPr>
        <w:t>/2</w:t>
      </w:r>
      <w:r w:rsidR="00641C45">
        <w:rPr>
          <w:rFonts w:ascii="Arial" w:hAnsi="Arial" w:cs="Arial"/>
          <w:b/>
          <w:bCs/>
          <w:color w:val="000000" w:themeColor="text1"/>
        </w:rPr>
        <w:t>2</w:t>
      </w:r>
    </w:p>
    <w:p w14:paraId="6D1625FF" w14:textId="77777777" w:rsidR="00C41C82" w:rsidRPr="00601B12" w:rsidRDefault="00C41C82" w:rsidP="000A5084">
      <w:pPr>
        <w:pStyle w:val="ListParagraph"/>
        <w:autoSpaceDE w:val="0"/>
        <w:autoSpaceDN w:val="0"/>
        <w:adjustRightInd w:val="0"/>
        <w:spacing w:after="0" w:line="240" w:lineRule="auto"/>
        <w:ind w:left="0" w:right="568"/>
        <w:jc w:val="both"/>
        <w:rPr>
          <w:rFonts w:ascii="Arial" w:hAnsi="Arial" w:cs="Arial"/>
          <w:color w:val="000000" w:themeColor="text1"/>
        </w:rPr>
      </w:pPr>
    </w:p>
    <w:p w14:paraId="6D162600" w14:textId="77777777" w:rsidR="00C41C82" w:rsidRPr="00601B12" w:rsidRDefault="00C41C82" w:rsidP="000A5084">
      <w:pPr>
        <w:pStyle w:val="ListParagraph"/>
        <w:autoSpaceDE w:val="0"/>
        <w:autoSpaceDN w:val="0"/>
        <w:adjustRightInd w:val="0"/>
        <w:spacing w:after="0" w:line="240" w:lineRule="auto"/>
        <w:ind w:left="0" w:right="568"/>
        <w:jc w:val="both"/>
        <w:rPr>
          <w:rFonts w:ascii="Arial" w:hAnsi="Arial" w:cs="Arial"/>
          <w:b/>
          <w:bCs/>
          <w:color w:val="000000" w:themeColor="text1"/>
        </w:rPr>
      </w:pPr>
      <w:r w:rsidRPr="00601B12">
        <w:rPr>
          <w:rFonts w:ascii="Arial" w:hAnsi="Arial" w:cs="Arial"/>
          <w:color w:val="000000" w:themeColor="text1"/>
        </w:rPr>
        <w:t>The key changes in the Fund’s income and expenditure are summarised below:</w:t>
      </w:r>
    </w:p>
    <w:p w14:paraId="6D162601" w14:textId="77777777" w:rsidR="00C41C82" w:rsidRPr="00601B12" w:rsidRDefault="00C41C82" w:rsidP="000A5084">
      <w:pPr>
        <w:autoSpaceDE w:val="0"/>
        <w:autoSpaceDN w:val="0"/>
        <w:adjustRightInd w:val="0"/>
        <w:ind w:left="567" w:right="568"/>
        <w:jc w:val="both"/>
        <w:rPr>
          <w:rFonts w:ascii="Arial" w:hAnsi="Arial" w:cs="Arial"/>
          <w:color w:val="000000" w:themeColor="text1"/>
          <w:sz w:val="22"/>
          <w:szCs w:val="22"/>
        </w:rPr>
      </w:pPr>
    </w:p>
    <w:p w14:paraId="34FDB565" w14:textId="3C3EC2E1" w:rsidR="004E65DB" w:rsidRDefault="004E65DB" w:rsidP="007337FE">
      <w:pPr>
        <w:pStyle w:val="ListParagraph"/>
        <w:numPr>
          <w:ilvl w:val="0"/>
          <w:numId w:val="104"/>
        </w:numPr>
        <w:autoSpaceDE w:val="0"/>
        <w:autoSpaceDN w:val="0"/>
        <w:adjustRightInd w:val="0"/>
        <w:ind w:right="568"/>
        <w:jc w:val="both"/>
        <w:rPr>
          <w:rFonts w:ascii="Arial" w:eastAsia="Calibri" w:hAnsi="Arial" w:cs="Arial"/>
        </w:rPr>
      </w:pPr>
      <w:r w:rsidRPr="004E65DB">
        <w:rPr>
          <w:rFonts w:ascii="Arial" w:eastAsia="Calibri" w:hAnsi="Arial" w:cs="Arial"/>
        </w:rPr>
        <w:t xml:space="preserve">2021/22 had positive return for the year, although the return was significantly reduced </w:t>
      </w:r>
      <w:proofErr w:type="gramStart"/>
      <w:r w:rsidRPr="004E65DB">
        <w:rPr>
          <w:rFonts w:ascii="Arial" w:eastAsia="Calibri" w:hAnsi="Arial" w:cs="Arial"/>
        </w:rPr>
        <w:t>as a result of</w:t>
      </w:r>
      <w:proofErr w:type="gramEnd"/>
      <w:r w:rsidRPr="004E65DB">
        <w:rPr>
          <w:rFonts w:ascii="Arial" w:eastAsia="Calibri" w:hAnsi="Arial" w:cs="Arial"/>
        </w:rPr>
        <w:t xml:space="preserve"> a market downturn following Russia’s invasion of Ukraine. The overall investment return for the fund over the year, net of fund manager fees and custodian costs was 5.1%, which was 5.4% lower than the benchmark of 10.5%. Over three years the Fund’s annualised return was 8.8%, which is 1.3% below the Fund’s benchmark return of 10.1%.</w:t>
      </w:r>
    </w:p>
    <w:p w14:paraId="44C941CD" w14:textId="77777777" w:rsidR="00BF6E1F" w:rsidRPr="00BF6E1F" w:rsidRDefault="00BF6E1F" w:rsidP="007337FE">
      <w:pPr>
        <w:pStyle w:val="ListParagraph"/>
        <w:numPr>
          <w:ilvl w:val="0"/>
          <w:numId w:val="104"/>
        </w:numPr>
        <w:autoSpaceDE w:val="0"/>
        <w:autoSpaceDN w:val="0"/>
        <w:adjustRightInd w:val="0"/>
        <w:ind w:right="568"/>
        <w:jc w:val="both"/>
        <w:rPr>
          <w:rFonts w:ascii="Arial" w:eastAsia="Calibri" w:hAnsi="Arial" w:cs="Arial"/>
        </w:rPr>
      </w:pPr>
    </w:p>
    <w:p w14:paraId="6D3F24DF" w14:textId="03744512" w:rsidR="000A6E36" w:rsidRDefault="00667019" w:rsidP="007337FE">
      <w:pPr>
        <w:pStyle w:val="ListParagraph"/>
        <w:numPr>
          <w:ilvl w:val="0"/>
          <w:numId w:val="91"/>
        </w:numPr>
        <w:autoSpaceDE w:val="0"/>
        <w:autoSpaceDN w:val="0"/>
        <w:adjustRightInd w:val="0"/>
        <w:spacing w:after="0"/>
        <w:ind w:right="568"/>
        <w:jc w:val="both"/>
        <w:rPr>
          <w:rFonts w:ascii="Arial" w:eastAsia="Calibri" w:hAnsi="Arial" w:cs="Arial"/>
        </w:rPr>
      </w:pPr>
      <w:r w:rsidRPr="000A6E36">
        <w:rPr>
          <w:rFonts w:ascii="Arial" w:eastAsia="Calibri" w:hAnsi="Arial" w:cs="Arial"/>
        </w:rPr>
        <w:t xml:space="preserve">The Fund increased in value by £78.1m from £1,282.8m as </w:t>
      </w:r>
      <w:proofErr w:type="gramStart"/>
      <w:r w:rsidRPr="000A6E36">
        <w:rPr>
          <w:rFonts w:ascii="Arial" w:eastAsia="Calibri" w:hAnsi="Arial" w:cs="Arial"/>
        </w:rPr>
        <w:t>at</w:t>
      </w:r>
      <w:proofErr w:type="gramEnd"/>
      <w:r w:rsidRPr="000A6E36">
        <w:rPr>
          <w:rFonts w:ascii="Arial" w:eastAsia="Calibri" w:hAnsi="Arial" w:cs="Arial"/>
        </w:rPr>
        <w:t xml:space="preserve"> 31 March 2021 to £1,360.9m as at 31 March 2022.</w:t>
      </w:r>
    </w:p>
    <w:p w14:paraId="7CB80929" w14:textId="77777777" w:rsidR="000A6E36" w:rsidRPr="000A6E36" w:rsidRDefault="000A6E36" w:rsidP="000A6E36">
      <w:pPr>
        <w:autoSpaceDE w:val="0"/>
        <w:autoSpaceDN w:val="0"/>
        <w:adjustRightInd w:val="0"/>
        <w:ind w:right="568"/>
        <w:jc w:val="both"/>
        <w:rPr>
          <w:rFonts w:ascii="Arial" w:eastAsia="Calibri" w:hAnsi="Arial" w:cs="Arial"/>
        </w:rPr>
      </w:pPr>
    </w:p>
    <w:p w14:paraId="6D162606" w14:textId="61984288" w:rsidR="000A5084" w:rsidRPr="003C730A" w:rsidRDefault="000A5084" w:rsidP="007337FE">
      <w:pPr>
        <w:pStyle w:val="ListParagraph"/>
        <w:numPr>
          <w:ilvl w:val="0"/>
          <w:numId w:val="88"/>
        </w:numPr>
        <w:autoSpaceDE w:val="0"/>
        <w:autoSpaceDN w:val="0"/>
        <w:adjustRightInd w:val="0"/>
        <w:spacing w:after="0" w:line="240" w:lineRule="auto"/>
        <w:ind w:right="568"/>
        <w:jc w:val="both"/>
        <w:rPr>
          <w:rFonts w:ascii="Arial" w:eastAsia="Calibri" w:hAnsi="Arial" w:cs="Arial"/>
        </w:rPr>
      </w:pPr>
      <w:r w:rsidRPr="003C730A">
        <w:rPr>
          <w:rFonts w:ascii="Arial" w:eastAsia="Calibri" w:hAnsi="Arial" w:cs="Arial"/>
        </w:rPr>
        <w:t xml:space="preserve">Contributions into the Fund </w:t>
      </w:r>
      <w:r w:rsidR="0092652E" w:rsidRPr="003C730A">
        <w:rPr>
          <w:rFonts w:ascii="Arial" w:eastAsia="Calibri" w:hAnsi="Arial" w:cs="Arial"/>
        </w:rPr>
        <w:t>increased</w:t>
      </w:r>
      <w:r w:rsidRPr="003C730A">
        <w:rPr>
          <w:rFonts w:ascii="Arial" w:eastAsia="Calibri" w:hAnsi="Arial" w:cs="Arial"/>
        </w:rPr>
        <w:t xml:space="preserve"> by £</w:t>
      </w:r>
      <w:r w:rsidR="003759AE">
        <w:rPr>
          <w:rFonts w:ascii="Arial" w:eastAsia="Calibri" w:hAnsi="Arial" w:cs="Arial"/>
        </w:rPr>
        <w:t>1.4</w:t>
      </w:r>
      <w:r w:rsidRPr="003C730A">
        <w:rPr>
          <w:rFonts w:ascii="Arial" w:eastAsia="Calibri" w:hAnsi="Arial" w:cs="Arial"/>
        </w:rPr>
        <w:t>m</w:t>
      </w:r>
      <w:r w:rsidR="00332AF4">
        <w:rPr>
          <w:rFonts w:ascii="Arial" w:eastAsia="Calibri" w:hAnsi="Arial" w:cs="Arial"/>
        </w:rPr>
        <w:t>.</w:t>
      </w:r>
    </w:p>
    <w:p w14:paraId="6D162607" w14:textId="77777777" w:rsidR="000A5084" w:rsidRPr="00601B12" w:rsidRDefault="000A5084" w:rsidP="000A5084">
      <w:pPr>
        <w:autoSpaceDE w:val="0"/>
        <w:autoSpaceDN w:val="0"/>
        <w:adjustRightInd w:val="0"/>
        <w:ind w:left="709" w:right="568" w:hanging="709"/>
        <w:jc w:val="both"/>
        <w:rPr>
          <w:rFonts w:ascii="Arial" w:eastAsia="Calibri" w:hAnsi="Arial" w:cs="Arial"/>
          <w:lang w:eastAsia="en-US"/>
        </w:rPr>
      </w:pPr>
    </w:p>
    <w:p w14:paraId="6D162608" w14:textId="5E20A70F" w:rsidR="000A5084" w:rsidRPr="00030C22" w:rsidRDefault="000A5084" w:rsidP="007337FE">
      <w:pPr>
        <w:pStyle w:val="ListParagraph"/>
        <w:numPr>
          <w:ilvl w:val="0"/>
          <w:numId w:val="88"/>
        </w:numPr>
        <w:autoSpaceDE w:val="0"/>
        <w:autoSpaceDN w:val="0"/>
        <w:adjustRightInd w:val="0"/>
        <w:spacing w:after="0" w:line="240" w:lineRule="auto"/>
        <w:ind w:right="568"/>
        <w:jc w:val="both"/>
        <w:rPr>
          <w:rFonts w:ascii="Arial" w:eastAsia="Calibri" w:hAnsi="Arial" w:cs="Arial"/>
        </w:rPr>
      </w:pPr>
      <w:r w:rsidRPr="00030C22">
        <w:rPr>
          <w:rFonts w:ascii="Arial" w:eastAsia="Calibri" w:hAnsi="Arial" w:cs="Arial"/>
        </w:rPr>
        <w:t xml:space="preserve">Benefit payments </w:t>
      </w:r>
      <w:r w:rsidR="00A241EA" w:rsidRPr="00030C22">
        <w:rPr>
          <w:rFonts w:ascii="Arial" w:eastAsia="Calibri" w:hAnsi="Arial" w:cs="Arial"/>
        </w:rPr>
        <w:t>increased</w:t>
      </w:r>
      <w:r w:rsidRPr="00030C22">
        <w:rPr>
          <w:rFonts w:ascii="Arial" w:eastAsia="Calibri" w:hAnsi="Arial" w:cs="Arial"/>
        </w:rPr>
        <w:t xml:space="preserve"> by £</w:t>
      </w:r>
      <w:r w:rsidR="00332AF4">
        <w:rPr>
          <w:rFonts w:ascii="Arial" w:eastAsia="Calibri" w:hAnsi="Arial" w:cs="Arial"/>
        </w:rPr>
        <w:t>0.</w:t>
      </w:r>
      <w:r w:rsidR="0081797D">
        <w:rPr>
          <w:rFonts w:ascii="Arial" w:eastAsia="Calibri" w:hAnsi="Arial" w:cs="Arial"/>
        </w:rPr>
        <w:t>3</w:t>
      </w:r>
      <w:r w:rsidR="00332AF4">
        <w:rPr>
          <w:rFonts w:ascii="Arial" w:eastAsia="Calibri" w:hAnsi="Arial" w:cs="Arial"/>
        </w:rPr>
        <w:t>m</w:t>
      </w:r>
      <w:r w:rsidRPr="00030C22">
        <w:rPr>
          <w:rFonts w:ascii="Arial" w:eastAsia="Calibri" w:hAnsi="Arial" w:cs="Arial"/>
        </w:rPr>
        <w:t xml:space="preserve"> </w:t>
      </w:r>
      <w:proofErr w:type="gramStart"/>
      <w:r w:rsidRPr="00030C22">
        <w:rPr>
          <w:rFonts w:ascii="Arial" w:eastAsia="Calibri" w:hAnsi="Arial" w:cs="Arial"/>
        </w:rPr>
        <w:t>as a result of</w:t>
      </w:r>
      <w:proofErr w:type="gramEnd"/>
      <w:r w:rsidRPr="00030C22">
        <w:rPr>
          <w:rFonts w:ascii="Arial" w:eastAsia="Calibri" w:hAnsi="Arial" w:cs="Arial"/>
        </w:rPr>
        <w:t xml:space="preserve"> an </w:t>
      </w:r>
      <w:r w:rsidR="00C77929" w:rsidRPr="00030C22">
        <w:rPr>
          <w:rFonts w:ascii="Arial" w:eastAsia="Calibri" w:hAnsi="Arial" w:cs="Arial"/>
        </w:rPr>
        <w:t>increase</w:t>
      </w:r>
      <w:r w:rsidRPr="00030C22">
        <w:rPr>
          <w:rFonts w:ascii="Arial" w:eastAsia="Calibri" w:hAnsi="Arial" w:cs="Arial"/>
        </w:rPr>
        <w:t xml:space="preserve"> in the </w:t>
      </w:r>
      <w:r w:rsidR="0077543E" w:rsidRPr="00030C22">
        <w:rPr>
          <w:rFonts w:ascii="Arial" w:eastAsia="Calibri" w:hAnsi="Arial" w:cs="Arial"/>
        </w:rPr>
        <w:t xml:space="preserve">amount of </w:t>
      </w:r>
      <w:r w:rsidR="00540FB0" w:rsidRPr="00030C22">
        <w:rPr>
          <w:rFonts w:ascii="Arial" w:eastAsia="Calibri" w:hAnsi="Arial" w:cs="Arial"/>
        </w:rPr>
        <w:t>pensions payments</w:t>
      </w:r>
      <w:r w:rsidR="0077543E" w:rsidRPr="00030C22">
        <w:rPr>
          <w:rFonts w:ascii="Arial" w:eastAsia="Calibri" w:hAnsi="Arial" w:cs="Arial"/>
        </w:rPr>
        <w:t xml:space="preserve"> made</w:t>
      </w:r>
      <w:r w:rsidRPr="00030C22">
        <w:rPr>
          <w:rFonts w:ascii="Arial" w:eastAsia="Calibri" w:hAnsi="Arial" w:cs="Arial"/>
        </w:rPr>
        <w:t>.</w:t>
      </w:r>
    </w:p>
    <w:p w14:paraId="1375D98C" w14:textId="2D0094AB" w:rsidR="000B0106" w:rsidRPr="001677E3" w:rsidRDefault="000B0106" w:rsidP="001677E3">
      <w:pPr>
        <w:autoSpaceDE w:val="0"/>
        <w:autoSpaceDN w:val="0"/>
        <w:adjustRightInd w:val="0"/>
        <w:ind w:right="568"/>
        <w:jc w:val="both"/>
        <w:rPr>
          <w:rFonts w:ascii="Arial" w:eastAsia="Calibri" w:hAnsi="Arial" w:cs="Arial"/>
        </w:rPr>
      </w:pPr>
    </w:p>
    <w:p w14:paraId="6D16260B" w14:textId="77777777" w:rsidR="00AF17F2" w:rsidRPr="00601B12" w:rsidRDefault="00AF17F2" w:rsidP="000A5084">
      <w:pPr>
        <w:autoSpaceDE w:val="0"/>
        <w:autoSpaceDN w:val="0"/>
        <w:adjustRightInd w:val="0"/>
        <w:ind w:right="568"/>
        <w:jc w:val="both"/>
        <w:rPr>
          <w:rFonts w:ascii="Arial" w:hAnsi="Arial" w:cs="Arial"/>
          <w:b/>
          <w:bCs/>
          <w:color w:val="000000" w:themeColor="text1"/>
          <w:sz w:val="22"/>
          <w:szCs w:val="22"/>
        </w:rPr>
      </w:pPr>
    </w:p>
    <w:p w14:paraId="6D16260C" w14:textId="77777777" w:rsidR="00C41C82" w:rsidRPr="00601B12" w:rsidRDefault="00C41C82" w:rsidP="000A5084">
      <w:pPr>
        <w:autoSpaceDE w:val="0"/>
        <w:autoSpaceDN w:val="0"/>
        <w:adjustRightInd w:val="0"/>
        <w:ind w:right="568"/>
        <w:jc w:val="both"/>
        <w:rPr>
          <w:rFonts w:ascii="Arial" w:hAnsi="Arial" w:cs="Arial"/>
          <w:color w:val="000000" w:themeColor="text1"/>
          <w:sz w:val="22"/>
          <w:szCs w:val="22"/>
        </w:rPr>
      </w:pPr>
      <w:r w:rsidRPr="00601B12">
        <w:rPr>
          <w:rFonts w:ascii="Arial" w:hAnsi="Arial" w:cs="Arial"/>
          <w:b/>
          <w:bCs/>
          <w:color w:val="000000" w:themeColor="text1"/>
          <w:sz w:val="22"/>
          <w:szCs w:val="22"/>
        </w:rPr>
        <w:t>Explanatory Foreword</w:t>
      </w:r>
    </w:p>
    <w:p w14:paraId="6D16260D" w14:textId="77777777" w:rsidR="00C41C82" w:rsidRPr="00601B12" w:rsidRDefault="00C41C82" w:rsidP="000A5084">
      <w:pPr>
        <w:autoSpaceDE w:val="0"/>
        <w:autoSpaceDN w:val="0"/>
        <w:adjustRightInd w:val="0"/>
        <w:ind w:left="567" w:right="568"/>
        <w:jc w:val="both"/>
        <w:rPr>
          <w:rFonts w:ascii="Arial" w:hAnsi="Arial" w:cs="Arial"/>
          <w:color w:val="000000" w:themeColor="text1"/>
          <w:sz w:val="22"/>
          <w:szCs w:val="22"/>
        </w:rPr>
      </w:pPr>
    </w:p>
    <w:p w14:paraId="6D16260E" w14:textId="77777777" w:rsidR="00C41C82" w:rsidRPr="00601B12" w:rsidRDefault="00C41C82" w:rsidP="000A5084">
      <w:pPr>
        <w:autoSpaceDE w:val="0"/>
        <w:autoSpaceDN w:val="0"/>
        <w:adjustRightInd w:val="0"/>
        <w:ind w:right="568"/>
        <w:jc w:val="both"/>
        <w:rPr>
          <w:rFonts w:ascii="Arial" w:hAnsi="Arial" w:cs="Arial"/>
          <w:color w:val="000000" w:themeColor="text1"/>
          <w:sz w:val="22"/>
          <w:szCs w:val="22"/>
        </w:rPr>
      </w:pPr>
      <w:r w:rsidRPr="00601B12">
        <w:rPr>
          <w:rFonts w:ascii="Arial" w:hAnsi="Arial" w:cs="Arial"/>
          <w:color w:val="000000" w:themeColor="text1"/>
          <w:sz w:val="22"/>
          <w:szCs w:val="22"/>
        </w:rPr>
        <w:t xml:space="preserve">The primary function of the Council in respect of these accounts is as an Administering Body to the Fund. </w:t>
      </w:r>
    </w:p>
    <w:p w14:paraId="6D16260F" w14:textId="77777777" w:rsidR="00C41C82" w:rsidRPr="00601B12" w:rsidRDefault="00C41C82" w:rsidP="000A5084">
      <w:pPr>
        <w:autoSpaceDE w:val="0"/>
        <w:autoSpaceDN w:val="0"/>
        <w:adjustRightInd w:val="0"/>
        <w:ind w:left="567" w:right="568"/>
        <w:jc w:val="both"/>
        <w:rPr>
          <w:rFonts w:ascii="Arial" w:hAnsi="Arial" w:cs="Arial"/>
          <w:color w:val="000000" w:themeColor="text1"/>
          <w:sz w:val="22"/>
          <w:szCs w:val="22"/>
        </w:rPr>
      </w:pPr>
    </w:p>
    <w:p w14:paraId="6D162610" w14:textId="33BCF4EE" w:rsidR="00C41C82" w:rsidRPr="00E16F60" w:rsidRDefault="00C41C82" w:rsidP="000A5084">
      <w:pPr>
        <w:autoSpaceDE w:val="0"/>
        <w:autoSpaceDN w:val="0"/>
        <w:adjustRightInd w:val="0"/>
        <w:ind w:right="568"/>
        <w:jc w:val="both"/>
        <w:rPr>
          <w:rFonts w:ascii="Arial" w:hAnsi="Arial" w:cs="Arial"/>
          <w:color w:val="000000" w:themeColor="text1"/>
          <w:sz w:val="22"/>
          <w:szCs w:val="22"/>
        </w:rPr>
      </w:pPr>
      <w:r w:rsidRPr="00E16F60">
        <w:rPr>
          <w:rFonts w:ascii="Arial" w:hAnsi="Arial" w:cs="Arial"/>
          <w:color w:val="000000" w:themeColor="text1"/>
          <w:sz w:val="22"/>
          <w:szCs w:val="22"/>
        </w:rPr>
        <w:t xml:space="preserve">The </w:t>
      </w:r>
      <w:r w:rsidR="00F22964">
        <w:rPr>
          <w:rFonts w:ascii="Arial" w:hAnsi="Arial" w:cs="Arial"/>
          <w:color w:val="000000" w:themeColor="text1"/>
          <w:sz w:val="22"/>
          <w:szCs w:val="22"/>
        </w:rPr>
        <w:t>202</w:t>
      </w:r>
      <w:r w:rsidR="005F316A">
        <w:rPr>
          <w:rFonts w:ascii="Arial" w:hAnsi="Arial" w:cs="Arial"/>
          <w:color w:val="000000" w:themeColor="text1"/>
          <w:sz w:val="22"/>
          <w:szCs w:val="22"/>
        </w:rPr>
        <w:t>1/22</w:t>
      </w:r>
      <w:r w:rsidRPr="00E16F60">
        <w:rPr>
          <w:rFonts w:ascii="Arial" w:hAnsi="Arial" w:cs="Arial"/>
          <w:color w:val="000000" w:themeColor="text1"/>
          <w:sz w:val="22"/>
          <w:szCs w:val="22"/>
        </w:rPr>
        <w:t xml:space="preserve"> Fund Accounts consist of:</w:t>
      </w:r>
    </w:p>
    <w:p w14:paraId="6D162611" w14:textId="77777777" w:rsidR="00C41C82" w:rsidRPr="00E16F60" w:rsidRDefault="00C41C82" w:rsidP="000A5084">
      <w:pPr>
        <w:autoSpaceDE w:val="0"/>
        <w:autoSpaceDN w:val="0"/>
        <w:adjustRightInd w:val="0"/>
        <w:ind w:right="568"/>
        <w:jc w:val="both"/>
        <w:rPr>
          <w:rFonts w:ascii="Arial" w:hAnsi="Arial" w:cs="Arial"/>
          <w:color w:val="000000" w:themeColor="text1"/>
          <w:sz w:val="22"/>
          <w:szCs w:val="22"/>
        </w:rPr>
      </w:pPr>
    </w:p>
    <w:p w14:paraId="6D162612" w14:textId="77777777" w:rsidR="00C41C82" w:rsidRPr="00E16F60" w:rsidRDefault="00C41C82" w:rsidP="007337FE">
      <w:pPr>
        <w:pStyle w:val="ListParagraph"/>
        <w:numPr>
          <w:ilvl w:val="0"/>
          <w:numId w:val="60"/>
        </w:numPr>
        <w:autoSpaceDE w:val="0"/>
        <w:autoSpaceDN w:val="0"/>
        <w:adjustRightInd w:val="0"/>
        <w:ind w:left="709" w:right="568"/>
        <w:jc w:val="both"/>
        <w:rPr>
          <w:rFonts w:ascii="Arial" w:hAnsi="Arial" w:cs="Arial"/>
          <w:color w:val="000000" w:themeColor="text1"/>
        </w:rPr>
      </w:pPr>
      <w:r w:rsidRPr="00E16F60">
        <w:rPr>
          <w:rFonts w:ascii="Arial" w:hAnsi="Arial" w:cs="Arial"/>
          <w:color w:val="000000" w:themeColor="text1"/>
        </w:rPr>
        <w:t xml:space="preserve">Fund </w:t>
      </w:r>
      <w:proofErr w:type="gramStart"/>
      <w:r w:rsidRPr="00E16F60">
        <w:rPr>
          <w:rFonts w:ascii="Arial" w:hAnsi="Arial" w:cs="Arial"/>
          <w:color w:val="000000" w:themeColor="text1"/>
        </w:rPr>
        <w:t>Account;</w:t>
      </w:r>
      <w:proofErr w:type="gramEnd"/>
    </w:p>
    <w:p w14:paraId="6D162613" w14:textId="77777777" w:rsidR="00C41C82" w:rsidRPr="00E16F60" w:rsidRDefault="00C41C82" w:rsidP="007337FE">
      <w:pPr>
        <w:pStyle w:val="ListParagraph"/>
        <w:numPr>
          <w:ilvl w:val="0"/>
          <w:numId w:val="60"/>
        </w:numPr>
        <w:autoSpaceDE w:val="0"/>
        <w:autoSpaceDN w:val="0"/>
        <w:adjustRightInd w:val="0"/>
        <w:ind w:left="709" w:right="568"/>
        <w:jc w:val="both"/>
        <w:rPr>
          <w:rFonts w:ascii="Arial" w:hAnsi="Arial" w:cs="Arial"/>
          <w:color w:val="000000" w:themeColor="text1"/>
        </w:rPr>
      </w:pPr>
      <w:r w:rsidRPr="00E16F60">
        <w:rPr>
          <w:rFonts w:ascii="Arial" w:hAnsi="Arial" w:cs="Arial"/>
          <w:color w:val="000000" w:themeColor="text1"/>
        </w:rPr>
        <w:t xml:space="preserve">Returns from </w:t>
      </w:r>
      <w:proofErr w:type="gramStart"/>
      <w:r w:rsidRPr="00E16F60">
        <w:rPr>
          <w:rFonts w:ascii="Arial" w:hAnsi="Arial" w:cs="Arial"/>
          <w:color w:val="000000" w:themeColor="text1"/>
        </w:rPr>
        <w:t>Investments;</w:t>
      </w:r>
      <w:proofErr w:type="gramEnd"/>
      <w:r w:rsidRPr="00E16F60">
        <w:rPr>
          <w:rFonts w:ascii="Arial" w:hAnsi="Arial" w:cs="Arial"/>
          <w:color w:val="000000" w:themeColor="text1"/>
        </w:rPr>
        <w:t xml:space="preserve"> </w:t>
      </w:r>
    </w:p>
    <w:p w14:paraId="6D162614" w14:textId="77777777" w:rsidR="00C41C82" w:rsidRPr="00E16F60" w:rsidRDefault="00C41C82" w:rsidP="007337FE">
      <w:pPr>
        <w:pStyle w:val="ListParagraph"/>
        <w:numPr>
          <w:ilvl w:val="0"/>
          <w:numId w:val="60"/>
        </w:numPr>
        <w:autoSpaceDE w:val="0"/>
        <w:autoSpaceDN w:val="0"/>
        <w:adjustRightInd w:val="0"/>
        <w:ind w:left="709" w:right="568"/>
        <w:jc w:val="both"/>
        <w:rPr>
          <w:rFonts w:ascii="Arial" w:hAnsi="Arial" w:cs="Arial"/>
          <w:color w:val="000000" w:themeColor="text1"/>
        </w:rPr>
      </w:pPr>
      <w:r w:rsidRPr="00E16F60">
        <w:rPr>
          <w:rFonts w:ascii="Arial" w:hAnsi="Arial" w:cs="Arial"/>
          <w:color w:val="000000" w:themeColor="text1"/>
        </w:rPr>
        <w:t>Net Assets Statement; and</w:t>
      </w:r>
    </w:p>
    <w:p w14:paraId="6D162615" w14:textId="77777777" w:rsidR="00C41C82" w:rsidRPr="00E16F60" w:rsidRDefault="00C41C82" w:rsidP="007337FE">
      <w:pPr>
        <w:pStyle w:val="ListParagraph"/>
        <w:numPr>
          <w:ilvl w:val="0"/>
          <w:numId w:val="60"/>
        </w:numPr>
        <w:autoSpaceDE w:val="0"/>
        <w:autoSpaceDN w:val="0"/>
        <w:adjustRightInd w:val="0"/>
        <w:ind w:left="709" w:right="568"/>
        <w:jc w:val="both"/>
        <w:rPr>
          <w:rFonts w:ascii="Arial" w:hAnsi="Arial" w:cs="Arial"/>
          <w:color w:val="000000" w:themeColor="text1"/>
        </w:rPr>
      </w:pPr>
      <w:r w:rsidRPr="00E16F60">
        <w:rPr>
          <w:rFonts w:ascii="Arial" w:hAnsi="Arial" w:cs="Arial"/>
          <w:color w:val="000000" w:themeColor="text1"/>
        </w:rPr>
        <w:t>Notes to the Accounts.</w:t>
      </w:r>
    </w:p>
    <w:p w14:paraId="6D162616" w14:textId="77777777" w:rsidR="00C41C82" w:rsidRPr="00601B12" w:rsidRDefault="00C41C82" w:rsidP="000A5084">
      <w:pPr>
        <w:autoSpaceDE w:val="0"/>
        <w:autoSpaceDN w:val="0"/>
        <w:adjustRightInd w:val="0"/>
        <w:ind w:right="568"/>
        <w:jc w:val="both"/>
        <w:rPr>
          <w:rFonts w:ascii="Arial" w:hAnsi="Arial" w:cs="Arial"/>
          <w:color w:val="000000" w:themeColor="text1"/>
          <w:sz w:val="22"/>
          <w:szCs w:val="22"/>
        </w:rPr>
      </w:pPr>
    </w:p>
    <w:p w14:paraId="6D162617" w14:textId="77777777" w:rsidR="00C41C82" w:rsidRPr="00601B12" w:rsidRDefault="00C41C82" w:rsidP="000A5084">
      <w:pPr>
        <w:autoSpaceDE w:val="0"/>
        <w:autoSpaceDN w:val="0"/>
        <w:adjustRightInd w:val="0"/>
        <w:ind w:right="568"/>
        <w:jc w:val="both"/>
        <w:rPr>
          <w:rFonts w:ascii="Arial" w:hAnsi="Arial" w:cs="Arial"/>
          <w:color w:val="000000" w:themeColor="text1"/>
          <w:sz w:val="22"/>
          <w:szCs w:val="22"/>
        </w:rPr>
      </w:pPr>
      <w:r w:rsidRPr="00601B12">
        <w:rPr>
          <w:rFonts w:ascii="Arial" w:hAnsi="Arial" w:cs="Arial"/>
          <w:b/>
          <w:bCs/>
          <w:color w:val="000000" w:themeColor="text1"/>
          <w:sz w:val="22"/>
          <w:szCs w:val="22"/>
        </w:rPr>
        <w:t>Publication</w:t>
      </w:r>
    </w:p>
    <w:p w14:paraId="6D162618" w14:textId="77777777" w:rsidR="00C41C82" w:rsidRPr="00601B12" w:rsidRDefault="00C41C82" w:rsidP="000A5084">
      <w:pPr>
        <w:autoSpaceDE w:val="0"/>
        <w:autoSpaceDN w:val="0"/>
        <w:adjustRightInd w:val="0"/>
        <w:ind w:left="567" w:right="568"/>
        <w:jc w:val="both"/>
        <w:rPr>
          <w:rFonts w:ascii="Arial" w:hAnsi="Arial" w:cs="Arial"/>
          <w:b/>
          <w:bCs/>
          <w:color w:val="000000" w:themeColor="text1"/>
          <w:sz w:val="22"/>
          <w:szCs w:val="22"/>
        </w:rPr>
      </w:pPr>
    </w:p>
    <w:p w14:paraId="6D162619" w14:textId="77777777" w:rsidR="00C41C82" w:rsidRPr="00601B12" w:rsidRDefault="00C41C82" w:rsidP="000A5084">
      <w:pPr>
        <w:autoSpaceDE w:val="0"/>
        <w:autoSpaceDN w:val="0"/>
        <w:adjustRightInd w:val="0"/>
        <w:ind w:right="568"/>
        <w:jc w:val="both"/>
        <w:rPr>
          <w:rFonts w:ascii="Arial" w:hAnsi="Arial" w:cs="Arial"/>
          <w:color w:val="000000" w:themeColor="text1"/>
          <w:sz w:val="22"/>
          <w:szCs w:val="22"/>
        </w:rPr>
      </w:pPr>
      <w:r w:rsidRPr="00601B12">
        <w:rPr>
          <w:rFonts w:ascii="Arial" w:hAnsi="Arial" w:cs="Arial"/>
          <w:color w:val="000000" w:themeColor="text1"/>
          <w:sz w:val="22"/>
          <w:szCs w:val="22"/>
        </w:rPr>
        <w:t>This report will be made available through the Council’s website, the Fund’s website (www.lbbdpensionfund.org) and to all employers and members participating in the Fund as well as Council Members on request as appropriate. A copy of this document and all other documents referred to in this report can be obtained upon receipt of a written request to the Treasury and Pensions Manager.</w:t>
      </w:r>
    </w:p>
    <w:p w14:paraId="6D16261A" w14:textId="77777777" w:rsidR="00C41C82" w:rsidRPr="00601B12" w:rsidRDefault="00C41C82">
      <w:pPr>
        <w:spacing w:after="200" w:line="276" w:lineRule="auto"/>
        <w:rPr>
          <w:rFonts w:ascii="Arial" w:hAnsi="Arial" w:cs="Arial"/>
          <w:b/>
          <w:color w:val="000000" w:themeColor="text1"/>
          <w:sz w:val="32"/>
          <w:szCs w:val="32"/>
        </w:rPr>
      </w:pPr>
      <w:r w:rsidRPr="00601B12">
        <w:rPr>
          <w:rFonts w:ascii="Arial" w:hAnsi="Arial" w:cs="Arial"/>
          <w:b/>
          <w:color w:val="000000" w:themeColor="text1"/>
          <w:sz w:val="32"/>
          <w:szCs w:val="32"/>
        </w:rPr>
        <w:br w:type="page"/>
      </w:r>
    </w:p>
    <w:p w14:paraId="2CEA848D" w14:textId="77777777" w:rsidR="007721ED" w:rsidRPr="004F5743" w:rsidRDefault="007721ED" w:rsidP="007721ED">
      <w:pPr>
        <w:spacing w:after="200" w:line="276" w:lineRule="auto"/>
        <w:rPr>
          <w:rFonts w:ascii="Arial" w:hAnsi="Arial" w:cs="Arial"/>
          <w:b/>
          <w:color w:val="000000"/>
          <w:sz w:val="32"/>
          <w:szCs w:val="32"/>
        </w:rPr>
      </w:pPr>
      <w:bookmarkStart w:id="3" w:name="_Hlk51583963"/>
    </w:p>
    <w:p w14:paraId="3BEBE8C5" w14:textId="77777777" w:rsidR="007721ED" w:rsidRPr="00C93105" w:rsidRDefault="007721ED" w:rsidP="007721ED">
      <w:pPr>
        <w:ind w:left="720"/>
        <w:jc w:val="both"/>
        <w:rPr>
          <w:rFonts w:ascii="Arial" w:hAnsi="Arial" w:cs="Arial"/>
          <w:b/>
          <w:sz w:val="32"/>
          <w:szCs w:val="32"/>
        </w:rPr>
      </w:pPr>
    </w:p>
    <w:p w14:paraId="644D9559" w14:textId="77777777" w:rsidR="007721ED" w:rsidRPr="00C93105" w:rsidRDefault="007721ED" w:rsidP="007721ED">
      <w:pPr>
        <w:ind w:left="720"/>
        <w:jc w:val="both"/>
        <w:rPr>
          <w:rFonts w:ascii="Arial" w:hAnsi="Arial" w:cs="Arial"/>
          <w:sz w:val="22"/>
          <w:szCs w:val="22"/>
        </w:rPr>
      </w:pPr>
      <w:r>
        <w:rPr>
          <w:noProof/>
        </w:rPr>
        <w:drawing>
          <wp:anchor distT="0" distB="0" distL="114300" distR="114300" simplePos="0" relativeHeight="251660291" behindDoc="0" locked="1" layoutInCell="1" allowOverlap="1" wp14:anchorId="13BA2D6B" wp14:editId="686D1AE4">
            <wp:simplePos x="0" y="0"/>
            <wp:positionH relativeFrom="character">
              <wp:posOffset>-182245</wp:posOffset>
            </wp:positionH>
            <wp:positionV relativeFrom="line">
              <wp:posOffset>-74930</wp:posOffset>
            </wp:positionV>
            <wp:extent cx="5415280" cy="2141220"/>
            <wp:effectExtent l="0" t="0" r="0" b="0"/>
            <wp:wrapNone/>
            <wp:docPr id="28" name="Picture 28" descr="B&amp;D LOGO 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mp;D LOGO sm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15280" cy="21412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6751A0" w14:textId="77777777" w:rsidR="007721ED" w:rsidRPr="00C93105" w:rsidRDefault="007721ED" w:rsidP="007721ED">
      <w:pPr>
        <w:ind w:left="720"/>
        <w:jc w:val="both"/>
        <w:rPr>
          <w:rFonts w:ascii="Arial" w:hAnsi="Arial" w:cs="Arial"/>
          <w:sz w:val="22"/>
          <w:szCs w:val="22"/>
        </w:rPr>
      </w:pPr>
    </w:p>
    <w:p w14:paraId="09B315E2" w14:textId="77777777" w:rsidR="007721ED" w:rsidRPr="00C93105" w:rsidRDefault="007721ED" w:rsidP="007721ED">
      <w:pPr>
        <w:ind w:left="720"/>
        <w:jc w:val="both"/>
        <w:rPr>
          <w:rFonts w:ascii="Arial" w:hAnsi="Arial" w:cs="Arial"/>
          <w:sz w:val="22"/>
          <w:szCs w:val="22"/>
        </w:rPr>
      </w:pPr>
    </w:p>
    <w:p w14:paraId="365B3FC4" w14:textId="77777777" w:rsidR="007721ED" w:rsidRPr="00C93105" w:rsidRDefault="007721ED" w:rsidP="007721ED">
      <w:pPr>
        <w:ind w:left="720"/>
        <w:jc w:val="both"/>
        <w:rPr>
          <w:rFonts w:ascii="Arial" w:hAnsi="Arial" w:cs="Arial"/>
          <w:sz w:val="22"/>
          <w:szCs w:val="22"/>
        </w:rPr>
      </w:pPr>
    </w:p>
    <w:p w14:paraId="65AA12AD" w14:textId="77777777" w:rsidR="007721ED" w:rsidRPr="00C93105" w:rsidRDefault="007721ED" w:rsidP="007721ED">
      <w:pPr>
        <w:ind w:left="720"/>
        <w:jc w:val="both"/>
        <w:rPr>
          <w:rFonts w:ascii="Arial" w:hAnsi="Arial" w:cs="Arial"/>
          <w:sz w:val="22"/>
          <w:szCs w:val="22"/>
        </w:rPr>
      </w:pPr>
    </w:p>
    <w:p w14:paraId="489B53D5" w14:textId="77777777" w:rsidR="007721ED" w:rsidRPr="00C93105" w:rsidRDefault="007721ED" w:rsidP="007721ED">
      <w:pPr>
        <w:ind w:left="720"/>
        <w:jc w:val="both"/>
        <w:rPr>
          <w:rFonts w:ascii="Arial" w:hAnsi="Arial" w:cs="Arial"/>
          <w:b/>
        </w:rPr>
      </w:pPr>
    </w:p>
    <w:p w14:paraId="09EBFC2E" w14:textId="77777777" w:rsidR="007721ED" w:rsidRPr="00C93105" w:rsidRDefault="007721ED" w:rsidP="007721ED">
      <w:pPr>
        <w:ind w:left="720"/>
        <w:jc w:val="both"/>
        <w:rPr>
          <w:rFonts w:ascii="Arial" w:hAnsi="Arial" w:cs="Arial"/>
          <w:b/>
        </w:rPr>
      </w:pPr>
    </w:p>
    <w:p w14:paraId="3D363678" w14:textId="77777777" w:rsidR="007721ED" w:rsidRPr="00C93105" w:rsidRDefault="007721ED" w:rsidP="007721ED">
      <w:pPr>
        <w:ind w:left="720"/>
        <w:jc w:val="both"/>
        <w:rPr>
          <w:rFonts w:ascii="Arial" w:hAnsi="Arial" w:cs="Arial"/>
          <w:b/>
        </w:rPr>
      </w:pPr>
    </w:p>
    <w:p w14:paraId="63D4778D" w14:textId="77777777" w:rsidR="007721ED" w:rsidRPr="00C93105" w:rsidRDefault="007721ED" w:rsidP="007721ED">
      <w:pPr>
        <w:ind w:left="720"/>
        <w:jc w:val="both"/>
        <w:rPr>
          <w:rFonts w:ascii="Arial" w:hAnsi="Arial" w:cs="Arial"/>
          <w:b/>
        </w:rPr>
      </w:pPr>
    </w:p>
    <w:p w14:paraId="68FB53E2" w14:textId="77777777" w:rsidR="007721ED" w:rsidRPr="00C93105" w:rsidRDefault="007721ED" w:rsidP="007721ED">
      <w:pPr>
        <w:ind w:left="720"/>
        <w:jc w:val="both"/>
        <w:rPr>
          <w:rFonts w:ascii="Arial" w:hAnsi="Arial" w:cs="Arial"/>
          <w:b/>
        </w:rPr>
      </w:pPr>
    </w:p>
    <w:p w14:paraId="0CCDE204" w14:textId="77777777" w:rsidR="007721ED" w:rsidRPr="00C93105" w:rsidRDefault="007721ED" w:rsidP="007721ED">
      <w:pPr>
        <w:ind w:left="720"/>
        <w:jc w:val="both"/>
        <w:rPr>
          <w:rFonts w:ascii="Arial" w:hAnsi="Arial" w:cs="Arial"/>
          <w:b/>
        </w:rPr>
      </w:pPr>
    </w:p>
    <w:p w14:paraId="51646FEB" w14:textId="77777777" w:rsidR="007721ED" w:rsidRPr="00C93105" w:rsidRDefault="007721ED" w:rsidP="007721ED">
      <w:pPr>
        <w:ind w:left="720"/>
        <w:jc w:val="both"/>
        <w:rPr>
          <w:rFonts w:ascii="Arial" w:hAnsi="Arial" w:cs="Arial"/>
          <w:b/>
        </w:rPr>
      </w:pPr>
    </w:p>
    <w:p w14:paraId="15267A9E" w14:textId="77777777" w:rsidR="007721ED" w:rsidRPr="00C93105" w:rsidRDefault="007721ED" w:rsidP="007721ED">
      <w:pPr>
        <w:ind w:left="720"/>
        <w:jc w:val="both"/>
        <w:rPr>
          <w:rFonts w:ascii="Arial" w:hAnsi="Arial" w:cs="Arial"/>
          <w:b/>
        </w:rPr>
      </w:pPr>
    </w:p>
    <w:p w14:paraId="003AB6A0" w14:textId="77777777" w:rsidR="007721ED" w:rsidRPr="00C93105" w:rsidRDefault="007721ED" w:rsidP="007721ED">
      <w:pPr>
        <w:ind w:left="720"/>
        <w:jc w:val="both"/>
        <w:rPr>
          <w:rFonts w:ascii="Arial" w:hAnsi="Arial" w:cs="Arial"/>
          <w:b/>
        </w:rPr>
      </w:pPr>
    </w:p>
    <w:p w14:paraId="677CC694" w14:textId="77777777" w:rsidR="007721ED" w:rsidRPr="00C93105" w:rsidRDefault="007721ED" w:rsidP="007721ED">
      <w:pPr>
        <w:ind w:left="720"/>
        <w:jc w:val="both"/>
        <w:rPr>
          <w:rFonts w:ascii="Arial" w:hAnsi="Arial" w:cs="Arial"/>
          <w:b/>
        </w:rPr>
      </w:pPr>
    </w:p>
    <w:p w14:paraId="38DB0D49" w14:textId="77777777" w:rsidR="007721ED" w:rsidRPr="00C93105" w:rsidRDefault="007721ED" w:rsidP="007721ED">
      <w:pPr>
        <w:ind w:left="720"/>
        <w:jc w:val="both"/>
        <w:rPr>
          <w:rFonts w:ascii="Arial" w:hAnsi="Arial" w:cs="Arial"/>
          <w:b/>
        </w:rPr>
      </w:pPr>
    </w:p>
    <w:p w14:paraId="46997280" w14:textId="77777777" w:rsidR="007721ED" w:rsidRPr="00EC7896" w:rsidRDefault="007721ED" w:rsidP="007721ED">
      <w:pPr>
        <w:jc w:val="center"/>
        <w:rPr>
          <w:rFonts w:ascii="Arial" w:hAnsi="Arial" w:cs="Arial"/>
          <w:b/>
          <w:sz w:val="96"/>
          <w:szCs w:val="96"/>
        </w:rPr>
      </w:pPr>
      <w:r w:rsidRPr="00E56494">
        <w:rPr>
          <w:rFonts w:ascii="Arial" w:hAnsi="Arial" w:cs="Arial"/>
          <w:b/>
          <w:sz w:val="96"/>
          <w:szCs w:val="96"/>
        </w:rPr>
        <w:t>Pension Fund Accounts</w:t>
      </w:r>
    </w:p>
    <w:p w14:paraId="07CA6F32" w14:textId="77777777" w:rsidR="007721ED" w:rsidRPr="003C4D10" w:rsidRDefault="007721ED" w:rsidP="007721ED">
      <w:pPr>
        <w:jc w:val="center"/>
        <w:rPr>
          <w:rFonts w:ascii="Arial" w:hAnsi="Arial" w:cs="Arial"/>
          <w:b/>
          <w:sz w:val="72"/>
          <w:szCs w:val="72"/>
        </w:rPr>
      </w:pPr>
    </w:p>
    <w:p w14:paraId="7C188AB5" w14:textId="77777777" w:rsidR="007721ED" w:rsidRPr="003C4D10" w:rsidRDefault="007721ED" w:rsidP="007721ED">
      <w:pPr>
        <w:jc w:val="center"/>
        <w:rPr>
          <w:rFonts w:ascii="Arial" w:hAnsi="Arial" w:cs="Arial"/>
          <w:b/>
          <w:sz w:val="72"/>
          <w:szCs w:val="72"/>
        </w:rPr>
      </w:pPr>
      <w:r w:rsidRPr="003C4D10">
        <w:rPr>
          <w:rFonts w:ascii="Arial" w:hAnsi="Arial" w:cs="Arial"/>
          <w:b/>
          <w:sz w:val="72"/>
          <w:szCs w:val="72"/>
        </w:rPr>
        <w:t>for the year ended</w:t>
      </w:r>
    </w:p>
    <w:p w14:paraId="548E2EC6" w14:textId="77777777" w:rsidR="007721ED" w:rsidRPr="003C4D10" w:rsidRDefault="007721ED" w:rsidP="007721ED">
      <w:pPr>
        <w:jc w:val="center"/>
        <w:rPr>
          <w:rFonts w:ascii="Arial" w:hAnsi="Arial" w:cs="Arial"/>
          <w:b/>
          <w:sz w:val="72"/>
          <w:szCs w:val="72"/>
        </w:rPr>
      </w:pPr>
    </w:p>
    <w:p w14:paraId="6DA546DB" w14:textId="1CC78E50" w:rsidR="007721ED" w:rsidRPr="003C4D10" w:rsidRDefault="007721ED" w:rsidP="007721ED">
      <w:pPr>
        <w:jc w:val="center"/>
        <w:rPr>
          <w:rFonts w:ascii="Arial" w:hAnsi="Arial" w:cs="Arial"/>
          <w:b/>
          <w:sz w:val="72"/>
          <w:szCs w:val="72"/>
        </w:rPr>
      </w:pPr>
      <w:r w:rsidRPr="003C4D10">
        <w:rPr>
          <w:rFonts w:ascii="Arial" w:hAnsi="Arial" w:cs="Arial"/>
          <w:b/>
          <w:sz w:val="72"/>
          <w:szCs w:val="72"/>
        </w:rPr>
        <w:t>31 March 20</w:t>
      </w:r>
      <w:r>
        <w:rPr>
          <w:rFonts w:ascii="Arial" w:hAnsi="Arial" w:cs="Arial"/>
          <w:b/>
          <w:sz w:val="72"/>
          <w:szCs w:val="72"/>
        </w:rPr>
        <w:t>2</w:t>
      </w:r>
      <w:r w:rsidR="00C2613F">
        <w:rPr>
          <w:rFonts w:ascii="Arial" w:hAnsi="Arial" w:cs="Arial"/>
          <w:b/>
          <w:sz w:val="72"/>
          <w:szCs w:val="72"/>
        </w:rPr>
        <w:t>2</w:t>
      </w:r>
    </w:p>
    <w:p w14:paraId="789C3318" w14:textId="77777777" w:rsidR="007721ED" w:rsidRPr="00C93105" w:rsidRDefault="007721ED" w:rsidP="007721ED">
      <w:pPr>
        <w:jc w:val="center"/>
        <w:rPr>
          <w:rFonts w:ascii="Arial" w:hAnsi="Arial" w:cs="Arial"/>
          <w:b/>
          <w:sz w:val="72"/>
          <w:szCs w:val="72"/>
        </w:rPr>
      </w:pPr>
    </w:p>
    <w:p w14:paraId="1B612385" w14:textId="77777777" w:rsidR="007721ED" w:rsidRPr="00C93105" w:rsidRDefault="007721ED" w:rsidP="007721ED">
      <w:pPr>
        <w:ind w:left="720"/>
        <w:jc w:val="center"/>
        <w:rPr>
          <w:rFonts w:ascii="Arial" w:hAnsi="Arial" w:cs="Arial"/>
          <w:b/>
          <w:sz w:val="72"/>
          <w:szCs w:val="72"/>
        </w:rPr>
      </w:pPr>
    </w:p>
    <w:p w14:paraId="5D3BDD88" w14:textId="77777777" w:rsidR="00411486" w:rsidRDefault="00411486" w:rsidP="007721ED">
      <w:pPr>
        <w:jc w:val="center"/>
        <w:rPr>
          <w:rFonts w:ascii="Arial" w:hAnsi="Arial" w:cs="Arial"/>
          <w:b/>
        </w:rPr>
      </w:pPr>
    </w:p>
    <w:p w14:paraId="2DE078E3" w14:textId="77777777" w:rsidR="00411486" w:rsidRDefault="00411486" w:rsidP="007721ED">
      <w:pPr>
        <w:jc w:val="center"/>
        <w:rPr>
          <w:rFonts w:ascii="Arial" w:hAnsi="Arial" w:cs="Arial"/>
          <w:b/>
        </w:rPr>
      </w:pPr>
    </w:p>
    <w:p w14:paraId="3576652F" w14:textId="77777777" w:rsidR="00411486" w:rsidRDefault="00411486" w:rsidP="007721ED">
      <w:pPr>
        <w:jc w:val="center"/>
        <w:rPr>
          <w:rFonts w:ascii="Arial" w:hAnsi="Arial" w:cs="Arial"/>
          <w:b/>
        </w:rPr>
      </w:pPr>
    </w:p>
    <w:p w14:paraId="1EABF304" w14:textId="77777777" w:rsidR="00411486" w:rsidRDefault="00411486" w:rsidP="007721ED">
      <w:pPr>
        <w:jc w:val="center"/>
        <w:rPr>
          <w:rFonts w:ascii="Arial" w:hAnsi="Arial" w:cs="Arial"/>
          <w:b/>
        </w:rPr>
      </w:pPr>
    </w:p>
    <w:p w14:paraId="3E764EF5" w14:textId="77777777" w:rsidR="00411486" w:rsidRDefault="00411486" w:rsidP="007721ED">
      <w:pPr>
        <w:jc w:val="center"/>
        <w:rPr>
          <w:rFonts w:ascii="Arial" w:hAnsi="Arial" w:cs="Arial"/>
          <w:b/>
        </w:rPr>
      </w:pPr>
    </w:p>
    <w:p w14:paraId="6D5AEEE1" w14:textId="77777777" w:rsidR="00411486" w:rsidRDefault="00411486" w:rsidP="007721ED">
      <w:pPr>
        <w:jc w:val="center"/>
        <w:rPr>
          <w:rFonts w:ascii="Arial" w:hAnsi="Arial" w:cs="Arial"/>
          <w:b/>
        </w:rPr>
      </w:pPr>
    </w:p>
    <w:p w14:paraId="2313B1D0" w14:textId="77777777" w:rsidR="00F753E8" w:rsidRPr="008A0A4E" w:rsidRDefault="00F753E8" w:rsidP="00F753E8">
      <w:pPr>
        <w:jc w:val="center"/>
        <w:rPr>
          <w:rFonts w:ascii="Arial" w:hAnsi="Arial" w:cs="Arial"/>
          <w:b/>
          <w:sz w:val="28"/>
          <w:szCs w:val="28"/>
        </w:rPr>
      </w:pPr>
      <w:r w:rsidRPr="008A0A4E">
        <w:rPr>
          <w:rFonts w:ascii="Arial" w:hAnsi="Arial" w:cs="Arial"/>
          <w:b/>
          <w:sz w:val="28"/>
          <w:szCs w:val="28"/>
        </w:rPr>
        <w:t xml:space="preserve">London Borough of Barking and Dagenham </w:t>
      </w:r>
    </w:p>
    <w:p w14:paraId="459942AB" w14:textId="77777777" w:rsidR="00F753E8" w:rsidRPr="008A0A4E" w:rsidRDefault="00F753E8" w:rsidP="00F753E8">
      <w:pPr>
        <w:jc w:val="center"/>
        <w:rPr>
          <w:rFonts w:ascii="Arial" w:hAnsi="Arial" w:cs="Arial"/>
          <w:b/>
          <w:bCs/>
          <w:color w:val="000000"/>
          <w:sz w:val="28"/>
          <w:szCs w:val="28"/>
        </w:rPr>
      </w:pPr>
      <w:r w:rsidRPr="008A0A4E">
        <w:rPr>
          <w:rFonts w:ascii="Arial" w:hAnsi="Arial" w:cs="Arial"/>
          <w:b/>
          <w:sz w:val="28"/>
          <w:szCs w:val="28"/>
        </w:rPr>
        <w:t xml:space="preserve">Pension </w:t>
      </w:r>
      <w:r w:rsidRPr="008A0A4E">
        <w:rPr>
          <w:rFonts w:ascii="Arial" w:hAnsi="Arial" w:cs="Arial"/>
          <w:b/>
          <w:bCs/>
          <w:color w:val="000000"/>
          <w:sz w:val="28"/>
          <w:szCs w:val="28"/>
        </w:rPr>
        <w:t>Fund Account</w:t>
      </w:r>
    </w:p>
    <w:p w14:paraId="239F6640" w14:textId="77777777" w:rsidR="00F753E8" w:rsidRPr="008A0A4E" w:rsidRDefault="00F753E8" w:rsidP="00F753E8">
      <w:pPr>
        <w:jc w:val="center"/>
        <w:rPr>
          <w:rFonts w:ascii="Arial" w:hAnsi="Arial" w:cs="Arial"/>
          <w:b/>
          <w:bCs/>
          <w:color w:val="000000"/>
          <w:sz w:val="28"/>
          <w:szCs w:val="28"/>
        </w:rPr>
      </w:pPr>
    </w:p>
    <w:tbl>
      <w:tblPr>
        <w:tblW w:w="9639" w:type="dxa"/>
        <w:tblLook w:val="04A0" w:firstRow="1" w:lastRow="0" w:firstColumn="1" w:lastColumn="0" w:noHBand="0" w:noVBand="1"/>
      </w:tblPr>
      <w:tblGrid>
        <w:gridCol w:w="5387"/>
        <w:gridCol w:w="1134"/>
        <w:gridCol w:w="1559"/>
        <w:gridCol w:w="1559"/>
      </w:tblGrid>
      <w:tr w:rsidR="00F753E8" w:rsidRPr="008A0A4E" w14:paraId="773D23DD" w14:textId="77777777" w:rsidTr="006E1769">
        <w:trPr>
          <w:trHeight w:val="234"/>
        </w:trPr>
        <w:tc>
          <w:tcPr>
            <w:tcW w:w="5387" w:type="dxa"/>
            <w:tcBorders>
              <w:top w:val="nil"/>
              <w:bottom w:val="nil"/>
              <w:right w:val="nil"/>
            </w:tcBorders>
            <w:shd w:val="clear" w:color="000000" w:fill="FFFFFF"/>
            <w:vAlign w:val="center"/>
            <w:hideMark/>
          </w:tcPr>
          <w:p w14:paraId="35226DB5" w14:textId="77777777" w:rsidR="00F753E8" w:rsidRPr="008A0A4E" w:rsidRDefault="00F753E8" w:rsidP="006E1769">
            <w:pPr>
              <w:jc w:val="center"/>
              <w:rPr>
                <w:rFonts w:ascii="Arial" w:hAnsi="Arial" w:cs="Arial"/>
                <w:b/>
                <w:bCs/>
                <w:color w:val="000000"/>
                <w:sz w:val="22"/>
                <w:szCs w:val="22"/>
              </w:rPr>
            </w:pPr>
            <w:bookmarkStart w:id="4" w:name="_Hlk9586995"/>
            <w:r w:rsidRPr="008A0A4E">
              <w:rPr>
                <w:rFonts w:ascii="Arial" w:hAnsi="Arial" w:cs="Arial"/>
                <w:b/>
                <w:bCs/>
                <w:color w:val="000000"/>
                <w:sz w:val="22"/>
                <w:szCs w:val="22"/>
              </w:rPr>
              <w:t> </w:t>
            </w:r>
          </w:p>
        </w:tc>
        <w:tc>
          <w:tcPr>
            <w:tcW w:w="1134" w:type="dxa"/>
            <w:tcBorders>
              <w:top w:val="nil"/>
              <w:left w:val="nil"/>
              <w:bottom w:val="nil"/>
              <w:right w:val="nil"/>
            </w:tcBorders>
            <w:shd w:val="clear" w:color="000000" w:fill="FFFFFF"/>
            <w:vAlign w:val="center"/>
            <w:hideMark/>
          </w:tcPr>
          <w:p w14:paraId="04D78509"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Note</w:t>
            </w:r>
          </w:p>
        </w:tc>
        <w:tc>
          <w:tcPr>
            <w:tcW w:w="1559" w:type="dxa"/>
            <w:tcBorders>
              <w:top w:val="nil"/>
              <w:left w:val="nil"/>
              <w:bottom w:val="nil"/>
              <w:right w:val="nil"/>
            </w:tcBorders>
            <w:shd w:val="clear" w:color="000000" w:fill="FFFFFF"/>
            <w:vAlign w:val="center"/>
          </w:tcPr>
          <w:p w14:paraId="5B175A4C" w14:textId="77777777" w:rsidR="00F753E8" w:rsidRPr="00455606" w:rsidRDefault="00F753E8" w:rsidP="006E1769">
            <w:pPr>
              <w:jc w:val="center"/>
              <w:rPr>
                <w:rFonts w:ascii="Arial" w:hAnsi="Arial" w:cs="Arial"/>
                <w:bCs/>
                <w:color w:val="000000"/>
                <w:sz w:val="22"/>
                <w:szCs w:val="22"/>
              </w:rPr>
            </w:pPr>
            <w:r w:rsidRPr="008A0A4E">
              <w:rPr>
                <w:rFonts w:ascii="Arial" w:hAnsi="Arial" w:cs="Arial"/>
                <w:b/>
                <w:color w:val="000000"/>
                <w:sz w:val="22"/>
                <w:szCs w:val="22"/>
              </w:rPr>
              <w:t>20</w:t>
            </w:r>
            <w:r>
              <w:rPr>
                <w:rFonts w:ascii="Arial" w:hAnsi="Arial" w:cs="Arial"/>
                <w:b/>
                <w:color w:val="000000"/>
                <w:sz w:val="22"/>
                <w:szCs w:val="22"/>
              </w:rPr>
              <w:t>20/21</w:t>
            </w:r>
          </w:p>
        </w:tc>
        <w:tc>
          <w:tcPr>
            <w:tcW w:w="1559" w:type="dxa"/>
            <w:tcBorders>
              <w:top w:val="nil"/>
              <w:left w:val="nil"/>
              <w:bottom w:val="nil"/>
              <w:right w:val="nil"/>
            </w:tcBorders>
            <w:shd w:val="clear" w:color="000000" w:fill="FFFFFF"/>
            <w:vAlign w:val="center"/>
          </w:tcPr>
          <w:p w14:paraId="29F00002" w14:textId="77777777" w:rsidR="00F753E8" w:rsidRPr="008A0A4E" w:rsidRDefault="00F753E8" w:rsidP="006E1769">
            <w:pPr>
              <w:jc w:val="center"/>
              <w:rPr>
                <w:rFonts w:ascii="Arial" w:hAnsi="Arial" w:cs="Arial"/>
                <w:b/>
                <w:color w:val="000000"/>
                <w:sz w:val="22"/>
                <w:szCs w:val="22"/>
              </w:rPr>
            </w:pPr>
            <w:r>
              <w:rPr>
                <w:rFonts w:ascii="Arial" w:hAnsi="Arial" w:cs="Arial"/>
                <w:b/>
                <w:color w:val="000000"/>
                <w:sz w:val="22"/>
                <w:szCs w:val="22"/>
              </w:rPr>
              <w:t>2021/22</w:t>
            </w:r>
          </w:p>
        </w:tc>
      </w:tr>
      <w:tr w:rsidR="00F753E8" w:rsidRPr="008A0A4E" w14:paraId="7756C6E7" w14:textId="77777777" w:rsidTr="006E1769">
        <w:trPr>
          <w:trHeight w:val="234"/>
        </w:trPr>
        <w:tc>
          <w:tcPr>
            <w:tcW w:w="5387" w:type="dxa"/>
            <w:tcBorders>
              <w:top w:val="nil"/>
              <w:bottom w:val="nil"/>
              <w:right w:val="nil"/>
            </w:tcBorders>
            <w:shd w:val="clear" w:color="000000" w:fill="FFFFFF"/>
            <w:noWrap/>
            <w:vAlign w:val="bottom"/>
            <w:hideMark/>
          </w:tcPr>
          <w:p w14:paraId="7F95DF00"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134" w:type="dxa"/>
            <w:tcBorders>
              <w:top w:val="nil"/>
              <w:left w:val="nil"/>
              <w:bottom w:val="nil"/>
              <w:right w:val="nil"/>
            </w:tcBorders>
            <w:shd w:val="clear" w:color="000000" w:fill="FFFFFF"/>
            <w:noWrap/>
            <w:vAlign w:val="bottom"/>
            <w:hideMark/>
          </w:tcPr>
          <w:p w14:paraId="3398FDCF"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nil"/>
              <w:left w:val="nil"/>
              <w:bottom w:val="nil"/>
              <w:right w:val="nil"/>
            </w:tcBorders>
            <w:shd w:val="clear" w:color="000000" w:fill="FFFFFF"/>
            <w:vAlign w:val="bottom"/>
          </w:tcPr>
          <w:p w14:paraId="0F4DBCF4" w14:textId="77777777" w:rsidR="00F753E8" w:rsidRPr="00455606" w:rsidRDefault="00F753E8" w:rsidP="006E1769">
            <w:pPr>
              <w:jc w:val="center"/>
              <w:rPr>
                <w:rFonts w:ascii="Arial" w:hAnsi="Arial" w:cs="Arial"/>
                <w:bCs/>
                <w:color w:val="000000"/>
                <w:sz w:val="22"/>
                <w:szCs w:val="22"/>
              </w:rPr>
            </w:pPr>
            <w:r w:rsidRPr="008A0A4E">
              <w:rPr>
                <w:rFonts w:ascii="Arial" w:hAnsi="Arial" w:cs="Arial"/>
                <w:b/>
                <w:color w:val="000000"/>
                <w:sz w:val="22"/>
                <w:szCs w:val="22"/>
              </w:rPr>
              <w:t>£000</w:t>
            </w:r>
          </w:p>
        </w:tc>
        <w:tc>
          <w:tcPr>
            <w:tcW w:w="1559" w:type="dxa"/>
            <w:tcBorders>
              <w:top w:val="nil"/>
              <w:left w:val="nil"/>
              <w:bottom w:val="nil"/>
              <w:right w:val="nil"/>
            </w:tcBorders>
            <w:shd w:val="clear" w:color="000000" w:fill="FFFFFF"/>
            <w:vAlign w:val="bottom"/>
          </w:tcPr>
          <w:p w14:paraId="34568C72" w14:textId="77777777" w:rsidR="00F753E8" w:rsidRPr="008A0A4E" w:rsidRDefault="00F753E8" w:rsidP="006E1769">
            <w:pPr>
              <w:jc w:val="center"/>
              <w:rPr>
                <w:rFonts w:ascii="Arial" w:hAnsi="Arial" w:cs="Arial"/>
                <w:b/>
                <w:color w:val="000000"/>
                <w:sz w:val="22"/>
                <w:szCs w:val="22"/>
              </w:rPr>
            </w:pPr>
            <w:r w:rsidRPr="008A0A4E">
              <w:rPr>
                <w:rFonts w:ascii="Arial" w:hAnsi="Arial" w:cs="Arial"/>
                <w:b/>
                <w:color w:val="000000"/>
                <w:sz w:val="22"/>
                <w:szCs w:val="22"/>
              </w:rPr>
              <w:t>£000</w:t>
            </w:r>
          </w:p>
        </w:tc>
      </w:tr>
      <w:tr w:rsidR="00F753E8" w:rsidRPr="00B64150" w14:paraId="1A269A5D" w14:textId="77777777" w:rsidTr="006E1769">
        <w:trPr>
          <w:trHeight w:val="234"/>
        </w:trPr>
        <w:tc>
          <w:tcPr>
            <w:tcW w:w="6521" w:type="dxa"/>
            <w:gridSpan w:val="2"/>
            <w:tcBorders>
              <w:top w:val="nil"/>
              <w:bottom w:val="nil"/>
              <w:right w:val="nil"/>
            </w:tcBorders>
            <w:shd w:val="clear" w:color="000000" w:fill="FFFFFF"/>
            <w:vAlign w:val="bottom"/>
            <w:hideMark/>
          </w:tcPr>
          <w:p w14:paraId="571995C9"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Dealings with members, employers and others directly involved in the scheme</w:t>
            </w:r>
          </w:p>
        </w:tc>
        <w:tc>
          <w:tcPr>
            <w:tcW w:w="1559" w:type="dxa"/>
            <w:tcBorders>
              <w:top w:val="nil"/>
              <w:left w:val="nil"/>
              <w:right w:val="nil"/>
            </w:tcBorders>
            <w:shd w:val="clear" w:color="000000" w:fill="FFFFFF"/>
            <w:noWrap/>
            <w:vAlign w:val="bottom"/>
          </w:tcPr>
          <w:p w14:paraId="0B942241" w14:textId="77777777" w:rsidR="00F753E8" w:rsidRPr="00455606" w:rsidRDefault="00F753E8" w:rsidP="006E1769">
            <w:pPr>
              <w:jc w:val="center"/>
              <w:rPr>
                <w:rFonts w:ascii="Arial" w:hAnsi="Arial" w:cs="Arial"/>
                <w:bCs/>
                <w:color w:val="000000"/>
                <w:sz w:val="22"/>
                <w:szCs w:val="22"/>
              </w:rPr>
            </w:pPr>
          </w:p>
        </w:tc>
        <w:tc>
          <w:tcPr>
            <w:tcW w:w="1559" w:type="dxa"/>
            <w:tcBorders>
              <w:top w:val="nil"/>
              <w:left w:val="nil"/>
              <w:right w:val="nil"/>
            </w:tcBorders>
            <w:shd w:val="clear" w:color="000000" w:fill="FFFFFF"/>
            <w:vAlign w:val="bottom"/>
          </w:tcPr>
          <w:p w14:paraId="4CF2D01C"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r>
      <w:tr w:rsidR="00F753E8" w:rsidRPr="00B64150" w14:paraId="01ECD7EB" w14:textId="77777777" w:rsidTr="006E1769">
        <w:trPr>
          <w:trHeight w:val="234"/>
        </w:trPr>
        <w:tc>
          <w:tcPr>
            <w:tcW w:w="5387" w:type="dxa"/>
            <w:tcBorders>
              <w:top w:val="nil"/>
              <w:bottom w:val="nil"/>
              <w:right w:val="nil"/>
            </w:tcBorders>
            <w:shd w:val="clear" w:color="000000" w:fill="FFFFFF"/>
            <w:noWrap/>
            <w:vAlign w:val="bottom"/>
            <w:hideMark/>
          </w:tcPr>
          <w:p w14:paraId="55FCB39B"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Contributions</w:t>
            </w:r>
          </w:p>
        </w:tc>
        <w:tc>
          <w:tcPr>
            <w:tcW w:w="1134" w:type="dxa"/>
            <w:tcBorders>
              <w:top w:val="nil"/>
              <w:left w:val="nil"/>
              <w:bottom w:val="nil"/>
              <w:right w:val="nil"/>
            </w:tcBorders>
            <w:shd w:val="clear" w:color="000000" w:fill="FFFFFF"/>
            <w:noWrap/>
            <w:vAlign w:val="bottom"/>
            <w:hideMark/>
          </w:tcPr>
          <w:p w14:paraId="5A8328A2"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8</w:t>
            </w:r>
          </w:p>
        </w:tc>
        <w:tc>
          <w:tcPr>
            <w:tcW w:w="1559" w:type="dxa"/>
            <w:tcBorders>
              <w:top w:val="nil"/>
              <w:left w:val="nil"/>
              <w:right w:val="nil"/>
            </w:tcBorders>
            <w:shd w:val="clear" w:color="000000" w:fill="FFFFFF"/>
            <w:vAlign w:val="bottom"/>
          </w:tcPr>
          <w:p w14:paraId="74BABB32"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46,161</w:t>
            </w:r>
          </w:p>
        </w:tc>
        <w:tc>
          <w:tcPr>
            <w:tcW w:w="1559" w:type="dxa"/>
            <w:tcBorders>
              <w:top w:val="nil"/>
              <w:left w:val="nil"/>
              <w:bottom w:val="nil"/>
              <w:right w:val="nil"/>
            </w:tcBorders>
            <w:shd w:val="clear" w:color="000000" w:fill="FFFFFF"/>
            <w:noWrap/>
            <w:vAlign w:val="bottom"/>
          </w:tcPr>
          <w:p w14:paraId="3AAC6008"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47,558</w:t>
            </w:r>
          </w:p>
        </w:tc>
      </w:tr>
      <w:tr w:rsidR="00F753E8" w:rsidRPr="00B64150" w14:paraId="2BC5BA46" w14:textId="77777777" w:rsidTr="006E1769">
        <w:trPr>
          <w:trHeight w:val="247"/>
        </w:trPr>
        <w:tc>
          <w:tcPr>
            <w:tcW w:w="5387" w:type="dxa"/>
            <w:tcBorders>
              <w:top w:val="nil"/>
              <w:bottom w:val="nil"/>
              <w:right w:val="nil"/>
            </w:tcBorders>
            <w:shd w:val="clear" w:color="000000" w:fill="FFFFFF"/>
            <w:noWrap/>
            <w:vAlign w:val="bottom"/>
            <w:hideMark/>
          </w:tcPr>
          <w:p w14:paraId="76241102"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Transfers in from other pension funds</w:t>
            </w:r>
          </w:p>
        </w:tc>
        <w:tc>
          <w:tcPr>
            <w:tcW w:w="1134" w:type="dxa"/>
            <w:tcBorders>
              <w:top w:val="nil"/>
              <w:left w:val="nil"/>
              <w:bottom w:val="nil"/>
              <w:right w:val="nil"/>
            </w:tcBorders>
            <w:shd w:val="clear" w:color="000000" w:fill="FFFFFF"/>
            <w:noWrap/>
            <w:vAlign w:val="bottom"/>
            <w:hideMark/>
          </w:tcPr>
          <w:p w14:paraId="60AD743C"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9</w:t>
            </w:r>
          </w:p>
        </w:tc>
        <w:tc>
          <w:tcPr>
            <w:tcW w:w="1559" w:type="dxa"/>
            <w:tcBorders>
              <w:top w:val="nil"/>
              <w:left w:val="nil"/>
              <w:bottom w:val="single" w:sz="4" w:space="0" w:color="auto"/>
              <w:right w:val="nil"/>
            </w:tcBorders>
            <w:shd w:val="clear" w:color="000000" w:fill="FFFFFF"/>
            <w:vAlign w:val="bottom"/>
          </w:tcPr>
          <w:p w14:paraId="795111F6"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3,521</w:t>
            </w:r>
          </w:p>
        </w:tc>
        <w:tc>
          <w:tcPr>
            <w:tcW w:w="1559" w:type="dxa"/>
            <w:tcBorders>
              <w:top w:val="nil"/>
              <w:left w:val="nil"/>
              <w:bottom w:val="single" w:sz="8" w:space="0" w:color="auto"/>
              <w:right w:val="nil"/>
            </w:tcBorders>
            <w:shd w:val="clear" w:color="auto" w:fill="auto"/>
            <w:noWrap/>
            <w:vAlign w:val="bottom"/>
          </w:tcPr>
          <w:p w14:paraId="362B0759"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3,612</w:t>
            </w:r>
          </w:p>
        </w:tc>
      </w:tr>
      <w:tr w:rsidR="00F753E8" w:rsidRPr="00B64150" w14:paraId="17FB69DD" w14:textId="77777777" w:rsidTr="006E1769">
        <w:trPr>
          <w:trHeight w:val="247"/>
        </w:trPr>
        <w:tc>
          <w:tcPr>
            <w:tcW w:w="5387" w:type="dxa"/>
            <w:tcBorders>
              <w:top w:val="nil"/>
              <w:bottom w:val="nil"/>
              <w:right w:val="nil"/>
            </w:tcBorders>
            <w:shd w:val="clear" w:color="000000" w:fill="FFFFFF"/>
            <w:noWrap/>
            <w:vAlign w:val="bottom"/>
            <w:hideMark/>
          </w:tcPr>
          <w:p w14:paraId="5B87DA35" w14:textId="77777777" w:rsidR="00F753E8" w:rsidRPr="008A0A4E" w:rsidRDefault="00F753E8" w:rsidP="006E1769">
            <w:pPr>
              <w:ind w:left="32"/>
              <w:rPr>
                <w:rFonts w:ascii="Arial" w:hAnsi="Arial" w:cs="Arial"/>
                <w:b/>
                <w:bCs/>
                <w:color w:val="000000"/>
                <w:sz w:val="22"/>
                <w:szCs w:val="22"/>
              </w:rPr>
            </w:pPr>
            <w:r w:rsidRPr="008A0A4E">
              <w:rPr>
                <w:rFonts w:ascii="Arial" w:hAnsi="Arial" w:cs="Arial"/>
                <w:b/>
                <w:bCs/>
                <w:color w:val="000000"/>
                <w:sz w:val="22"/>
                <w:szCs w:val="22"/>
              </w:rPr>
              <w:t> </w:t>
            </w:r>
          </w:p>
        </w:tc>
        <w:tc>
          <w:tcPr>
            <w:tcW w:w="1134" w:type="dxa"/>
            <w:tcBorders>
              <w:top w:val="nil"/>
              <w:left w:val="nil"/>
              <w:bottom w:val="nil"/>
              <w:right w:val="nil"/>
            </w:tcBorders>
            <w:shd w:val="clear" w:color="000000" w:fill="FFFFFF"/>
            <w:noWrap/>
            <w:vAlign w:val="bottom"/>
            <w:hideMark/>
          </w:tcPr>
          <w:p w14:paraId="05CB07BD"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single" w:sz="4" w:space="0" w:color="auto"/>
              <w:left w:val="nil"/>
              <w:bottom w:val="single" w:sz="4" w:space="0" w:color="auto"/>
              <w:right w:val="nil"/>
            </w:tcBorders>
            <w:shd w:val="clear" w:color="000000" w:fill="FFFFFF"/>
            <w:vAlign w:val="bottom"/>
          </w:tcPr>
          <w:p w14:paraId="58F48106"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49,682</w:t>
            </w:r>
          </w:p>
        </w:tc>
        <w:tc>
          <w:tcPr>
            <w:tcW w:w="1559" w:type="dxa"/>
            <w:tcBorders>
              <w:top w:val="nil"/>
              <w:left w:val="nil"/>
              <w:bottom w:val="single" w:sz="8" w:space="0" w:color="auto"/>
              <w:right w:val="nil"/>
            </w:tcBorders>
            <w:shd w:val="clear" w:color="000000" w:fill="FFFFFF"/>
            <w:noWrap/>
            <w:vAlign w:val="bottom"/>
          </w:tcPr>
          <w:p w14:paraId="3706B931"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51,170</w:t>
            </w:r>
          </w:p>
        </w:tc>
      </w:tr>
      <w:tr w:rsidR="00F753E8" w:rsidRPr="00B64150" w14:paraId="411FA7CF" w14:textId="77777777" w:rsidTr="006E1769">
        <w:trPr>
          <w:trHeight w:val="234"/>
        </w:trPr>
        <w:tc>
          <w:tcPr>
            <w:tcW w:w="5387" w:type="dxa"/>
            <w:tcBorders>
              <w:top w:val="nil"/>
              <w:bottom w:val="nil"/>
              <w:right w:val="nil"/>
            </w:tcBorders>
            <w:shd w:val="clear" w:color="000000" w:fill="FFFFFF"/>
            <w:noWrap/>
            <w:vAlign w:val="bottom"/>
            <w:hideMark/>
          </w:tcPr>
          <w:p w14:paraId="23190DB1"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 </w:t>
            </w:r>
          </w:p>
        </w:tc>
        <w:tc>
          <w:tcPr>
            <w:tcW w:w="1134" w:type="dxa"/>
            <w:tcBorders>
              <w:top w:val="nil"/>
              <w:left w:val="nil"/>
              <w:bottom w:val="nil"/>
              <w:right w:val="nil"/>
            </w:tcBorders>
            <w:shd w:val="clear" w:color="000000" w:fill="FFFFFF"/>
            <w:noWrap/>
            <w:vAlign w:val="bottom"/>
            <w:hideMark/>
          </w:tcPr>
          <w:p w14:paraId="132F00F1"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single" w:sz="4" w:space="0" w:color="auto"/>
              <w:left w:val="nil"/>
              <w:bottom w:val="nil"/>
              <w:right w:val="nil"/>
            </w:tcBorders>
            <w:shd w:val="clear" w:color="000000" w:fill="FFFFFF"/>
            <w:vAlign w:val="bottom"/>
          </w:tcPr>
          <w:p w14:paraId="0D43D587" w14:textId="77777777" w:rsidR="00F753E8" w:rsidRPr="00D75424" w:rsidRDefault="00F753E8" w:rsidP="006E1769">
            <w:pPr>
              <w:jc w:val="right"/>
              <w:rPr>
                <w:rFonts w:ascii="Arial" w:hAnsi="Arial" w:cs="Arial"/>
                <w:color w:val="000000"/>
                <w:sz w:val="22"/>
                <w:szCs w:val="22"/>
              </w:rPr>
            </w:pPr>
          </w:p>
        </w:tc>
        <w:tc>
          <w:tcPr>
            <w:tcW w:w="1559" w:type="dxa"/>
            <w:tcBorders>
              <w:top w:val="single" w:sz="4" w:space="0" w:color="auto"/>
              <w:left w:val="nil"/>
              <w:bottom w:val="nil"/>
              <w:right w:val="nil"/>
            </w:tcBorders>
            <w:shd w:val="clear" w:color="000000" w:fill="FFFFFF"/>
            <w:noWrap/>
            <w:vAlign w:val="bottom"/>
          </w:tcPr>
          <w:p w14:paraId="7E634374"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 </w:t>
            </w:r>
          </w:p>
        </w:tc>
      </w:tr>
      <w:tr w:rsidR="00F753E8" w:rsidRPr="00B64150" w14:paraId="1ECEDABD" w14:textId="77777777" w:rsidTr="006E1769">
        <w:trPr>
          <w:trHeight w:val="234"/>
        </w:trPr>
        <w:tc>
          <w:tcPr>
            <w:tcW w:w="5387" w:type="dxa"/>
            <w:tcBorders>
              <w:top w:val="nil"/>
              <w:bottom w:val="nil"/>
              <w:right w:val="nil"/>
            </w:tcBorders>
            <w:shd w:val="clear" w:color="000000" w:fill="FFFFFF"/>
            <w:noWrap/>
            <w:vAlign w:val="bottom"/>
            <w:hideMark/>
          </w:tcPr>
          <w:p w14:paraId="767594FA"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Benefits</w:t>
            </w:r>
          </w:p>
        </w:tc>
        <w:tc>
          <w:tcPr>
            <w:tcW w:w="1134" w:type="dxa"/>
            <w:tcBorders>
              <w:top w:val="nil"/>
              <w:left w:val="nil"/>
              <w:bottom w:val="nil"/>
              <w:right w:val="nil"/>
            </w:tcBorders>
            <w:shd w:val="clear" w:color="000000" w:fill="FFFFFF"/>
            <w:noWrap/>
            <w:vAlign w:val="bottom"/>
            <w:hideMark/>
          </w:tcPr>
          <w:p w14:paraId="17E1206D"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10</w:t>
            </w:r>
          </w:p>
        </w:tc>
        <w:tc>
          <w:tcPr>
            <w:tcW w:w="1559" w:type="dxa"/>
            <w:tcBorders>
              <w:top w:val="nil"/>
              <w:left w:val="nil"/>
              <w:right w:val="nil"/>
            </w:tcBorders>
            <w:shd w:val="clear" w:color="000000" w:fill="FFFFFF"/>
            <w:vAlign w:val="bottom"/>
          </w:tcPr>
          <w:p w14:paraId="32A5B4C3"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(42,074)</w:t>
            </w:r>
          </w:p>
        </w:tc>
        <w:tc>
          <w:tcPr>
            <w:tcW w:w="1559" w:type="dxa"/>
            <w:tcBorders>
              <w:top w:val="nil"/>
              <w:left w:val="nil"/>
              <w:bottom w:val="nil"/>
              <w:right w:val="nil"/>
            </w:tcBorders>
            <w:shd w:val="clear" w:color="000000" w:fill="FFFFFF"/>
            <w:noWrap/>
            <w:vAlign w:val="bottom"/>
          </w:tcPr>
          <w:p w14:paraId="1A147B67"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(42,636)</w:t>
            </w:r>
          </w:p>
        </w:tc>
      </w:tr>
      <w:tr w:rsidR="00F753E8" w:rsidRPr="00B64150" w14:paraId="747A8527" w14:textId="77777777" w:rsidTr="006E1769">
        <w:trPr>
          <w:trHeight w:val="234"/>
        </w:trPr>
        <w:tc>
          <w:tcPr>
            <w:tcW w:w="5387" w:type="dxa"/>
            <w:tcBorders>
              <w:top w:val="nil"/>
              <w:bottom w:val="nil"/>
              <w:right w:val="nil"/>
            </w:tcBorders>
            <w:shd w:val="clear" w:color="000000" w:fill="FFFFFF"/>
            <w:noWrap/>
            <w:vAlign w:val="bottom"/>
            <w:hideMark/>
          </w:tcPr>
          <w:p w14:paraId="00AA409B"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Payments to and on account of leavers</w:t>
            </w:r>
          </w:p>
        </w:tc>
        <w:tc>
          <w:tcPr>
            <w:tcW w:w="1134" w:type="dxa"/>
            <w:tcBorders>
              <w:top w:val="nil"/>
              <w:left w:val="nil"/>
              <w:bottom w:val="nil"/>
              <w:right w:val="nil"/>
            </w:tcBorders>
            <w:shd w:val="clear" w:color="000000" w:fill="FFFFFF"/>
            <w:noWrap/>
            <w:vAlign w:val="bottom"/>
            <w:hideMark/>
          </w:tcPr>
          <w:p w14:paraId="1E7D39C6"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11</w:t>
            </w:r>
          </w:p>
        </w:tc>
        <w:tc>
          <w:tcPr>
            <w:tcW w:w="1559" w:type="dxa"/>
            <w:tcBorders>
              <w:top w:val="nil"/>
              <w:left w:val="nil"/>
              <w:bottom w:val="single" w:sz="4" w:space="0" w:color="auto"/>
              <w:right w:val="nil"/>
            </w:tcBorders>
            <w:shd w:val="clear" w:color="000000" w:fill="FFFFFF"/>
            <w:vAlign w:val="bottom"/>
          </w:tcPr>
          <w:p w14:paraId="451E3500"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(7,668)</w:t>
            </w:r>
          </w:p>
        </w:tc>
        <w:tc>
          <w:tcPr>
            <w:tcW w:w="1559" w:type="dxa"/>
            <w:tcBorders>
              <w:top w:val="nil"/>
              <w:left w:val="nil"/>
              <w:bottom w:val="nil"/>
              <w:right w:val="nil"/>
            </w:tcBorders>
            <w:shd w:val="clear" w:color="auto" w:fill="auto"/>
            <w:noWrap/>
            <w:vAlign w:val="bottom"/>
          </w:tcPr>
          <w:p w14:paraId="32E41EB3"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(4,427)</w:t>
            </w:r>
          </w:p>
        </w:tc>
      </w:tr>
      <w:tr w:rsidR="00F753E8" w:rsidRPr="00B64150" w14:paraId="29C770EE" w14:textId="77777777" w:rsidTr="006E1769">
        <w:trPr>
          <w:trHeight w:val="247"/>
        </w:trPr>
        <w:tc>
          <w:tcPr>
            <w:tcW w:w="5387" w:type="dxa"/>
            <w:tcBorders>
              <w:top w:val="nil"/>
              <w:bottom w:val="nil"/>
              <w:right w:val="nil"/>
            </w:tcBorders>
            <w:shd w:val="clear" w:color="000000" w:fill="FFFFFF"/>
            <w:noWrap/>
            <w:vAlign w:val="bottom"/>
          </w:tcPr>
          <w:p w14:paraId="1B5317FD" w14:textId="77777777" w:rsidR="00F753E8" w:rsidRPr="008A0A4E" w:rsidRDefault="00F753E8" w:rsidP="006E1769">
            <w:pPr>
              <w:ind w:left="32"/>
              <w:rPr>
                <w:rFonts w:ascii="Arial" w:hAnsi="Arial" w:cs="Arial"/>
                <w:color w:val="000000"/>
                <w:sz w:val="22"/>
                <w:szCs w:val="22"/>
              </w:rPr>
            </w:pPr>
          </w:p>
        </w:tc>
        <w:tc>
          <w:tcPr>
            <w:tcW w:w="1134" w:type="dxa"/>
            <w:tcBorders>
              <w:top w:val="nil"/>
              <w:left w:val="nil"/>
              <w:bottom w:val="nil"/>
              <w:right w:val="nil"/>
            </w:tcBorders>
            <w:shd w:val="clear" w:color="000000" w:fill="FFFFFF"/>
            <w:noWrap/>
            <w:vAlign w:val="bottom"/>
          </w:tcPr>
          <w:p w14:paraId="5DCC1143" w14:textId="77777777" w:rsidR="00F753E8" w:rsidRPr="008A0A4E" w:rsidRDefault="00F753E8" w:rsidP="006E1769">
            <w:pPr>
              <w:jc w:val="center"/>
              <w:rPr>
                <w:rFonts w:ascii="Arial" w:hAnsi="Arial" w:cs="Arial"/>
                <w:b/>
                <w:bCs/>
                <w:color w:val="000000"/>
                <w:sz w:val="22"/>
                <w:szCs w:val="22"/>
              </w:rPr>
            </w:pPr>
          </w:p>
        </w:tc>
        <w:tc>
          <w:tcPr>
            <w:tcW w:w="1559" w:type="dxa"/>
            <w:tcBorders>
              <w:top w:val="single" w:sz="4" w:space="0" w:color="auto"/>
              <w:left w:val="nil"/>
              <w:bottom w:val="single" w:sz="4" w:space="0" w:color="auto"/>
              <w:right w:val="nil"/>
            </w:tcBorders>
            <w:shd w:val="clear" w:color="000000" w:fill="FFFFFF"/>
            <w:vAlign w:val="bottom"/>
          </w:tcPr>
          <w:p w14:paraId="78BF14B3"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(49,742)</w:t>
            </w:r>
          </w:p>
        </w:tc>
        <w:tc>
          <w:tcPr>
            <w:tcW w:w="1559" w:type="dxa"/>
            <w:tcBorders>
              <w:top w:val="single" w:sz="4" w:space="0" w:color="auto"/>
              <w:left w:val="nil"/>
              <w:bottom w:val="single" w:sz="4" w:space="0" w:color="auto"/>
              <w:right w:val="nil"/>
            </w:tcBorders>
            <w:shd w:val="clear" w:color="000000" w:fill="FFFFFF"/>
            <w:noWrap/>
            <w:vAlign w:val="bottom"/>
          </w:tcPr>
          <w:p w14:paraId="5589FD4E"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(47,063)</w:t>
            </w:r>
          </w:p>
        </w:tc>
      </w:tr>
      <w:tr w:rsidR="00F753E8" w:rsidRPr="00B64150" w14:paraId="3D30CA79" w14:textId="77777777" w:rsidTr="006E1769">
        <w:trPr>
          <w:trHeight w:val="247"/>
        </w:trPr>
        <w:tc>
          <w:tcPr>
            <w:tcW w:w="5387" w:type="dxa"/>
            <w:tcBorders>
              <w:top w:val="nil"/>
              <w:bottom w:val="nil"/>
              <w:right w:val="nil"/>
            </w:tcBorders>
            <w:shd w:val="clear" w:color="000000" w:fill="FFFFFF"/>
            <w:noWrap/>
            <w:vAlign w:val="bottom"/>
          </w:tcPr>
          <w:p w14:paraId="63441AE6" w14:textId="77777777" w:rsidR="00F753E8" w:rsidRPr="008A0A4E" w:rsidRDefault="00F753E8" w:rsidP="006E1769">
            <w:pPr>
              <w:ind w:left="32"/>
              <w:rPr>
                <w:rFonts w:ascii="Arial" w:hAnsi="Arial" w:cs="Arial"/>
                <w:color w:val="000000"/>
                <w:sz w:val="22"/>
                <w:szCs w:val="22"/>
              </w:rPr>
            </w:pPr>
          </w:p>
        </w:tc>
        <w:tc>
          <w:tcPr>
            <w:tcW w:w="1134" w:type="dxa"/>
            <w:tcBorders>
              <w:top w:val="nil"/>
              <w:left w:val="nil"/>
              <w:bottom w:val="nil"/>
              <w:right w:val="nil"/>
            </w:tcBorders>
            <w:shd w:val="clear" w:color="000000" w:fill="FFFFFF"/>
            <w:noWrap/>
            <w:vAlign w:val="bottom"/>
          </w:tcPr>
          <w:p w14:paraId="46C8CB7C" w14:textId="77777777" w:rsidR="00F753E8" w:rsidRPr="008A0A4E" w:rsidRDefault="00F753E8" w:rsidP="006E1769">
            <w:pPr>
              <w:jc w:val="center"/>
              <w:rPr>
                <w:rFonts w:ascii="Arial" w:hAnsi="Arial" w:cs="Arial"/>
                <w:b/>
                <w:bCs/>
                <w:color w:val="000000"/>
                <w:sz w:val="22"/>
                <w:szCs w:val="22"/>
              </w:rPr>
            </w:pPr>
          </w:p>
        </w:tc>
        <w:tc>
          <w:tcPr>
            <w:tcW w:w="1559" w:type="dxa"/>
            <w:tcBorders>
              <w:top w:val="single" w:sz="4" w:space="0" w:color="auto"/>
              <w:left w:val="nil"/>
              <w:bottom w:val="single" w:sz="4" w:space="0" w:color="auto"/>
              <w:right w:val="nil"/>
            </w:tcBorders>
            <w:shd w:val="clear" w:color="000000" w:fill="FFFFFF"/>
            <w:vAlign w:val="bottom"/>
          </w:tcPr>
          <w:p w14:paraId="20333D66" w14:textId="77777777" w:rsidR="00F753E8" w:rsidRPr="00D75424" w:rsidRDefault="00F753E8" w:rsidP="006E1769">
            <w:pPr>
              <w:jc w:val="right"/>
              <w:rPr>
                <w:rFonts w:ascii="Arial" w:hAnsi="Arial" w:cs="Arial"/>
                <w:color w:val="000000"/>
                <w:sz w:val="22"/>
                <w:szCs w:val="22"/>
              </w:rPr>
            </w:pPr>
          </w:p>
        </w:tc>
        <w:tc>
          <w:tcPr>
            <w:tcW w:w="1559" w:type="dxa"/>
            <w:tcBorders>
              <w:top w:val="single" w:sz="4" w:space="0" w:color="auto"/>
              <w:left w:val="nil"/>
              <w:bottom w:val="single" w:sz="4" w:space="0" w:color="auto"/>
              <w:right w:val="nil"/>
            </w:tcBorders>
            <w:shd w:val="clear" w:color="000000" w:fill="FFFFFF"/>
            <w:noWrap/>
            <w:vAlign w:val="bottom"/>
          </w:tcPr>
          <w:p w14:paraId="68C7345D"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 </w:t>
            </w:r>
          </w:p>
        </w:tc>
      </w:tr>
      <w:tr w:rsidR="00F753E8" w:rsidRPr="00B64150" w14:paraId="4778D11C" w14:textId="77777777" w:rsidTr="006E1769">
        <w:trPr>
          <w:trHeight w:val="247"/>
        </w:trPr>
        <w:tc>
          <w:tcPr>
            <w:tcW w:w="5387" w:type="dxa"/>
            <w:tcBorders>
              <w:top w:val="nil"/>
              <w:bottom w:val="nil"/>
              <w:right w:val="nil"/>
            </w:tcBorders>
            <w:shd w:val="clear" w:color="000000" w:fill="FFFFFF"/>
            <w:noWrap/>
            <w:vAlign w:val="bottom"/>
          </w:tcPr>
          <w:p w14:paraId="13D45302" w14:textId="77777777" w:rsidR="00F753E8" w:rsidRPr="008A0A4E" w:rsidRDefault="00F753E8" w:rsidP="006E1769">
            <w:pPr>
              <w:ind w:left="32"/>
              <w:rPr>
                <w:rFonts w:ascii="Arial" w:hAnsi="Arial" w:cs="Arial"/>
                <w:b/>
                <w:color w:val="000000"/>
                <w:sz w:val="22"/>
                <w:szCs w:val="22"/>
              </w:rPr>
            </w:pPr>
            <w:r w:rsidRPr="008A0A4E">
              <w:rPr>
                <w:rFonts w:ascii="Arial" w:hAnsi="Arial" w:cs="Arial"/>
                <w:b/>
                <w:color w:val="000000"/>
                <w:sz w:val="22"/>
                <w:szCs w:val="22"/>
              </w:rPr>
              <w:t>Net additions from dealings with members</w:t>
            </w:r>
          </w:p>
        </w:tc>
        <w:tc>
          <w:tcPr>
            <w:tcW w:w="1134" w:type="dxa"/>
            <w:tcBorders>
              <w:top w:val="nil"/>
              <w:left w:val="nil"/>
              <w:bottom w:val="nil"/>
              <w:right w:val="nil"/>
            </w:tcBorders>
            <w:shd w:val="clear" w:color="000000" w:fill="FFFFFF"/>
            <w:noWrap/>
            <w:vAlign w:val="bottom"/>
          </w:tcPr>
          <w:p w14:paraId="53813F67" w14:textId="77777777" w:rsidR="00F753E8" w:rsidRPr="008A0A4E" w:rsidRDefault="00F753E8" w:rsidP="006E1769">
            <w:pPr>
              <w:jc w:val="center"/>
              <w:rPr>
                <w:rFonts w:ascii="Arial" w:hAnsi="Arial" w:cs="Arial"/>
                <w:b/>
                <w:bCs/>
                <w:color w:val="000000"/>
                <w:sz w:val="22"/>
                <w:szCs w:val="22"/>
              </w:rPr>
            </w:pPr>
          </w:p>
        </w:tc>
        <w:tc>
          <w:tcPr>
            <w:tcW w:w="1559" w:type="dxa"/>
            <w:tcBorders>
              <w:top w:val="single" w:sz="4" w:space="0" w:color="auto"/>
              <w:left w:val="nil"/>
              <w:bottom w:val="single" w:sz="4" w:space="0" w:color="auto"/>
              <w:right w:val="nil"/>
            </w:tcBorders>
            <w:shd w:val="clear" w:color="000000" w:fill="FFFFFF"/>
            <w:vAlign w:val="bottom"/>
          </w:tcPr>
          <w:p w14:paraId="206A3DCB"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(60)</w:t>
            </w:r>
          </w:p>
        </w:tc>
        <w:tc>
          <w:tcPr>
            <w:tcW w:w="1559" w:type="dxa"/>
            <w:tcBorders>
              <w:top w:val="single" w:sz="4" w:space="0" w:color="auto"/>
              <w:left w:val="nil"/>
              <w:bottom w:val="single" w:sz="4" w:space="0" w:color="auto"/>
              <w:right w:val="nil"/>
            </w:tcBorders>
            <w:shd w:val="clear" w:color="000000" w:fill="FFFFFF"/>
            <w:noWrap/>
            <w:vAlign w:val="bottom"/>
          </w:tcPr>
          <w:p w14:paraId="26D15363"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4,107</w:t>
            </w:r>
          </w:p>
        </w:tc>
      </w:tr>
      <w:tr w:rsidR="00F753E8" w:rsidRPr="00B64150" w14:paraId="175A090B" w14:textId="77777777" w:rsidTr="006E1769">
        <w:trPr>
          <w:trHeight w:val="64"/>
        </w:trPr>
        <w:tc>
          <w:tcPr>
            <w:tcW w:w="5387" w:type="dxa"/>
            <w:tcBorders>
              <w:top w:val="nil"/>
              <w:bottom w:val="nil"/>
              <w:right w:val="nil"/>
            </w:tcBorders>
            <w:shd w:val="clear" w:color="000000" w:fill="FFFFFF"/>
            <w:noWrap/>
            <w:vAlign w:val="bottom"/>
          </w:tcPr>
          <w:p w14:paraId="00FAF857" w14:textId="77777777" w:rsidR="00F753E8" w:rsidRPr="008A0A4E" w:rsidRDefault="00F753E8" w:rsidP="006E1769">
            <w:pPr>
              <w:ind w:left="32"/>
              <w:rPr>
                <w:rFonts w:ascii="Arial" w:hAnsi="Arial" w:cs="Arial"/>
                <w:color w:val="000000"/>
                <w:sz w:val="22"/>
                <w:szCs w:val="22"/>
              </w:rPr>
            </w:pPr>
          </w:p>
        </w:tc>
        <w:tc>
          <w:tcPr>
            <w:tcW w:w="1134" w:type="dxa"/>
            <w:tcBorders>
              <w:top w:val="nil"/>
              <w:left w:val="nil"/>
              <w:bottom w:val="nil"/>
              <w:right w:val="nil"/>
            </w:tcBorders>
            <w:shd w:val="clear" w:color="000000" w:fill="FFFFFF"/>
            <w:noWrap/>
            <w:vAlign w:val="bottom"/>
          </w:tcPr>
          <w:p w14:paraId="3715DAED" w14:textId="77777777" w:rsidR="00F753E8" w:rsidRPr="008A0A4E" w:rsidRDefault="00F753E8" w:rsidP="006E1769">
            <w:pPr>
              <w:jc w:val="center"/>
              <w:rPr>
                <w:rFonts w:ascii="Arial" w:hAnsi="Arial" w:cs="Arial"/>
                <w:b/>
                <w:bCs/>
                <w:color w:val="000000"/>
                <w:sz w:val="22"/>
                <w:szCs w:val="22"/>
              </w:rPr>
            </w:pPr>
          </w:p>
        </w:tc>
        <w:tc>
          <w:tcPr>
            <w:tcW w:w="1559" w:type="dxa"/>
            <w:tcBorders>
              <w:top w:val="single" w:sz="4" w:space="0" w:color="auto"/>
              <w:left w:val="nil"/>
              <w:right w:val="nil"/>
            </w:tcBorders>
            <w:shd w:val="clear" w:color="000000" w:fill="FFFFFF"/>
            <w:vAlign w:val="bottom"/>
          </w:tcPr>
          <w:p w14:paraId="5C7C8E37" w14:textId="77777777" w:rsidR="00F753E8" w:rsidRPr="00D75424" w:rsidRDefault="00F753E8" w:rsidP="006E1769">
            <w:pPr>
              <w:jc w:val="right"/>
              <w:rPr>
                <w:rFonts w:ascii="Arial" w:hAnsi="Arial" w:cs="Arial"/>
                <w:color w:val="000000"/>
                <w:sz w:val="22"/>
                <w:szCs w:val="22"/>
              </w:rPr>
            </w:pPr>
          </w:p>
        </w:tc>
        <w:tc>
          <w:tcPr>
            <w:tcW w:w="1559" w:type="dxa"/>
            <w:tcBorders>
              <w:top w:val="single" w:sz="4" w:space="0" w:color="auto"/>
              <w:left w:val="nil"/>
              <w:right w:val="nil"/>
            </w:tcBorders>
            <w:shd w:val="clear" w:color="000000" w:fill="FFFFFF"/>
            <w:noWrap/>
            <w:vAlign w:val="bottom"/>
          </w:tcPr>
          <w:p w14:paraId="3168AA4D" w14:textId="77777777" w:rsidR="00F753E8" w:rsidRPr="00A505F1" w:rsidRDefault="00F753E8" w:rsidP="006E1769">
            <w:pPr>
              <w:jc w:val="right"/>
              <w:rPr>
                <w:rFonts w:ascii="Arial" w:hAnsi="Arial" w:cs="Arial"/>
                <w:b/>
                <w:bCs/>
                <w:color w:val="000000"/>
                <w:sz w:val="22"/>
                <w:szCs w:val="22"/>
              </w:rPr>
            </w:pPr>
          </w:p>
        </w:tc>
      </w:tr>
      <w:tr w:rsidR="00F753E8" w:rsidRPr="00B64150" w14:paraId="07D7C463" w14:textId="77777777" w:rsidTr="006E1769">
        <w:trPr>
          <w:trHeight w:val="247"/>
        </w:trPr>
        <w:tc>
          <w:tcPr>
            <w:tcW w:w="5387" w:type="dxa"/>
            <w:tcBorders>
              <w:top w:val="nil"/>
              <w:bottom w:val="nil"/>
              <w:right w:val="nil"/>
            </w:tcBorders>
            <w:shd w:val="clear" w:color="000000" w:fill="FFFFFF"/>
            <w:noWrap/>
            <w:vAlign w:val="bottom"/>
            <w:hideMark/>
          </w:tcPr>
          <w:p w14:paraId="74199FE5"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Management expenses</w:t>
            </w:r>
          </w:p>
        </w:tc>
        <w:tc>
          <w:tcPr>
            <w:tcW w:w="1134" w:type="dxa"/>
            <w:tcBorders>
              <w:top w:val="nil"/>
              <w:left w:val="nil"/>
              <w:bottom w:val="nil"/>
              <w:right w:val="nil"/>
            </w:tcBorders>
            <w:shd w:val="clear" w:color="000000" w:fill="FFFFFF"/>
            <w:noWrap/>
            <w:vAlign w:val="bottom"/>
            <w:hideMark/>
          </w:tcPr>
          <w:p w14:paraId="1617F72D"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12</w:t>
            </w:r>
          </w:p>
        </w:tc>
        <w:tc>
          <w:tcPr>
            <w:tcW w:w="1559" w:type="dxa"/>
            <w:tcBorders>
              <w:top w:val="nil"/>
              <w:left w:val="nil"/>
              <w:bottom w:val="single" w:sz="4" w:space="0" w:color="auto"/>
              <w:right w:val="nil"/>
            </w:tcBorders>
            <w:shd w:val="clear" w:color="000000" w:fill="FFFFFF"/>
            <w:vAlign w:val="bottom"/>
          </w:tcPr>
          <w:p w14:paraId="30722AE0"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(6,719)</w:t>
            </w:r>
          </w:p>
        </w:tc>
        <w:tc>
          <w:tcPr>
            <w:tcW w:w="1559" w:type="dxa"/>
            <w:tcBorders>
              <w:top w:val="nil"/>
              <w:left w:val="nil"/>
              <w:bottom w:val="single" w:sz="4" w:space="0" w:color="auto"/>
              <w:right w:val="nil"/>
            </w:tcBorders>
            <w:shd w:val="clear" w:color="000000" w:fill="FFFFFF"/>
            <w:noWrap/>
            <w:vAlign w:val="bottom"/>
          </w:tcPr>
          <w:p w14:paraId="26E3AFB0"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(6,754)</w:t>
            </w:r>
          </w:p>
        </w:tc>
      </w:tr>
      <w:tr w:rsidR="00F753E8" w:rsidRPr="00B64150" w14:paraId="1251D19C" w14:textId="77777777" w:rsidTr="006E1769">
        <w:trPr>
          <w:trHeight w:val="247"/>
        </w:trPr>
        <w:tc>
          <w:tcPr>
            <w:tcW w:w="5387" w:type="dxa"/>
            <w:tcBorders>
              <w:top w:val="nil"/>
              <w:bottom w:val="nil"/>
              <w:right w:val="nil"/>
            </w:tcBorders>
            <w:shd w:val="clear" w:color="000000" w:fill="FFFFFF"/>
            <w:noWrap/>
            <w:vAlign w:val="bottom"/>
            <w:hideMark/>
          </w:tcPr>
          <w:p w14:paraId="7B95CE72" w14:textId="77777777" w:rsidR="00F753E8" w:rsidRPr="008A0A4E" w:rsidRDefault="00F753E8" w:rsidP="006E1769">
            <w:pPr>
              <w:ind w:left="32"/>
              <w:rPr>
                <w:rFonts w:ascii="Arial" w:hAnsi="Arial" w:cs="Arial"/>
                <w:b/>
                <w:bCs/>
                <w:color w:val="000000"/>
                <w:sz w:val="22"/>
                <w:szCs w:val="22"/>
              </w:rPr>
            </w:pPr>
            <w:r w:rsidRPr="008A0A4E">
              <w:rPr>
                <w:rFonts w:ascii="Arial" w:hAnsi="Arial" w:cs="Arial"/>
                <w:b/>
                <w:bCs/>
                <w:color w:val="000000"/>
                <w:sz w:val="22"/>
                <w:szCs w:val="22"/>
              </w:rPr>
              <w:t>Net Additions/(Withdrawals) including Fund Management Expenses</w:t>
            </w:r>
          </w:p>
        </w:tc>
        <w:tc>
          <w:tcPr>
            <w:tcW w:w="1134" w:type="dxa"/>
            <w:tcBorders>
              <w:top w:val="nil"/>
              <w:left w:val="nil"/>
              <w:bottom w:val="nil"/>
              <w:right w:val="nil"/>
            </w:tcBorders>
            <w:shd w:val="clear" w:color="000000" w:fill="FFFFFF"/>
            <w:noWrap/>
            <w:vAlign w:val="bottom"/>
            <w:hideMark/>
          </w:tcPr>
          <w:p w14:paraId="3D1DEC5E"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single" w:sz="4" w:space="0" w:color="auto"/>
              <w:left w:val="nil"/>
              <w:bottom w:val="single" w:sz="4" w:space="0" w:color="auto"/>
              <w:right w:val="nil"/>
            </w:tcBorders>
            <w:shd w:val="clear" w:color="000000" w:fill="FFFFFF"/>
            <w:vAlign w:val="bottom"/>
          </w:tcPr>
          <w:p w14:paraId="40019CDA"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(6,779)</w:t>
            </w:r>
          </w:p>
        </w:tc>
        <w:tc>
          <w:tcPr>
            <w:tcW w:w="1559" w:type="dxa"/>
            <w:tcBorders>
              <w:top w:val="single" w:sz="4" w:space="0" w:color="auto"/>
              <w:left w:val="nil"/>
              <w:bottom w:val="single" w:sz="4" w:space="0" w:color="auto"/>
              <w:right w:val="nil"/>
            </w:tcBorders>
            <w:shd w:val="clear" w:color="000000" w:fill="FFFFFF"/>
            <w:noWrap/>
            <w:vAlign w:val="bottom"/>
          </w:tcPr>
          <w:p w14:paraId="18EB34B5"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(2,647)</w:t>
            </w:r>
          </w:p>
        </w:tc>
      </w:tr>
      <w:tr w:rsidR="00F753E8" w:rsidRPr="00B64150" w14:paraId="6747E9B1" w14:textId="77777777" w:rsidTr="006E1769">
        <w:trPr>
          <w:trHeight w:val="247"/>
        </w:trPr>
        <w:tc>
          <w:tcPr>
            <w:tcW w:w="5387" w:type="dxa"/>
            <w:tcBorders>
              <w:top w:val="nil"/>
              <w:bottom w:val="nil"/>
              <w:right w:val="nil"/>
            </w:tcBorders>
            <w:shd w:val="clear" w:color="000000" w:fill="FFFFFF"/>
            <w:noWrap/>
            <w:vAlign w:val="bottom"/>
            <w:hideMark/>
          </w:tcPr>
          <w:p w14:paraId="67E2F695"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 </w:t>
            </w:r>
          </w:p>
        </w:tc>
        <w:tc>
          <w:tcPr>
            <w:tcW w:w="1134" w:type="dxa"/>
            <w:tcBorders>
              <w:top w:val="nil"/>
              <w:left w:val="nil"/>
              <w:bottom w:val="nil"/>
              <w:right w:val="nil"/>
            </w:tcBorders>
            <w:shd w:val="clear" w:color="000000" w:fill="FFFFFF"/>
            <w:noWrap/>
            <w:vAlign w:val="bottom"/>
            <w:hideMark/>
          </w:tcPr>
          <w:p w14:paraId="091A92B7"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single" w:sz="4" w:space="0" w:color="auto"/>
              <w:left w:val="nil"/>
              <w:right w:val="nil"/>
            </w:tcBorders>
            <w:shd w:val="clear" w:color="000000" w:fill="FFFFFF"/>
            <w:vAlign w:val="bottom"/>
          </w:tcPr>
          <w:p w14:paraId="5B7B2F20" w14:textId="77777777" w:rsidR="00F753E8" w:rsidRPr="00D75424" w:rsidRDefault="00F753E8" w:rsidP="006E1769">
            <w:pPr>
              <w:jc w:val="right"/>
              <w:rPr>
                <w:rFonts w:ascii="Arial" w:hAnsi="Arial" w:cs="Arial"/>
                <w:color w:val="000000"/>
                <w:sz w:val="22"/>
                <w:szCs w:val="22"/>
              </w:rPr>
            </w:pPr>
          </w:p>
        </w:tc>
        <w:tc>
          <w:tcPr>
            <w:tcW w:w="1559" w:type="dxa"/>
            <w:tcBorders>
              <w:top w:val="single" w:sz="4" w:space="0" w:color="auto"/>
              <w:left w:val="nil"/>
              <w:right w:val="nil"/>
            </w:tcBorders>
            <w:shd w:val="clear" w:color="000000" w:fill="FFFFFF"/>
            <w:noWrap/>
            <w:vAlign w:val="bottom"/>
          </w:tcPr>
          <w:p w14:paraId="1FCBC4C1" w14:textId="77777777" w:rsidR="00F753E8" w:rsidRPr="00A505F1" w:rsidRDefault="00F753E8" w:rsidP="006E1769">
            <w:pPr>
              <w:jc w:val="right"/>
              <w:rPr>
                <w:rFonts w:ascii="Arial" w:hAnsi="Arial" w:cs="Arial"/>
                <w:b/>
                <w:bCs/>
                <w:color w:val="000000"/>
                <w:sz w:val="22"/>
                <w:szCs w:val="22"/>
              </w:rPr>
            </w:pPr>
          </w:p>
        </w:tc>
      </w:tr>
      <w:tr w:rsidR="00F753E8" w:rsidRPr="00B64150" w14:paraId="4FB6D532" w14:textId="77777777" w:rsidTr="006E1769">
        <w:trPr>
          <w:trHeight w:val="234"/>
        </w:trPr>
        <w:tc>
          <w:tcPr>
            <w:tcW w:w="5387" w:type="dxa"/>
            <w:tcBorders>
              <w:top w:val="nil"/>
              <w:bottom w:val="nil"/>
              <w:right w:val="nil"/>
            </w:tcBorders>
            <w:shd w:val="clear" w:color="000000" w:fill="FFFFFF"/>
            <w:noWrap/>
            <w:vAlign w:val="bottom"/>
            <w:hideMark/>
          </w:tcPr>
          <w:p w14:paraId="4CDD1360" w14:textId="77777777" w:rsidR="00F753E8" w:rsidRPr="008A0A4E" w:rsidRDefault="00F753E8" w:rsidP="006E1769">
            <w:pPr>
              <w:ind w:left="32"/>
              <w:rPr>
                <w:rFonts w:ascii="Arial" w:hAnsi="Arial" w:cs="Arial"/>
                <w:b/>
                <w:bCs/>
                <w:color w:val="000000"/>
                <w:sz w:val="22"/>
                <w:szCs w:val="22"/>
              </w:rPr>
            </w:pPr>
            <w:r w:rsidRPr="008A0A4E">
              <w:rPr>
                <w:rFonts w:ascii="Arial" w:hAnsi="Arial" w:cs="Arial"/>
                <w:b/>
                <w:bCs/>
                <w:color w:val="000000"/>
                <w:sz w:val="22"/>
                <w:szCs w:val="22"/>
              </w:rPr>
              <w:t>Returns on Investments</w:t>
            </w:r>
          </w:p>
        </w:tc>
        <w:tc>
          <w:tcPr>
            <w:tcW w:w="1134" w:type="dxa"/>
            <w:tcBorders>
              <w:top w:val="nil"/>
              <w:left w:val="nil"/>
              <w:bottom w:val="nil"/>
              <w:right w:val="nil"/>
            </w:tcBorders>
            <w:shd w:val="clear" w:color="000000" w:fill="FFFFFF"/>
            <w:noWrap/>
            <w:vAlign w:val="bottom"/>
            <w:hideMark/>
          </w:tcPr>
          <w:p w14:paraId="583D2F2D"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nil"/>
              <w:left w:val="nil"/>
              <w:bottom w:val="nil"/>
              <w:right w:val="nil"/>
            </w:tcBorders>
            <w:shd w:val="clear" w:color="000000" w:fill="FFFFFF"/>
            <w:vAlign w:val="bottom"/>
          </w:tcPr>
          <w:p w14:paraId="3E47C15E" w14:textId="77777777" w:rsidR="00F753E8" w:rsidRPr="00D75424" w:rsidRDefault="00F753E8" w:rsidP="006E176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61D1FBD4" w14:textId="77777777" w:rsidR="00F753E8" w:rsidRPr="00A505F1" w:rsidRDefault="00F753E8" w:rsidP="006E1769">
            <w:pPr>
              <w:jc w:val="right"/>
              <w:rPr>
                <w:rFonts w:ascii="Arial" w:hAnsi="Arial" w:cs="Arial"/>
                <w:b/>
                <w:bCs/>
                <w:color w:val="000000"/>
                <w:sz w:val="22"/>
                <w:szCs w:val="22"/>
              </w:rPr>
            </w:pPr>
          </w:p>
        </w:tc>
      </w:tr>
      <w:tr w:rsidR="00F753E8" w:rsidRPr="00B64150" w14:paraId="25CAB953" w14:textId="77777777" w:rsidTr="006E1769">
        <w:trPr>
          <w:trHeight w:val="234"/>
        </w:trPr>
        <w:tc>
          <w:tcPr>
            <w:tcW w:w="5387" w:type="dxa"/>
            <w:tcBorders>
              <w:top w:val="nil"/>
              <w:bottom w:val="nil"/>
              <w:right w:val="nil"/>
            </w:tcBorders>
            <w:shd w:val="clear" w:color="000000" w:fill="FFFFFF"/>
            <w:noWrap/>
            <w:vAlign w:val="bottom"/>
            <w:hideMark/>
          </w:tcPr>
          <w:p w14:paraId="341DCF8F"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Investment Income</w:t>
            </w:r>
          </w:p>
        </w:tc>
        <w:tc>
          <w:tcPr>
            <w:tcW w:w="1134" w:type="dxa"/>
            <w:tcBorders>
              <w:top w:val="nil"/>
              <w:left w:val="nil"/>
              <w:bottom w:val="nil"/>
              <w:right w:val="nil"/>
            </w:tcBorders>
            <w:shd w:val="clear" w:color="000000" w:fill="FFFFFF"/>
            <w:noWrap/>
            <w:vAlign w:val="bottom"/>
            <w:hideMark/>
          </w:tcPr>
          <w:p w14:paraId="76B0661B"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13</w:t>
            </w:r>
          </w:p>
        </w:tc>
        <w:tc>
          <w:tcPr>
            <w:tcW w:w="1559" w:type="dxa"/>
            <w:tcBorders>
              <w:top w:val="nil"/>
              <w:left w:val="nil"/>
              <w:right w:val="nil"/>
            </w:tcBorders>
            <w:shd w:val="clear" w:color="000000" w:fill="FFFFFF"/>
            <w:vAlign w:val="bottom"/>
          </w:tcPr>
          <w:p w14:paraId="684A0CBF"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12,600</w:t>
            </w:r>
          </w:p>
        </w:tc>
        <w:tc>
          <w:tcPr>
            <w:tcW w:w="1559" w:type="dxa"/>
            <w:tcBorders>
              <w:top w:val="nil"/>
              <w:left w:val="nil"/>
              <w:right w:val="nil"/>
            </w:tcBorders>
            <w:shd w:val="clear" w:color="000000" w:fill="FFFFFF"/>
            <w:noWrap/>
            <w:vAlign w:val="bottom"/>
          </w:tcPr>
          <w:p w14:paraId="7BD7EDCD" w14:textId="77777777" w:rsidR="00F753E8" w:rsidRPr="00A505F1" w:rsidRDefault="00F753E8" w:rsidP="006E1769">
            <w:pPr>
              <w:jc w:val="right"/>
              <w:rPr>
                <w:rFonts w:ascii="Arial" w:hAnsi="Arial" w:cs="Arial"/>
                <w:b/>
                <w:bCs/>
                <w:color w:val="000000"/>
                <w:sz w:val="22"/>
                <w:szCs w:val="22"/>
              </w:rPr>
            </w:pPr>
            <w:r w:rsidRPr="00A505F1">
              <w:rPr>
                <w:rFonts w:ascii="Arial" w:hAnsi="Arial" w:cs="Arial"/>
                <w:b/>
                <w:bCs/>
                <w:color w:val="000000"/>
                <w:sz w:val="22"/>
                <w:szCs w:val="22"/>
              </w:rPr>
              <w:t>14,355</w:t>
            </w:r>
          </w:p>
        </w:tc>
      </w:tr>
      <w:tr w:rsidR="00F753E8" w:rsidRPr="00B64150" w14:paraId="3CACB017" w14:textId="77777777" w:rsidTr="006E1769">
        <w:trPr>
          <w:trHeight w:val="234"/>
        </w:trPr>
        <w:tc>
          <w:tcPr>
            <w:tcW w:w="5387" w:type="dxa"/>
            <w:tcBorders>
              <w:top w:val="nil"/>
              <w:bottom w:val="nil"/>
              <w:right w:val="nil"/>
            </w:tcBorders>
            <w:shd w:val="clear" w:color="000000" w:fill="FFFFFF"/>
            <w:vAlign w:val="bottom"/>
            <w:hideMark/>
          </w:tcPr>
          <w:p w14:paraId="6D3475B3"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Profit (losses) on disposal of investments and changes in the market value of investments</w:t>
            </w:r>
          </w:p>
        </w:tc>
        <w:tc>
          <w:tcPr>
            <w:tcW w:w="1134" w:type="dxa"/>
            <w:tcBorders>
              <w:top w:val="nil"/>
              <w:left w:val="nil"/>
              <w:bottom w:val="nil"/>
              <w:right w:val="nil"/>
            </w:tcBorders>
            <w:shd w:val="clear" w:color="000000" w:fill="FFFFFF"/>
            <w:noWrap/>
            <w:vAlign w:val="bottom"/>
            <w:hideMark/>
          </w:tcPr>
          <w:p w14:paraId="109437FC"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14</w:t>
            </w:r>
          </w:p>
        </w:tc>
        <w:tc>
          <w:tcPr>
            <w:tcW w:w="1559" w:type="dxa"/>
            <w:tcBorders>
              <w:top w:val="nil"/>
              <w:left w:val="nil"/>
              <w:bottom w:val="single" w:sz="4" w:space="0" w:color="auto"/>
              <w:right w:val="nil"/>
            </w:tcBorders>
            <w:shd w:val="clear" w:color="000000" w:fill="FFFFFF"/>
            <w:vAlign w:val="bottom"/>
          </w:tcPr>
          <w:p w14:paraId="21347E03"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283,609</w:t>
            </w:r>
          </w:p>
        </w:tc>
        <w:tc>
          <w:tcPr>
            <w:tcW w:w="1559" w:type="dxa"/>
            <w:tcBorders>
              <w:top w:val="nil"/>
              <w:left w:val="nil"/>
              <w:bottom w:val="single" w:sz="4" w:space="0" w:color="auto"/>
              <w:right w:val="nil"/>
            </w:tcBorders>
            <w:shd w:val="clear" w:color="000000" w:fill="FFFFFF"/>
            <w:noWrap/>
            <w:vAlign w:val="bottom"/>
          </w:tcPr>
          <w:p w14:paraId="75D30D28" w14:textId="77777777" w:rsidR="00F753E8" w:rsidRPr="00A505F1" w:rsidRDefault="00F753E8" w:rsidP="006E1769">
            <w:pPr>
              <w:jc w:val="right"/>
              <w:rPr>
                <w:rFonts w:ascii="Arial" w:hAnsi="Arial" w:cs="Arial"/>
                <w:b/>
                <w:bCs/>
                <w:color w:val="000000"/>
                <w:sz w:val="22"/>
                <w:szCs w:val="22"/>
              </w:rPr>
            </w:pPr>
            <w:r w:rsidRPr="00F25E37">
              <w:rPr>
                <w:rFonts w:ascii="Arial" w:hAnsi="Arial" w:cs="Arial"/>
                <w:b/>
                <w:bCs/>
                <w:color w:val="000000"/>
                <w:sz w:val="22"/>
                <w:szCs w:val="22"/>
              </w:rPr>
              <w:t>62,963</w:t>
            </w:r>
          </w:p>
        </w:tc>
      </w:tr>
      <w:tr w:rsidR="00F753E8" w:rsidRPr="00B64150" w14:paraId="2BDA4CF7" w14:textId="77777777" w:rsidTr="006E1769">
        <w:trPr>
          <w:trHeight w:val="247"/>
        </w:trPr>
        <w:tc>
          <w:tcPr>
            <w:tcW w:w="5387" w:type="dxa"/>
            <w:tcBorders>
              <w:top w:val="nil"/>
              <w:bottom w:val="nil"/>
              <w:right w:val="nil"/>
            </w:tcBorders>
            <w:shd w:val="clear" w:color="000000" w:fill="FFFFFF"/>
            <w:noWrap/>
            <w:vAlign w:val="bottom"/>
            <w:hideMark/>
          </w:tcPr>
          <w:p w14:paraId="47EC463C" w14:textId="77777777" w:rsidR="00F753E8" w:rsidRPr="008A0A4E" w:rsidRDefault="00F753E8" w:rsidP="006E1769">
            <w:pPr>
              <w:ind w:left="32"/>
              <w:rPr>
                <w:rFonts w:ascii="Arial" w:hAnsi="Arial" w:cs="Arial"/>
                <w:b/>
                <w:bCs/>
                <w:color w:val="000000"/>
                <w:sz w:val="22"/>
                <w:szCs w:val="22"/>
              </w:rPr>
            </w:pPr>
            <w:r w:rsidRPr="008A0A4E">
              <w:rPr>
                <w:rFonts w:ascii="Arial" w:hAnsi="Arial" w:cs="Arial"/>
                <w:b/>
                <w:bCs/>
                <w:color w:val="000000"/>
                <w:sz w:val="22"/>
                <w:szCs w:val="22"/>
              </w:rPr>
              <w:t>Net returns on investments</w:t>
            </w:r>
          </w:p>
        </w:tc>
        <w:tc>
          <w:tcPr>
            <w:tcW w:w="1134" w:type="dxa"/>
            <w:tcBorders>
              <w:top w:val="nil"/>
              <w:left w:val="nil"/>
              <w:bottom w:val="nil"/>
              <w:right w:val="nil"/>
            </w:tcBorders>
            <w:shd w:val="clear" w:color="000000" w:fill="FFFFFF"/>
            <w:noWrap/>
            <w:vAlign w:val="bottom"/>
            <w:hideMark/>
          </w:tcPr>
          <w:p w14:paraId="4E4F4A81"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single" w:sz="4" w:space="0" w:color="auto"/>
              <w:left w:val="nil"/>
              <w:bottom w:val="single" w:sz="4" w:space="0" w:color="auto"/>
              <w:right w:val="nil"/>
            </w:tcBorders>
            <w:shd w:val="clear" w:color="000000" w:fill="FFFFFF"/>
            <w:vAlign w:val="bottom"/>
          </w:tcPr>
          <w:p w14:paraId="52EA277B"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296,209</w:t>
            </w:r>
          </w:p>
        </w:tc>
        <w:tc>
          <w:tcPr>
            <w:tcW w:w="1559" w:type="dxa"/>
            <w:tcBorders>
              <w:top w:val="single" w:sz="4" w:space="0" w:color="auto"/>
              <w:left w:val="nil"/>
              <w:bottom w:val="single" w:sz="4" w:space="0" w:color="auto"/>
              <w:right w:val="nil"/>
            </w:tcBorders>
            <w:shd w:val="clear" w:color="000000" w:fill="FFFFFF"/>
            <w:noWrap/>
            <w:vAlign w:val="bottom"/>
          </w:tcPr>
          <w:p w14:paraId="7BF973BE" w14:textId="77777777" w:rsidR="00F753E8" w:rsidRPr="00381009" w:rsidRDefault="00F753E8" w:rsidP="006E1769">
            <w:pPr>
              <w:jc w:val="right"/>
              <w:rPr>
                <w:rFonts w:ascii="Arial" w:hAnsi="Arial" w:cs="Arial"/>
                <w:b/>
                <w:bCs/>
                <w:color w:val="000000"/>
                <w:sz w:val="22"/>
                <w:szCs w:val="22"/>
              </w:rPr>
            </w:pPr>
            <w:r>
              <w:rPr>
                <w:rFonts w:ascii="Arial" w:hAnsi="Arial" w:cs="Arial"/>
                <w:b/>
                <w:bCs/>
                <w:color w:val="000000"/>
                <w:sz w:val="22"/>
                <w:szCs w:val="22"/>
              </w:rPr>
              <w:t>80,982</w:t>
            </w:r>
          </w:p>
        </w:tc>
      </w:tr>
      <w:tr w:rsidR="00F753E8" w:rsidRPr="00B64150" w14:paraId="39894850" w14:textId="77777777" w:rsidTr="006E1769">
        <w:trPr>
          <w:trHeight w:val="247"/>
        </w:trPr>
        <w:tc>
          <w:tcPr>
            <w:tcW w:w="5387" w:type="dxa"/>
            <w:tcBorders>
              <w:top w:val="nil"/>
              <w:bottom w:val="nil"/>
              <w:right w:val="nil"/>
            </w:tcBorders>
            <w:shd w:val="clear" w:color="000000" w:fill="FFFFFF"/>
            <w:noWrap/>
            <w:vAlign w:val="bottom"/>
            <w:hideMark/>
          </w:tcPr>
          <w:p w14:paraId="70C76CD4" w14:textId="77777777" w:rsidR="00F753E8" w:rsidRPr="008A0A4E" w:rsidRDefault="00F753E8" w:rsidP="006E1769">
            <w:pPr>
              <w:ind w:left="32"/>
              <w:rPr>
                <w:rFonts w:ascii="Arial" w:hAnsi="Arial" w:cs="Arial"/>
                <w:color w:val="000000"/>
                <w:sz w:val="22"/>
                <w:szCs w:val="22"/>
              </w:rPr>
            </w:pPr>
            <w:r w:rsidRPr="008A0A4E">
              <w:rPr>
                <w:rFonts w:ascii="Arial" w:hAnsi="Arial" w:cs="Arial"/>
                <w:color w:val="000000"/>
                <w:sz w:val="22"/>
                <w:szCs w:val="22"/>
              </w:rPr>
              <w:t> </w:t>
            </w:r>
          </w:p>
        </w:tc>
        <w:tc>
          <w:tcPr>
            <w:tcW w:w="1134" w:type="dxa"/>
            <w:tcBorders>
              <w:top w:val="nil"/>
              <w:left w:val="nil"/>
              <w:bottom w:val="nil"/>
              <w:right w:val="nil"/>
            </w:tcBorders>
            <w:shd w:val="clear" w:color="000000" w:fill="FFFFFF"/>
            <w:noWrap/>
            <w:vAlign w:val="bottom"/>
            <w:hideMark/>
          </w:tcPr>
          <w:p w14:paraId="2DA6FDB3"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single" w:sz="4" w:space="0" w:color="auto"/>
              <w:left w:val="nil"/>
              <w:bottom w:val="single" w:sz="4" w:space="0" w:color="auto"/>
              <w:right w:val="nil"/>
            </w:tcBorders>
            <w:shd w:val="clear" w:color="000000" w:fill="FFFFFF"/>
            <w:vAlign w:val="bottom"/>
          </w:tcPr>
          <w:p w14:paraId="7A5F7917" w14:textId="77777777" w:rsidR="00F753E8" w:rsidRPr="00D75424" w:rsidRDefault="00F753E8" w:rsidP="006E1769">
            <w:pPr>
              <w:jc w:val="right"/>
              <w:rPr>
                <w:rFonts w:ascii="Arial" w:hAnsi="Arial" w:cs="Arial"/>
                <w:color w:val="000000"/>
                <w:sz w:val="22"/>
                <w:szCs w:val="22"/>
              </w:rPr>
            </w:pPr>
          </w:p>
        </w:tc>
        <w:tc>
          <w:tcPr>
            <w:tcW w:w="1559" w:type="dxa"/>
            <w:tcBorders>
              <w:top w:val="single" w:sz="4" w:space="0" w:color="auto"/>
              <w:left w:val="nil"/>
              <w:bottom w:val="single" w:sz="4" w:space="0" w:color="auto"/>
              <w:right w:val="nil"/>
            </w:tcBorders>
            <w:shd w:val="clear" w:color="000000" w:fill="FFFFFF"/>
            <w:noWrap/>
            <w:vAlign w:val="bottom"/>
          </w:tcPr>
          <w:p w14:paraId="3BB568FB" w14:textId="77777777" w:rsidR="00F753E8" w:rsidRPr="00381009" w:rsidRDefault="00F753E8" w:rsidP="006E1769">
            <w:pPr>
              <w:jc w:val="right"/>
              <w:rPr>
                <w:rFonts w:ascii="Arial" w:hAnsi="Arial" w:cs="Arial"/>
                <w:b/>
                <w:bCs/>
                <w:color w:val="000000"/>
                <w:sz w:val="22"/>
                <w:szCs w:val="22"/>
              </w:rPr>
            </w:pPr>
            <w:r w:rsidRPr="00381009">
              <w:rPr>
                <w:rFonts w:ascii="Arial" w:hAnsi="Arial" w:cs="Arial"/>
                <w:b/>
                <w:bCs/>
                <w:color w:val="000000"/>
                <w:sz w:val="22"/>
                <w:szCs w:val="22"/>
              </w:rPr>
              <w:t> </w:t>
            </w:r>
          </w:p>
        </w:tc>
      </w:tr>
      <w:tr w:rsidR="00F753E8" w:rsidRPr="00B64150" w14:paraId="59501DF6" w14:textId="77777777" w:rsidTr="006E1769">
        <w:trPr>
          <w:trHeight w:val="482"/>
        </w:trPr>
        <w:tc>
          <w:tcPr>
            <w:tcW w:w="5387" w:type="dxa"/>
            <w:tcBorders>
              <w:top w:val="nil"/>
              <w:bottom w:val="nil"/>
              <w:right w:val="nil"/>
            </w:tcBorders>
            <w:shd w:val="clear" w:color="000000" w:fill="FFFFFF"/>
            <w:vAlign w:val="bottom"/>
            <w:hideMark/>
          </w:tcPr>
          <w:p w14:paraId="62A80AD0" w14:textId="77777777" w:rsidR="00F753E8" w:rsidRPr="008A0A4E" w:rsidRDefault="00F753E8" w:rsidP="006E1769">
            <w:pPr>
              <w:ind w:left="32"/>
              <w:rPr>
                <w:rFonts w:ascii="Arial" w:hAnsi="Arial" w:cs="Arial"/>
                <w:b/>
                <w:bCs/>
                <w:color w:val="000000"/>
                <w:sz w:val="22"/>
                <w:szCs w:val="22"/>
              </w:rPr>
            </w:pPr>
            <w:r w:rsidRPr="008A0A4E">
              <w:rPr>
                <w:rFonts w:ascii="Arial" w:hAnsi="Arial" w:cs="Arial"/>
                <w:b/>
                <w:bCs/>
                <w:color w:val="000000"/>
                <w:sz w:val="22"/>
                <w:szCs w:val="22"/>
              </w:rPr>
              <w:t>Net increase in the net assets available for benefits during the year</w:t>
            </w:r>
          </w:p>
        </w:tc>
        <w:tc>
          <w:tcPr>
            <w:tcW w:w="1134" w:type="dxa"/>
            <w:tcBorders>
              <w:top w:val="nil"/>
              <w:left w:val="nil"/>
              <w:bottom w:val="nil"/>
              <w:right w:val="nil"/>
            </w:tcBorders>
            <w:shd w:val="clear" w:color="000000" w:fill="FFFFFF"/>
            <w:vAlign w:val="bottom"/>
            <w:hideMark/>
          </w:tcPr>
          <w:p w14:paraId="63B3C106"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single" w:sz="4" w:space="0" w:color="auto"/>
              <w:left w:val="nil"/>
              <w:bottom w:val="single" w:sz="4" w:space="0" w:color="auto"/>
              <w:right w:val="nil"/>
            </w:tcBorders>
            <w:shd w:val="clear" w:color="000000" w:fill="FFFFFF"/>
            <w:vAlign w:val="bottom"/>
          </w:tcPr>
          <w:p w14:paraId="0200FFDD" w14:textId="77777777" w:rsidR="00F753E8" w:rsidRPr="00D75424" w:rsidRDefault="00F753E8" w:rsidP="006E1769">
            <w:pPr>
              <w:jc w:val="right"/>
              <w:rPr>
                <w:rFonts w:ascii="Arial" w:hAnsi="Arial" w:cs="Arial"/>
                <w:color w:val="000000"/>
                <w:sz w:val="22"/>
                <w:szCs w:val="22"/>
              </w:rPr>
            </w:pPr>
            <w:r w:rsidRPr="00D75424">
              <w:rPr>
                <w:rFonts w:ascii="Arial" w:hAnsi="Arial" w:cs="Arial"/>
                <w:color w:val="000000"/>
                <w:sz w:val="22"/>
                <w:szCs w:val="22"/>
              </w:rPr>
              <w:t>289,430</w:t>
            </w:r>
          </w:p>
        </w:tc>
        <w:tc>
          <w:tcPr>
            <w:tcW w:w="1559" w:type="dxa"/>
            <w:tcBorders>
              <w:top w:val="single" w:sz="4" w:space="0" w:color="auto"/>
              <w:left w:val="nil"/>
              <w:bottom w:val="single" w:sz="4" w:space="0" w:color="auto"/>
              <w:right w:val="nil"/>
            </w:tcBorders>
            <w:shd w:val="clear" w:color="000000" w:fill="FFFFFF"/>
            <w:noWrap/>
            <w:vAlign w:val="bottom"/>
          </w:tcPr>
          <w:p w14:paraId="7B647E59" w14:textId="77777777" w:rsidR="00F753E8" w:rsidRPr="00381009" w:rsidRDefault="00F753E8" w:rsidP="006E1769">
            <w:pPr>
              <w:jc w:val="right"/>
              <w:rPr>
                <w:rFonts w:ascii="Arial" w:hAnsi="Arial" w:cs="Arial"/>
                <w:b/>
                <w:bCs/>
                <w:color w:val="000000"/>
                <w:sz w:val="22"/>
                <w:szCs w:val="22"/>
              </w:rPr>
            </w:pPr>
            <w:r>
              <w:rPr>
                <w:rFonts w:ascii="Arial" w:hAnsi="Arial" w:cs="Arial"/>
                <w:b/>
                <w:bCs/>
                <w:color w:val="000000"/>
                <w:sz w:val="22"/>
                <w:szCs w:val="22"/>
              </w:rPr>
              <w:t>78,335</w:t>
            </w:r>
          </w:p>
        </w:tc>
      </w:tr>
    </w:tbl>
    <w:p w14:paraId="719A3A0F" w14:textId="77777777" w:rsidR="00F753E8" w:rsidRDefault="00F753E8" w:rsidP="00F753E8">
      <w:pPr>
        <w:rPr>
          <w:rFonts w:ascii="Arial" w:hAnsi="Arial" w:cs="Arial"/>
          <w:b/>
          <w:bCs/>
          <w:color w:val="000000"/>
          <w:sz w:val="22"/>
          <w:szCs w:val="22"/>
        </w:rPr>
      </w:pPr>
      <w:bookmarkStart w:id="5" w:name="_Hlk8817120"/>
      <w:bookmarkEnd w:id="4"/>
    </w:p>
    <w:p w14:paraId="44B24D88" w14:textId="77777777" w:rsidR="00F753E8" w:rsidRPr="008A0A4E" w:rsidRDefault="00F753E8" w:rsidP="00F753E8">
      <w:pPr>
        <w:rPr>
          <w:rFonts w:ascii="Arial" w:hAnsi="Arial" w:cs="Arial"/>
          <w:b/>
          <w:bCs/>
          <w:color w:val="000000"/>
          <w:sz w:val="22"/>
          <w:szCs w:val="22"/>
        </w:rPr>
      </w:pPr>
    </w:p>
    <w:p w14:paraId="07552C75" w14:textId="77777777" w:rsidR="00F753E8" w:rsidRPr="008A0A4E" w:rsidRDefault="00F753E8" w:rsidP="00F753E8">
      <w:pPr>
        <w:ind w:left="284"/>
        <w:rPr>
          <w:rFonts w:ascii="Arial" w:hAnsi="Arial" w:cs="Arial"/>
          <w:b/>
          <w:bCs/>
          <w:color w:val="000000"/>
          <w:sz w:val="22"/>
          <w:szCs w:val="22"/>
        </w:rPr>
      </w:pPr>
    </w:p>
    <w:p w14:paraId="69973402" w14:textId="77777777" w:rsidR="00F753E8" w:rsidRPr="008A0A4E" w:rsidRDefault="00F753E8" w:rsidP="00F753E8">
      <w:pPr>
        <w:ind w:left="284"/>
        <w:rPr>
          <w:rFonts w:ascii="Arial" w:hAnsi="Arial" w:cs="Arial"/>
          <w:b/>
          <w:bCs/>
          <w:color w:val="000000"/>
          <w:sz w:val="22"/>
          <w:szCs w:val="22"/>
        </w:rPr>
      </w:pPr>
      <w:r w:rsidRPr="003C4F5F">
        <w:rPr>
          <w:rFonts w:ascii="Arial" w:hAnsi="Arial" w:cs="Arial"/>
          <w:b/>
          <w:bCs/>
          <w:color w:val="000000"/>
          <w:sz w:val="22"/>
          <w:szCs w:val="22"/>
        </w:rPr>
        <w:t xml:space="preserve">Net Assets Statement as </w:t>
      </w:r>
      <w:proofErr w:type="gramStart"/>
      <w:r w:rsidRPr="003C4F5F">
        <w:rPr>
          <w:rFonts w:ascii="Arial" w:hAnsi="Arial" w:cs="Arial"/>
          <w:b/>
          <w:bCs/>
          <w:color w:val="000000"/>
          <w:sz w:val="22"/>
          <w:szCs w:val="22"/>
        </w:rPr>
        <w:t>at</w:t>
      </w:r>
      <w:proofErr w:type="gramEnd"/>
      <w:r w:rsidRPr="003C4F5F">
        <w:rPr>
          <w:rFonts w:ascii="Arial" w:hAnsi="Arial" w:cs="Arial"/>
          <w:b/>
          <w:bCs/>
          <w:color w:val="000000"/>
          <w:sz w:val="22"/>
          <w:szCs w:val="22"/>
        </w:rPr>
        <w:t xml:space="preserve"> 31 March 202</w:t>
      </w:r>
      <w:r>
        <w:rPr>
          <w:rFonts w:ascii="Arial" w:hAnsi="Arial" w:cs="Arial"/>
          <w:b/>
          <w:bCs/>
          <w:color w:val="000000"/>
          <w:sz w:val="22"/>
          <w:szCs w:val="22"/>
        </w:rPr>
        <w:t>2</w:t>
      </w:r>
    </w:p>
    <w:p w14:paraId="68B310B5" w14:textId="77777777" w:rsidR="00F753E8" w:rsidRPr="008A0A4E" w:rsidRDefault="00F753E8" w:rsidP="00F753E8">
      <w:pPr>
        <w:ind w:left="142"/>
        <w:rPr>
          <w:rFonts w:ascii="Arial" w:hAnsi="Arial" w:cs="Arial"/>
          <w:sz w:val="22"/>
          <w:szCs w:val="22"/>
        </w:rPr>
      </w:pPr>
    </w:p>
    <w:p w14:paraId="3894E3BE" w14:textId="77777777" w:rsidR="00F753E8" w:rsidRPr="008A0A4E" w:rsidRDefault="00F753E8" w:rsidP="00F753E8">
      <w:pPr>
        <w:tabs>
          <w:tab w:val="left" w:pos="284"/>
        </w:tabs>
        <w:ind w:left="284"/>
        <w:jc w:val="both"/>
        <w:rPr>
          <w:rFonts w:ascii="Arial" w:hAnsi="Arial" w:cs="Arial"/>
          <w:sz w:val="22"/>
          <w:szCs w:val="22"/>
        </w:rPr>
      </w:pPr>
      <w:r w:rsidRPr="008A0A4E">
        <w:rPr>
          <w:rFonts w:ascii="Arial" w:hAnsi="Arial" w:cs="Arial"/>
          <w:sz w:val="22"/>
          <w:szCs w:val="22"/>
        </w:rPr>
        <w:t>The accounts summarise the transactions and net assets of the Fund. They do not take account of liabilities to pay pensions and other benefits in the future.</w:t>
      </w:r>
    </w:p>
    <w:p w14:paraId="42F1D0C2" w14:textId="77777777" w:rsidR="00F753E8" w:rsidRPr="008A0A4E" w:rsidRDefault="00F753E8" w:rsidP="00F753E8">
      <w:pPr>
        <w:tabs>
          <w:tab w:val="left" w:pos="284"/>
        </w:tabs>
        <w:ind w:left="284"/>
        <w:jc w:val="both"/>
        <w:rPr>
          <w:rFonts w:ascii="Arial" w:hAnsi="Arial" w:cs="Arial"/>
          <w:b/>
          <w:sz w:val="22"/>
          <w:szCs w:val="22"/>
        </w:rPr>
      </w:pPr>
    </w:p>
    <w:tbl>
      <w:tblPr>
        <w:tblW w:w="9639" w:type="dxa"/>
        <w:tblLook w:val="04A0" w:firstRow="1" w:lastRow="0" w:firstColumn="1" w:lastColumn="0" w:noHBand="0" w:noVBand="1"/>
      </w:tblPr>
      <w:tblGrid>
        <w:gridCol w:w="5387"/>
        <w:gridCol w:w="1134"/>
        <w:gridCol w:w="1559"/>
        <w:gridCol w:w="1559"/>
      </w:tblGrid>
      <w:tr w:rsidR="00F753E8" w:rsidRPr="00B64150" w14:paraId="3D682E12" w14:textId="77777777" w:rsidTr="006E1769">
        <w:trPr>
          <w:trHeight w:val="242"/>
        </w:trPr>
        <w:tc>
          <w:tcPr>
            <w:tcW w:w="5387" w:type="dxa"/>
            <w:tcBorders>
              <w:top w:val="nil"/>
              <w:bottom w:val="nil"/>
              <w:right w:val="nil"/>
            </w:tcBorders>
            <w:shd w:val="clear" w:color="000000" w:fill="FFFFFF"/>
            <w:vAlign w:val="bottom"/>
            <w:hideMark/>
          </w:tcPr>
          <w:bookmarkEnd w:id="5"/>
          <w:p w14:paraId="51E2690F"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134" w:type="dxa"/>
            <w:tcBorders>
              <w:top w:val="nil"/>
              <w:left w:val="nil"/>
              <w:bottom w:val="nil"/>
              <w:right w:val="nil"/>
            </w:tcBorders>
            <w:shd w:val="clear" w:color="000000" w:fill="FFFFFF"/>
            <w:vAlign w:val="bottom"/>
            <w:hideMark/>
          </w:tcPr>
          <w:p w14:paraId="75E54255"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Note</w:t>
            </w:r>
          </w:p>
        </w:tc>
        <w:tc>
          <w:tcPr>
            <w:tcW w:w="1559" w:type="dxa"/>
            <w:tcBorders>
              <w:top w:val="nil"/>
              <w:left w:val="nil"/>
              <w:bottom w:val="nil"/>
              <w:right w:val="nil"/>
            </w:tcBorders>
            <w:shd w:val="clear" w:color="000000" w:fill="FFFFFF"/>
            <w:vAlign w:val="center"/>
          </w:tcPr>
          <w:p w14:paraId="772EA791" w14:textId="77777777" w:rsidR="00F753E8" w:rsidRPr="00D774FD" w:rsidRDefault="00F753E8" w:rsidP="006E1769">
            <w:pPr>
              <w:jc w:val="center"/>
              <w:rPr>
                <w:rFonts w:ascii="Arial" w:hAnsi="Arial" w:cs="Arial"/>
                <w:bCs/>
                <w:color w:val="000000"/>
                <w:sz w:val="22"/>
                <w:szCs w:val="22"/>
              </w:rPr>
            </w:pPr>
            <w:r w:rsidRPr="00D774FD">
              <w:rPr>
                <w:rFonts w:ascii="Arial" w:hAnsi="Arial" w:cs="Arial"/>
                <w:bCs/>
                <w:color w:val="000000"/>
                <w:sz w:val="22"/>
                <w:szCs w:val="22"/>
              </w:rPr>
              <w:t>2020/21</w:t>
            </w:r>
          </w:p>
        </w:tc>
        <w:tc>
          <w:tcPr>
            <w:tcW w:w="1559" w:type="dxa"/>
            <w:tcBorders>
              <w:top w:val="nil"/>
              <w:left w:val="nil"/>
              <w:bottom w:val="nil"/>
              <w:right w:val="nil"/>
            </w:tcBorders>
            <w:shd w:val="clear" w:color="000000" w:fill="FFFFFF"/>
            <w:vAlign w:val="center"/>
          </w:tcPr>
          <w:p w14:paraId="53DF6D12" w14:textId="77777777" w:rsidR="00F753E8" w:rsidRPr="008A0A4E" w:rsidRDefault="00F753E8" w:rsidP="006E1769">
            <w:pPr>
              <w:jc w:val="center"/>
              <w:rPr>
                <w:rFonts w:ascii="Arial" w:hAnsi="Arial" w:cs="Arial"/>
                <w:b/>
                <w:color w:val="000000"/>
                <w:sz w:val="22"/>
                <w:szCs w:val="22"/>
              </w:rPr>
            </w:pPr>
            <w:r w:rsidRPr="008A0A4E">
              <w:rPr>
                <w:rFonts w:ascii="Arial" w:hAnsi="Arial" w:cs="Arial"/>
                <w:b/>
                <w:color w:val="000000"/>
                <w:sz w:val="22"/>
                <w:szCs w:val="22"/>
              </w:rPr>
              <w:t>20</w:t>
            </w:r>
            <w:r>
              <w:rPr>
                <w:rFonts w:ascii="Arial" w:hAnsi="Arial" w:cs="Arial"/>
                <w:b/>
                <w:color w:val="000000"/>
                <w:sz w:val="22"/>
                <w:szCs w:val="22"/>
              </w:rPr>
              <w:t>21/22</w:t>
            </w:r>
          </w:p>
        </w:tc>
      </w:tr>
      <w:tr w:rsidR="00F753E8" w:rsidRPr="00B64150" w14:paraId="097E1CF5" w14:textId="77777777" w:rsidTr="006E1769">
        <w:trPr>
          <w:trHeight w:val="242"/>
        </w:trPr>
        <w:tc>
          <w:tcPr>
            <w:tcW w:w="5387" w:type="dxa"/>
            <w:tcBorders>
              <w:top w:val="nil"/>
              <w:bottom w:val="nil"/>
              <w:right w:val="nil"/>
            </w:tcBorders>
            <w:shd w:val="clear" w:color="000000" w:fill="FFFFFF"/>
            <w:noWrap/>
            <w:vAlign w:val="bottom"/>
            <w:hideMark/>
          </w:tcPr>
          <w:p w14:paraId="60BC3CE8"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w:t>
            </w:r>
          </w:p>
        </w:tc>
        <w:tc>
          <w:tcPr>
            <w:tcW w:w="1134" w:type="dxa"/>
            <w:tcBorders>
              <w:top w:val="nil"/>
              <w:left w:val="nil"/>
              <w:bottom w:val="nil"/>
              <w:right w:val="nil"/>
            </w:tcBorders>
            <w:shd w:val="clear" w:color="000000" w:fill="FFFFFF"/>
            <w:noWrap/>
            <w:vAlign w:val="bottom"/>
            <w:hideMark/>
          </w:tcPr>
          <w:p w14:paraId="30797E5A"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 </w:t>
            </w:r>
          </w:p>
        </w:tc>
        <w:tc>
          <w:tcPr>
            <w:tcW w:w="1559" w:type="dxa"/>
            <w:tcBorders>
              <w:top w:val="nil"/>
              <w:left w:val="nil"/>
              <w:bottom w:val="nil"/>
              <w:right w:val="nil"/>
            </w:tcBorders>
            <w:shd w:val="clear" w:color="000000" w:fill="FFFFFF"/>
            <w:vAlign w:val="bottom"/>
          </w:tcPr>
          <w:p w14:paraId="3FF11604" w14:textId="77777777" w:rsidR="00F753E8" w:rsidRPr="00D774FD" w:rsidRDefault="00F753E8" w:rsidP="006E1769">
            <w:pPr>
              <w:jc w:val="center"/>
              <w:rPr>
                <w:rFonts w:ascii="Arial" w:hAnsi="Arial" w:cs="Arial"/>
                <w:bCs/>
                <w:color w:val="000000"/>
                <w:sz w:val="22"/>
                <w:szCs w:val="22"/>
              </w:rPr>
            </w:pPr>
            <w:r w:rsidRPr="00D774FD">
              <w:rPr>
                <w:rFonts w:ascii="Arial" w:hAnsi="Arial" w:cs="Arial"/>
                <w:bCs/>
                <w:color w:val="000000"/>
                <w:sz w:val="22"/>
                <w:szCs w:val="22"/>
              </w:rPr>
              <w:t>£000</w:t>
            </w:r>
          </w:p>
        </w:tc>
        <w:tc>
          <w:tcPr>
            <w:tcW w:w="1559" w:type="dxa"/>
            <w:tcBorders>
              <w:top w:val="nil"/>
              <w:left w:val="nil"/>
              <w:bottom w:val="nil"/>
              <w:right w:val="nil"/>
            </w:tcBorders>
            <w:shd w:val="clear" w:color="000000" w:fill="FFFFFF"/>
            <w:vAlign w:val="bottom"/>
          </w:tcPr>
          <w:p w14:paraId="1EE670B2" w14:textId="77777777" w:rsidR="00F753E8" w:rsidRPr="008A0A4E" w:rsidRDefault="00F753E8" w:rsidP="006E1769">
            <w:pPr>
              <w:jc w:val="center"/>
              <w:rPr>
                <w:rFonts w:ascii="Arial" w:hAnsi="Arial" w:cs="Arial"/>
                <w:b/>
                <w:color w:val="000000"/>
                <w:sz w:val="22"/>
                <w:szCs w:val="22"/>
              </w:rPr>
            </w:pPr>
            <w:r w:rsidRPr="008A0A4E">
              <w:rPr>
                <w:rFonts w:ascii="Arial" w:hAnsi="Arial" w:cs="Arial"/>
                <w:b/>
                <w:color w:val="000000"/>
                <w:sz w:val="22"/>
                <w:szCs w:val="22"/>
              </w:rPr>
              <w:t>£000</w:t>
            </w:r>
          </w:p>
        </w:tc>
      </w:tr>
      <w:tr w:rsidR="00F753E8" w:rsidRPr="00B64150" w14:paraId="33B20756" w14:textId="77777777" w:rsidTr="006E1769">
        <w:trPr>
          <w:trHeight w:val="259"/>
        </w:trPr>
        <w:tc>
          <w:tcPr>
            <w:tcW w:w="5387" w:type="dxa"/>
            <w:tcBorders>
              <w:top w:val="nil"/>
              <w:bottom w:val="nil"/>
              <w:right w:val="nil"/>
            </w:tcBorders>
            <w:shd w:val="clear" w:color="000000" w:fill="FFFFFF"/>
            <w:vAlign w:val="bottom"/>
            <w:hideMark/>
          </w:tcPr>
          <w:p w14:paraId="462990A3" w14:textId="77777777" w:rsidR="00F753E8" w:rsidRPr="008A0A4E" w:rsidRDefault="00F753E8" w:rsidP="006E1769">
            <w:pPr>
              <w:ind w:firstLineChars="100" w:firstLine="221"/>
              <w:rPr>
                <w:rFonts w:ascii="Arial" w:hAnsi="Arial" w:cs="Arial"/>
                <w:b/>
                <w:bCs/>
                <w:color w:val="000000"/>
                <w:sz w:val="22"/>
                <w:szCs w:val="22"/>
              </w:rPr>
            </w:pPr>
            <w:r w:rsidRPr="008A0A4E">
              <w:rPr>
                <w:rFonts w:ascii="Arial" w:hAnsi="Arial" w:cs="Arial"/>
                <w:b/>
                <w:bCs/>
                <w:color w:val="000000"/>
                <w:sz w:val="22"/>
                <w:szCs w:val="22"/>
              </w:rPr>
              <w:t>Investment Assets</w:t>
            </w:r>
          </w:p>
        </w:tc>
        <w:tc>
          <w:tcPr>
            <w:tcW w:w="1134" w:type="dxa"/>
            <w:tcBorders>
              <w:top w:val="nil"/>
              <w:left w:val="nil"/>
              <w:bottom w:val="nil"/>
              <w:right w:val="nil"/>
            </w:tcBorders>
            <w:shd w:val="clear" w:color="000000" w:fill="FFFFFF"/>
            <w:noWrap/>
            <w:vAlign w:val="bottom"/>
            <w:hideMark/>
          </w:tcPr>
          <w:p w14:paraId="439E8871"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16</w:t>
            </w:r>
          </w:p>
        </w:tc>
        <w:tc>
          <w:tcPr>
            <w:tcW w:w="1559" w:type="dxa"/>
            <w:tcBorders>
              <w:top w:val="nil"/>
              <w:left w:val="nil"/>
              <w:bottom w:val="nil"/>
              <w:right w:val="nil"/>
            </w:tcBorders>
            <w:shd w:val="clear" w:color="000000" w:fill="FFFFFF"/>
            <w:vAlign w:val="bottom"/>
          </w:tcPr>
          <w:p w14:paraId="33E53EFA" w14:textId="77777777" w:rsidR="00F753E8" w:rsidRPr="00D774FD" w:rsidRDefault="00F753E8" w:rsidP="006E1769">
            <w:pPr>
              <w:jc w:val="right"/>
              <w:rPr>
                <w:rFonts w:ascii="Arial" w:hAnsi="Arial" w:cs="Arial"/>
                <w:bCs/>
                <w:color w:val="000000"/>
                <w:sz w:val="22"/>
                <w:szCs w:val="22"/>
              </w:rPr>
            </w:pPr>
            <w:r w:rsidRPr="00D774FD">
              <w:rPr>
                <w:rFonts w:ascii="Arial" w:hAnsi="Arial" w:cs="Arial"/>
                <w:bCs/>
                <w:color w:val="000000"/>
                <w:sz w:val="22"/>
                <w:szCs w:val="22"/>
              </w:rPr>
              <w:t>1,311,990</w:t>
            </w:r>
          </w:p>
        </w:tc>
        <w:tc>
          <w:tcPr>
            <w:tcW w:w="1559" w:type="dxa"/>
            <w:tcBorders>
              <w:top w:val="nil"/>
              <w:left w:val="nil"/>
              <w:bottom w:val="nil"/>
              <w:right w:val="nil"/>
            </w:tcBorders>
            <w:shd w:val="clear" w:color="000000" w:fill="FFFFFF"/>
            <w:noWrap/>
            <w:vAlign w:val="bottom"/>
          </w:tcPr>
          <w:p w14:paraId="7CADD42F" w14:textId="77777777" w:rsidR="00F753E8" w:rsidRPr="008A0A4E" w:rsidRDefault="00F753E8" w:rsidP="006E1769">
            <w:pPr>
              <w:jc w:val="right"/>
              <w:rPr>
                <w:rFonts w:ascii="Arial" w:hAnsi="Arial" w:cs="Arial"/>
                <w:b/>
                <w:bCs/>
                <w:color w:val="000000"/>
                <w:sz w:val="22"/>
                <w:szCs w:val="22"/>
                <w:highlight w:val="yellow"/>
              </w:rPr>
            </w:pPr>
            <w:r>
              <w:rPr>
                <w:rFonts w:ascii="Arial" w:hAnsi="Arial" w:cs="Arial"/>
                <w:b/>
                <w:bCs/>
                <w:color w:val="000000"/>
                <w:sz w:val="22"/>
                <w:szCs w:val="22"/>
              </w:rPr>
              <w:t>1,385,048</w:t>
            </w:r>
          </w:p>
        </w:tc>
      </w:tr>
      <w:tr w:rsidR="00F753E8" w:rsidRPr="00B64150" w14:paraId="71F77819" w14:textId="77777777" w:rsidTr="006E1769">
        <w:trPr>
          <w:trHeight w:val="242"/>
        </w:trPr>
        <w:tc>
          <w:tcPr>
            <w:tcW w:w="5387" w:type="dxa"/>
            <w:tcBorders>
              <w:top w:val="nil"/>
              <w:bottom w:val="nil"/>
              <w:right w:val="nil"/>
            </w:tcBorders>
            <w:shd w:val="clear" w:color="000000" w:fill="FFFFFF"/>
            <w:noWrap/>
            <w:vAlign w:val="bottom"/>
          </w:tcPr>
          <w:p w14:paraId="4FD0363F" w14:textId="77777777" w:rsidR="00F753E8" w:rsidRPr="008A0A4E" w:rsidRDefault="00F753E8" w:rsidP="006E1769">
            <w:pPr>
              <w:ind w:firstLineChars="100" w:firstLine="221"/>
              <w:rPr>
                <w:rFonts w:ascii="Arial" w:hAnsi="Arial" w:cs="Arial"/>
                <w:b/>
                <w:bCs/>
                <w:color w:val="000000"/>
                <w:sz w:val="22"/>
                <w:szCs w:val="22"/>
              </w:rPr>
            </w:pPr>
            <w:r w:rsidRPr="008A0A4E">
              <w:rPr>
                <w:rFonts w:ascii="Arial" w:hAnsi="Arial" w:cs="Arial"/>
                <w:b/>
                <w:bCs/>
                <w:color w:val="000000"/>
                <w:sz w:val="22"/>
                <w:szCs w:val="22"/>
              </w:rPr>
              <w:t>Investment Liabilities</w:t>
            </w:r>
          </w:p>
        </w:tc>
        <w:tc>
          <w:tcPr>
            <w:tcW w:w="1134" w:type="dxa"/>
            <w:tcBorders>
              <w:top w:val="nil"/>
              <w:left w:val="nil"/>
              <w:bottom w:val="nil"/>
              <w:right w:val="nil"/>
            </w:tcBorders>
            <w:shd w:val="clear" w:color="000000" w:fill="FFFFFF"/>
            <w:noWrap/>
            <w:vAlign w:val="bottom"/>
          </w:tcPr>
          <w:p w14:paraId="01BDFE16"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16</w:t>
            </w:r>
          </w:p>
        </w:tc>
        <w:tc>
          <w:tcPr>
            <w:tcW w:w="1559" w:type="dxa"/>
            <w:tcBorders>
              <w:top w:val="nil"/>
              <w:left w:val="nil"/>
              <w:bottom w:val="nil"/>
              <w:right w:val="nil"/>
            </w:tcBorders>
            <w:shd w:val="clear" w:color="000000" w:fill="FFFFFF"/>
            <w:vAlign w:val="bottom"/>
          </w:tcPr>
          <w:p w14:paraId="70C93462" w14:textId="77777777" w:rsidR="00F753E8" w:rsidRPr="00D774FD" w:rsidRDefault="00F753E8" w:rsidP="006E1769">
            <w:pPr>
              <w:jc w:val="right"/>
              <w:rPr>
                <w:rFonts w:ascii="Arial" w:hAnsi="Arial" w:cs="Arial"/>
                <w:bCs/>
                <w:color w:val="000000"/>
                <w:sz w:val="22"/>
                <w:szCs w:val="22"/>
              </w:rPr>
            </w:pPr>
            <w:r w:rsidRPr="00D774FD">
              <w:rPr>
                <w:rFonts w:ascii="Arial" w:hAnsi="Arial" w:cs="Arial"/>
                <w:bCs/>
                <w:color w:val="000000"/>
                <w:sz w:val="22"/>
                <w:szCs w:val="22"/>
              </w:rPr>
              <w:t> </w:t>
            </w:r>
          </w:p>
        </w:tc>
        <w:tc>
          <w:tcPr>
            <w:tcW w:w="1559" w:type="dxa"/>
            <w:tcBorders>
              <w:top w:val="nil"/>
              <w:left w:val="nil"/>
              <w:bottom w:val="nil"/>
              <w:right w:val="nil"/>
            </w:tcBorders>
            <w:shd w:val="clear" w:color="000000" w:fill="FFFFFF"/>
            <w:noWrap/>
            <w:vAlign w:val="bottom"/>
          </w:tcPr>
          <w:p w14:paraId="71EB7BC0" w14:textId="77777777" w:rsidR="00F753E8" w:rsidRPr="008A0A4E" w:rsidRDefault="00F753E8" w:rsidP="006E1769">
            <w:pPr>
              <w:jc w:val="right"/>
              <w:rPr>
                <w:rFonts w:ascii="Arial" w:hAnsi="Arial" w:cs="Arial"/>
                <w:b/>
                <w:bCs/>
                <w:color w:val="000000"/>
                <w:sz w:val="22"/>
                <w:szCs w:val="22"/>
                <w:highlight w:val="yellow"/>
              </w:rPr>
            </w:pPr>
            <w:r>
              <w:rPr>
                <w:rFonts w:ascii="Arial" w:hAnsi="Arial" w:cs="Arial"/>
                <w:b/>
                <w:bCs/>
                <w:color w:val="000000"/>
                <w:sz w:val="22"/>
                <w:szCs w:val="22"/>
              </w:rPr>
              <w:t> </w:t>
            </w:r>
          </w:p>
        </w:tc>
      </w:tr>
      <w:tr w:rsidR="00F753E8" w:rsidRPr="00B64150" w14:paraId="75E28C89" w14:textId="77777777" w:rsidTr="006E1769">
        <w:trPr>
          <w:trHeight w:val="242"/>
        </w:trPr>
        <w:tc>
          <w:tcPr>
            <w:tcW w:w="5387" w:type="dxa"/>
            <w:tcBorders>
              <w:top w:val="nil"/>
              <w:bottom w:val="nil"/>
              <w:right w:val="nil"/>
            </w:tcBorders>
            <w:shd w:val="clear" w:color="000000" w:fill="FFFFFF"/>
            <w:noWrap/>
            <w:vAlign w:val="bottom"/>
            <w:hideMark/>
          </w:tcPr>
          <w:p w14:paraId="3DC740F5" w14:textId="77777777" w:rsidR="00F753E8" w:rsidRPr="008A0A4E" w:rsidRDefault="00F753E8" w:rsidP="006E1769">
            <w:pPr>
              <w:ind w:firstLineChars="100" w:firstLine="221"/>
              <w:rPr>
                <w:rFonts w:ascii="Arial" w:hAnsi="Arial" w:cs="Arial"/>
                <w:b/>
                <w:bCs/>
                <w:color w:val="000000"/>
                <w:sz w:val="22"/>
                <w:szCs w:val="22"/>
              </w:rPr>
            </w:pPr>
            <w:r w:rsidRPr="008A0A4E">
              <w:rPr>
                <w:rFonts w:ascii="Arial" w:hAnsi="Arial" w:cs="Arial"/>
                <w:b/>
                <w:bCs/>
                <w:color w:val="000000"/>
                <w:sz w:val="22"/>
                <w:szCs w:val="22"/>
              </w:rPr>
              <w:t>Current Assets</w:t>
            </w:r>
          </w:p>
        </w:tc>
        <w:tc>
          <w:tcPr>
            <w:tcW w:w="1134" w:type="dxa"/>
            <w:tcBorders>
              <w:top w:val="nil"/>
              <w:left w:val="nil"/>
              <w:bottom w:val="nil"/>
              <w:right w:val="nil"/>
            </w:tcBorders>
            <w:shd w:val="clear" w:color="000000" w:fill="FFFFFF"/>
            <w:noWrap/>
            <w:vAlign w:val="bottom"/>
            <w:hideMark/>
          </w:tcPr>
          <w:p w14:paraId="2013C3CF"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17</w:t>
            </w:r>
          </w:p>
        </w:tc>
        <w:tc>
          <w:tcPr>
            <w:tcW w:w="1559" w:type="dxa"/>
            <w:tcBorders>
              <w:top w:val="nil"/>
              <w:left w:val="nil"/>
              <w:bottom w:val="nil"/>
              <w:right w:val="nil"/>
            </w:tcBorders>
            <w:shd w:val="clear" w:color="000000" w:fill="FFFFFF"/>
            <w:vAlign w:val="bottom"/>
          </w:tcPr>
          <w:p w14:paraId="314B96A5" w14:textId="77777777" w:rsidR="00F753E8" w:rsidRPr="00D774FD" w:rsidRDefault="00F753E8" w:rsidP="006E1769">
            <w:pPr>
              <w:jc w:val="right"/>
              <w:rPr>
                <w:rFonts w:ascii="Arial" w:hAnsi="Arial" w:cs="Arial"/>
                <w:bCs/>
                <w:color w:val="000000"/>
                <w:sz w:val="22"/>
                <w:szCs w:val="22"/>
              </w:rPr>
            </w:pPr>
            <w:r w:rsidRPr="00D774FD">
              <w:rPr>
                <w:rFonts w:ascii="Arial" w:hAnsi="Arial" w:cs="Arial"/>
                <w:bCs/>
                <w:color w:val="000000"/>
                <w:sz w:val="22"/>
                <w:szCs w:val="22"/>
              </w:rPr>
              <w:t>1,067</w:t>
            </w:r>
          </w:p>
        </w:tc>
        <w:tc>
          <w:tcPr>
            <w:tcW w:w="1559" w:type="dxa"/>
            <w:tcBorders>
              <w:top w:val="nil"/>
              <w:left w:val="nil"/>
              <w:bottom w:val="nil"/>
              <w:right w:val="nil"/>
            </w:tcBorders>
            <w:shd w:val="clear" w:color="000000" w:fill="FFFFFF"/>
            <w:noWrap/>
            <w:vAlign w:val="bottom"/>
          </w:tcPr>
          <w:p w14:paraId="3BDF057E" w14:textId="77777777" w:rsidR="00F753E8" w:rsidRPr="008A0A4E" w:rsidRDefault="00F753E8" w:rsidP="006E1769">
            <w:pPr>
              <w:jc w:val="right"/>
              <w:rPr>
                <w:rFonts w:ascii="Arial" w:hAnsi="Arial" w:cs="Arial"/>
                <w:b/>
                <w:bCs/>
                <w:color w:val="000000"/>
                <w:sz w:val="22"/>
                <w:szCs w:val="22"/>
              </w:rPr>
            </w:pPr>
            <w:r>
              <w:rPr>
                <w:rFonts w:ascii="Arial" w:hAnsi="Arial" w:cs="Arial"/>
                <w:b/>
                <w:bCs/>
                <w:color w:val="000000"/>
                <w:sz w:val="22"/>
                <w:szCs w:val="22"/>
              </w:rPr>
              <w:t>1,229</w:t>
            </w:r>
          </w:p>
        </w:tc>
      </w:tr>
      <w:tr w:rsidR="00F753E8" w:rsidRPr="00B64150" w14:paraId="09F77BA7" w14:textId="77777777" w:rsidTr="006E1769">
        <w:trPr>
          <w:trHeight w:val="256"/>
        </w:trPr>
        <w:tc>
          <w:tcPr>
            <w:tcW w:w="5387" w:type="dxa"/>
            <w:tcBorders>
              <w:top w:val="nil"/>
              <w:bottom w:val="nil"/>
              <w:right w:val="nil"/>
            </w:tcBorders>
            <w:shd w:val="clear" w:color="000000" w:fill="FFFFFF"/>
            <w:noWrap/>
            <w:vAlign w:val="bottom"/>
            <w:hideMark/>
          </w:tcPr>
          <w:p w14:paraId="0F3654D7" w14:textId="77777777" w:rsidR="00F753E8" w:rsidRPr="008A0A4E" w:rsidRDefault="00F753E8" w:rsidP="006E1769">
            <w:pPr>
              <w:ind w:firstLineChars="100" w:firstLine="221"/>
              <w:rPr>
                <w:rFonts w:ascii="Arial" w:hAnsi="Arial" w:cs="Arial"/>
                <w:b/>
                <w:bCs/>
                <w:color w:val="000000"/>
                <w:sz w:val="22"/>
                <w:szCs w:val="22"/>
              </w:rPr>
            </w:pPr>
            <w:r w:rsidRPr="008A0A4E">
              <w:rPr>
                <w:rFonts w:ascii="Arial" w:hAnsi="Arial" w:cs="Arial"/>
                <w:b/>
                <w:bCs/>
                <w:color w:val="000000"/>
                <w:sz w:val="22"/>
                <w:szCs w:val="22"/>
              </w:rPr>
              <w:t>Current Liabilities</w:t>
            </w:r>
          </w:p>
        </w:tc>
        <w:tc>
          <w:tcPr>
            <w:tcW w:w="1134" w:type="dxa"/>
            <w:tcBorders>
              <w:top w:val="nil"/>
              <w:left w:val="nil"/>
              <w:bottom w:val="nil"/>
              <w:right w:val="nil"/>
            </w:tcBorders>
            <w:shd w:val="clear" w:color="000000" w:fill="FFFFFF"/>
            <w:noWrap/>
            <w:vAlign w:val="bottom"/>
            <w:hideMark/>
          </w:tcPr>
          <w:p w14:paraId="32617354"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17</w:t>
            </w:r>
          </w:p>
        </w:tc>
        <w:tc>
          <w:tcPr>
            <w:tcW w:w="1559" w:type="dxa"/>
            <w:tcBorders>
              <w:top w:val="nil"/>
              <w:left w:val="nil"/>
              <w:bottom w:val="nil"/>
              <w:right w:val="nil"/>
            </w:tcBorders>
            <w:shd w:val="clear" w:color="000000" w:fill="FFFFFF"/>
            <w:vAlign w:val="bottom"/>
          </w:tcPr>
          <w:p w14:paraId="5F923255" w14:textId="77777777" w:rsidR="00F753E8" w:rsidRPr="00D774FD" w:rsidRDefault="00F753E8" w:rsidP="006E1769">
            <w:pPr>
              <w:jc w:val="right"/>
              <w:rPr>
                <w:rFonts w:ascii="Arial" w:hAnsi="Arial" w:cs="Arial"/>
                <w:bCs/>
                <w:color w:val="000000"/>
                <w:sz w:val="22"/>
                <w:szCs w:val="22"/>
              </w:rPr>
            </w:pPr>
            <w:r w:rsidRPr="00D774FD">
              <w:rPr>
                <w:rFonts w:ascii="Arial" w:hAnsi="Arial" w:cs="Arial"/>
                <w:bCs/>
                <w:color w:val="000000"/>
                <w:sz w:val="22"/>
                <w:szCs w:val="22"/>
              </w:rPr>
              <w:t>(49,962)</w:t>
            </w:r>
          </w:p>
        </w:tc>
        <w:tc>
          <w:tcPr>
            <w:tcW w:w="1559" w:type="dxa"/>
            <w:tcBorders>
              <w:top w:val="nil"/>
              <w:left w:val="nil"/>
              <w:bottom w:val="nil"/>
              <w:right w:val="nil"/>
            </w:tcBorders>
            <w:shd w:val="clear" w:color="000000" w:fill="FFFFFF"/>
            <w:noWrap/>
            <w:vAlign w:val="bottom"/>
          </w:tcPr>
          <w:p w14:paraId="06A1D866" w14:textId="77777777" w:rsidR="00F753E8" w:rsidRPr="003A7242" w:rsidRDefault="00F753E8" w:rsidP="006E1769">
            <w:pPr>
              <w:jc w:val="right"/>
              <w:rPr>
                <w:rFonts w:ascii="Arial" w:hAnsi="Arial" w:cs="Arial"/>
                <w:b/>
                <w:bCs/>
                <w:color w:val="000000"/>
                <w:sz w:val="22"/>
                <w:szCs w:val="22"/>
              </w:rPr>
            </w:pPr>
            <w:r>
              <w:rPr>
                <w:rFonts w:ascii="Arial" w:hAnsi="Arial" w:cs="Arial"/>
                <w:b/>
                <w:bCs/>
                <w:color w:val="000000"/>
                <w:sz w:val="22"/>
                <w:szCs w:val="22"/>
              </w:rPr>
              <w:t>(44,847)</w:t>
            </w:r>
          </w:p>
        </w:tc>
      </w:tr>
      <w:tr w:rsidR="00F753E8" w:rsidRPr="00B64150" w14:paraId="6B698B06" w14:textId="77777777" w:rsidTr="006E1769">
        <w:trPr>
          <w:trHeight w:val="256"/>
        </w:trPr>
        <w:tc>
          <w:tcPr>
            <w:tcW w:w="5387" w:type="dxa"/>
            <w:tcBorders>
              <w:top w:val="nil"/>
              <w:right w:val="nil"/>
            </w:tcBorders>
            <w:shd w:val="clear" w:color="000000" w:fill="FFFFFF"/>
            <w:noWrap/>
            <w:vAlign w:val="bottom"/>
            <w:hideMark/>
          </w:tcPr>
          <w:p w14:paraId="764F6ACA" w14:textId="77777777" w:rsidR="00F753E8" w:rsidRPr="00C60574" w:rsidRDefault="00F753E8" w:rsidP="006E1769">
            <w:pPr>
              <w:ind w:left="284"/>
              <w:rPr>
                <w:rFonts w:ascii="Arial" w:hAnsi="Arial" w:cs="Arial"/>
                <w:b/>
                <w:bCs/>
                <w:color w:val="000000"/>
                <w:sz w:val="22"/>
                <w:szCs w:val="22"/>
              </w:rPr>
            </w:pPr>
            <w:r w:rsidRPr="00C60574">
              <w:rPr>
                <w:rFonts w:ascii="Arial" w:hAnsi="Arial" w:cs="Arial"/>
                <w:b/>
                <w:bCs/>
                <w:color w:val="000000"/>
                <w:sz w:val="22"/>
                <w:szCs w:val="22"/>
              </w:rPr>
              <w:t>Net asset of the fund available to fund benefits at the end of the reporting period</w:t>
            </w:r>
          </w:p>
        </w:tc>
        <w:tc>
          <w:tcPr>
            <w:tcW w:w="1134" w:type="dxa"/>
            <w:tcBorders>
              <w:top w:val="nil"/>
              <w:left w:val="nil"/>
              <w:right w:val="nil"/>
            </w:tcBorders>
            <w:shd w:val="clear" w:color="000000" w:fill="FFFFFF"/>
            <w:noWrap/>
            <w:vAlign w:val="bottom"/>
            <w:hideMark/>
          </w:tcPr>
          <w:p w14:paraId="5FC0BF44" w14:textId="77777777" w:rsidR="00F753E8" w:rsidRPr="00C60574" w:rsidRDefault="00F753E8" w:rsidP="006E1769">
            <w:pPr>
              <w:jc w:val="center"/>
              <w:rPr>
                <w:rFonts w:ascii="Arial" w:hAnsi="Arial" w:cs="Arial"/>
                <w:b/>
                <w:bCs/>
                <w:color w:val="000000"/>
                <w:sz w:val="22"/>
                <w:szCs w:val="22"/>
              </w:rPr>
            </w:pPr>
            <w:r w:rsidRPr="00C60574">
              <w:rPr>
                <w:rFonts w:ascii="Arial" w:hAnsi="Arial" w:cs="Arial"/>
                <w:b/>
                <w:bCs/>
                <w:color w:val="000000"/>
                <w:sz w:val="22"/>
                <w:szCs w:val="22"/>
              </w:rPr>
              <w:t> </w:t>
            </w:r>
          </w:p>
        </w:tc>
        <w:tc>
          <w:tcPr>
            <w:tcW w:w="1559" w:type="dxa"/>
            <w:tcBorders>
              <w:top w:val="single" w:sz="8" w:space="0" w:color="auto"/>
              <w:left w:val="nil"/>
              <w:right w:val="nil"/>
            </w:tcBorders>
            <w:shd w:val="clear" w:color="000000" w:fill="FFFFFF"/>
            <w:vAlign w:val="bottom"/>
          </w:tcPr>
          <w:p w14:paraId="00768586" w14:textId="77777777" w:rsidR="00F753E8" w:rsidRPr="00D774FD" w:rsidRDefault="00F753E8" w:rsidP="006E1769">
            <w:pPr>
              <w:jc w:val="right"/>
              <w:rPr>
                <w:rFonts w:ascii="Arial" w:hAnsi="Arial" w:cs="Arial"/>
                <w:bCs/>
                <w:color w:val="000000"/>
                <w:sz w:val="22"/>
                <w:szCs w:val="22"/>
              </w:rPr>
            </w:pPr>
            <w:r w:rsidRPr="00D774FD">
              <w:rPr>
                <w:rFonts w:ascii="Arial" w:hAnsi="Arial" w:cs="Arial"/>
                <w:bCs/>
                <w:color w:val="000000"/>
                <w:sz w:val="22"/>
                <w:szCs w:val="22"/>
              </w:rPr>
              <w:t>1,263,095</w:t>
            </w:r>
          </w:p>
        </w:tc>
        <w:tc>
          <w:tcPr>
            <w:tcW w:w="1559" w:type="dxa"/>
            <w:tcBorders>
              <w:top w:val="single" w:sz="8" w:space="0" w:color="auto"/>
              <w:left w:val="nil"/>
              <w:bottom w:val="single" w:sz="4" w:space="0" w:color="auto"/>
              <w:right w:val="nil"/>
            </w:tcBorders>
            <w:shd w:val="clear" w:color="000000" w:fill="FFFFFF"/>
            <w:noWrap/>
            <w:vAlign w:val="bottom"/>
          </w:tcPr>
          <w:p w14:paraId="5DED15C8" w14:textId="77777777" w:rsidR="00F753E8" w:rsidRPr="00B215F9" w:rsidRDefault="00F753E8" w:rsidP="006E1769">
            <w:pPr>
              <w:jc w:val="right"/>
              <w:rPr>
                <w:rFonts w:ascii="Arial" w:hAnsi="Arial" w:cs="Arial"/>
                <w:b/>
                <w:bCs/>
                <w:color w:val="000000"/>
                <w:sz w:val="22"/>
                <w:szCs w:val="22"/>
              </w:rPr>
            </w:pPr>
            <w:r>
              <w:rPr>
                <w:rFonts w:ascii="Arial" w:hAnsi="Arial" w:cs="Arial"/>
                <w:b/>
                <w:bCs/>
                <w:color w:val="000000"/>
                <w:sz w:val="22"/>
                <w:szCs w:val="22"/>
              </w:rPr>
              <w:t>1,341,931</w:t>
            </w:r>
          </w:p>
        </w:tc>
      </w:tr>
    </w:tbl>
    <w:p w14:paraId="4B0743AA" w14:textId="77777777" w:rsidR="00F753E8" w:rsidRPr="008A0A4E" w:rsidRDefault="00F753E8" w:rsidP="00F753E8">
      <w:pPr>
        <w:tabs>
          <w:tab w:val="left" w:pos="284"/>
        </w:tabs>
        <w:rPr>
          <w:rFonts w:ascii="Arial" w:hAnsi="Arial" w:cs="Arial"/>
          <w:b/>
          <w:sz w:val="22"/>
          <w:szCs w:val="22"/>
        </w:rPr>
      </w:pPr>
    </w:p>
    <w:p w14:paraId="70BBAC8B" w14:textId="77777777" w:rsidR="00F753E8" w:rsidRPr="008A0A4E" w:rsidRDefault="00F753E8" w:rsidP="00F753E8">
      <w:pPr>
        <w:tabs>
          <w:tab w:val="left" w:pos="284"/>
        </w:tabs>
        <w:rPr>
          <w:rFonts w:ascii="Arial" w:hAnsi="Arial" w:cs="Arial"/>
          <w:b/>
          <w:sz w:val="22"/>
          <w:szCs w:val="22"/>
        </w:rPr>
      </w:pPr>
    </w:p>
    <w:p w14:paraId="6AD73DE4" w14:textId="77777777" w:rsidR="00F753E8" w:rsidRPr="008A0A4E" w:rsidRDefault="00F753E8" w:rsidP="00F753E8">
      <w:pPr>
        <w:tabs>
          <w:tab w:val="left" w:pos="284"/>
        </w:tabs>
        <w:rPr>
          <w:rFonts w:ascii="Arial" w:hAnsi="Arial" w:cs="Arial"/>
          <w:b/>
          <w:sz w:val="22"/>
          <w:szCs w:val="22"/>
        </w:rPr>
      </w:pPr>
    </w:p>
    <w:p w14:paraId="5E6E3529" w14:textId="77777777" w:rsidR="00F753E8" w:rsidRDefault="00F753E8" w:rsidP="00F753E8">
      <w:pPr>
        <w:tabs>
          <w:tab w:val="left" w:pos="284"/>
        </w:tabs>
        <w:rPr>
          <w:rFonts w:ascii="Arial" w:hAnsi="Arial" w:cs="Arial"/>
          <w:b/>
          <w:sz w:val="22"/>
          <w:szCs w:val="22"/>
        </w:rPr>
      </w:pPr>
    </w:p>
    <w:p w14:paraId="44FA3DEF" w14:textId="77777777" w:rsidR="00F753E8" w:rsidRPr="008A0A4E" w:rsidRDefault="00F753E8" w:rsidP="00F753E8">
      <w:pPr>
        <w:tabs>
          <w:tab w:val="left" w:pos="284"/>
        </w:tabs>
        <w:rPr>
          <w:rFonts w:ascii="Arial" w:hAnsi="Arial" w:cs="Arial"/>
          <w:b/>
          <w:sz w:val="22"/>
          <w:szCs w:val="22"/>
        </w:rPr>
      </w:pPr>
    </w:p>
    <w:p w14:paraId="4F26E412" w14:textId="77777777" w:rsidR="00F753E8" w:rsidRDefault="00F753E8" w:rsidP="00F753E8">
      <w:pPr>
        <w:tabs>
          <w:tab w:val="left" w:pos="284"/>
        </w:tabs>
        <w:rPr>
          <w:rFonts w:ascii="Arial" w:hAnsi="Arial" w:cs="Arial"/>
          <w:b/>
          <w:sz w:val="22"/>
          <w:szCs w:val="22"/>
        </w:rPr>
      </w:pPr>
    </w:p>
    <w:p w14:paraId="2208761C" w14:textId="77777777" w:rsidR="00F753E8" w:rsidRDefault="00F753E8" w:rsidP="00F753E8">
      <w:pPr>
        <w:tabs>
          <w:tab w:val="left" w:pos="284"/>
        </w:tabs>
        <w:rPr>
          <w:rFonts w:ascii="Arial" w:hAnsi="Arial" w:cs="Arial"/>
          <w:b/>
          <w:sz w:val="22"/>
          <w:szCs w:val="22"/>
        </w:rPr>
      </w:pPr>
    </w:p>
    <w:p w14:paraId="240B8D93" w14:textId="77777777" w:rsidR="0077550B" w:rsidRDefault="0077550B" w:rsidP="00F753E8">
      <w:pPr>
        <w:tabs>
          <w:tab w:val="left" w:pos="284"/>
        </w:tabs>
        <w:rPr>
          <w:rFonts w:ascii="Arial" w:hAnsi="Arial" w:cs="Arial"/>
          <w:b/>
          <w:sz w:val="22"/>
          <w:szCs w:val="22"/>
        </w:rPr>
      </w:pPr>
    </w:p>
    <w:p w14:paraId="25EBEC67" w14:textId="77777777" w:rsidR="0077550B" w:rsidRDefault="0077550B" w:rsidP="00F753E8">
      <w:pPr>
        <w:tabs>
          <w:tab w:val="left" w:pos="284"/>
        </w:tabs>
        <w:rPr>
          <w:rFonts w:ascii="Arial" w:hAnsi="Arial" w:cs="Arial"/>
          <w:b/>
          <w:sz w:val="22"/>
          <w:szCs w:val="22"/>
        </w:rPr>
      </w:pPr>
    </w:p>
    <w:p w14:paraId="2CB47D48" w14:textId="77777777" w:rsidR="0077550B" w:rsidRDefault="0077550B" w:rsidP="00F753E8">
      <w:pPr>
        <w:tabs>
          <w:tab w:val="left" w:pos="284"/>
        </w:tabs>
        <w:rPr>
          <w:rFonts w:ascii="Arial" w:hAnsi="Arial" w:cs="Arial"/>
          <w:b/>
          <w:sz w:val="22"/>
          <w:szCs w:val="22"/>
        </w:rPr>
      </w:pPr>
    </w:p>
    <w:p w14:paraId="39A7D568" w14:textId="77777777" w:rsidR="00F753E8" w:rsidRPr="008A0A4E" w:rsidRDefault="00F753E8" w:rsidP="00F753E8">
      <w:pPr>
        <w:tabs>
          <w:tab w:val="left" w:pos="284"/>
        </w:tabs>
        <w:rPr>
          <w:rFonts w:ascii="Arial" w:hAnsi="Arial" w:cs="Arial"/>
          <w:b/>
          <w:sz w:val="22"/>
          <w:szCs w:val="22"/>
        </w:rPr>
      </w:pPr>
    </w:p>
    <w:p w14:paraId="76B2CA53" w14:textId="77777777" w:rsidR="00F753E8" w:rsidRPr="008A0A4E" w:rsidRDefault="00F753E8" w:rsidP="00F753E8">
      <w:pPr>
        <w:tabs>
          <w:tab w:val="left" w:pos="284"/>
        </w:tabs>
        <w:rPr>
          <w:rFonts w:ascii="Arial" w:hAnsi="Arial" w:cs="Arial"/>
          <w:b/>
          <w:sz w:val="22"/>
          <w:szCs w:val="22"/>
        </w:rPr>
      </w:pPr>
    </w:p>
    <w:p w14:paraId="4408C04C" w14:textId="77777777" w:rsidR="00F753E8" w:rsidRPr="008A0A4E" w:rsidRDefault="00F753E8" w:rsidP="00F753E8">
      <w:pPr>
        <w:tabs>
          <w:tab w:val="left" w:pos="284"/>
        </w:tabs>
        <w:jc w:val="center"/>
        <w:rPr>
          <w:rFonts w:ascii="Arial" w:hAnsi="Arial" w:cs="Arial"/>
          <w:b/>
          <w:sz w:val="22"/>
          <w:szCs w:val="22"/>
        </w:rPr>
      </w:pPr>
      <w:r w:rsidRPr="008A0A4E">
        <w:rPr>
          <w:rFonts w:ascii="Arial" w:hAnsi="Arial" w:cs="Arial"/>
          <w:b/>
          <w:sz w:val="22"/>
          <w:szCs w:val="22"/>
        </w:rPr>
        <w:t xml:space="preserve">Notes to the Pension Fund Accounts for the year </w:t>
      </w:r>
      <w:proofErr w:type="gramStart"/>
      <w:r w:rsidRPr="008A0A4E">
        <w:rPr>
          <w:rFonts w:ascii="Arial" w:hAnsi="Arial" w:cs="Arial"/>
          <w:b/>
          <w:sz w:val="22"/>
          <w:szCs w:val="22"/>
        </w:rPr>
        <w:t>ended</w:t>
      </w:r>
      <w:proofErr w:type="gramEnd"/>
    </w:p>
    <w:p w14:paraId="1EC5FE0D" w14:textId="77777777" w:rsidR="00F753E8" w:rsidRDefault="00F753E8" w:rsidP="00F753E8">
      <w:pPr>
        <w:ind w:left="720"/>
        <w:jc w:val="center"/>
        <w:rPr>
          <w:rFonts w:ascii="Arial" w:hAnsi="Arial" w:cs="Arial"/>
          <w:b/>
          <w:sz w:val="22"/>
          <w:szCs w:val="22"/>
        </w:rPr>
      </w:pPr>
      <w:r w:rsidRPr="008A0A4E">
        <w:rPr>
          <w:rFonts w:ascii="Arial" w:hAnsi="Arial" w:cs="Arial"/>
          <w:b/>
          <w:sz w:val="22"/>
          <w:szCs w:val="22"/>
        </w:rPr>
        <w:t>31 March 202</w:t>
      </w:r>
      <w:r>
        <w:rPr>
          <w:rFonts w:ascii="Arial" w:hAnsi="Arial" w:cs="Arial"/>
          <w:b/>
          <w:sz w:val="22"/>
          <w:szCs w:val="22"/>
        </w:rPr>
        <w:t>2</w:t>
      </w:r>
    </w:p>
    <w:p w14:paraId="2CAFF56B" w14:textId="77777777" w:rsidR="00F753E8" w:rsidRPr="008A0A4E" w:rsidRDefault="00F753E8" w:rsidP="00F753E8">
      <w:pPr>
        <w:rPr>
          <w:rFonts w:ascii="Arial" w:hAnsi="Arial" w:cs="Arial"/>
          <w:b/>
          <w:sz w:val="22"/>
          <w:szCs w:val="22"/>
        </w:rPr>
      </w:pPr>
    </w:p>
    <w:p w14:paraId="7566C24A" w14:textId="77777777" w:rsidR="00F753E8" w:rsidRPr="008A0A4E" w:rsidRDefault="00F753E8" w:rsidP="00F753E8">
      <w:pPr>
        <w:pStyle w:val="ListParagraph"/>
        <w:numPr>
          <w:ilvl w:val="0"/>
          <w:numId w:val="10"/>
        </w:numPr>
        <w:spacing w:after="0" w:line="240" w:lineRule="auto"/>
        <w:ind w:left="284" w:hanging="284"/>
        <w:rPr>
          <w:rFonts w:ascii="Arial" w:hAnsi="Arial" w:cs="Arial"/>
          <w:b/>
        </w:rPr>
      </w:pPr>
      <w:r w:rsidRPr="008A0A4E">
        <w:rPr>
          <w:rFonts w:ascii="Arial" w:hAnsi="Arial" w:cs="Arial"/>
          <w:b/>
        </w:rPr>
        <w:t>Introduction</w:t>
      </w:r>
    </w:p>
    <w:p w14:paraId="02388879" w14:textId="77777777" w:rsidR="00F753E8" w:rsidRPr="008A0A4E" w:rsidRDefault="00F753E8" w:rsidP="00F753E8">
      <w:pPr>
        <w:rPr>
          <w:rFonts w:ascii="Arial" w:hAnsi="Arial" w:cs="Arial"/>
          <w:b/>
          <w:sz w:val="22"/>
          <w:szCs w:val="22"/>
        </w:rPr>
      </w:pPr>
    </w:p>
    <w:p w14:paraId="4DD83989" w14:textId="77777777" w:rsidR="00F753E8" w:rsidRPr="00C60574" w:rsidRDefault="00F753E8" w:rsidP="00F753E8">
      <w:pPr>
        <w:ind w:left="284"/>
        <w:jc w:val="both"/>
        <w:rPr>
          <w:rFonts w:ascii="Arial" w:hAnsi="Arial" w:cs="Arial"/>
          <w:sz w:val="22"/>
          <w:szCs w:val="22"/>
        </w:rPr>
      </w:pPr>
      <w:r w:rsidRPr="00C60574">
        <w:rPr>
          <w:rFonts w:ascii="Arial" w:hAnsi="Arial" w:cs="Arial"/>
          <w:sz w:val="22"/>
          <w:szCs w:val="22"/>
        </w:rPr>
        <w:t>The Barking and Dagenham Pension Fund (“the Fund”) is part of the Local Government Pension Scheme (“LGPS”) and is administered by the London Borough of Barking and Dagenham (“LBBD”). The Council is the reporting entity for this Fund. The Fund is governed by the Public Service Pensions Act 2013 and the following secondary legislation:</w:t>
      </w:r>
    </w:p>
    <w:p w14:paraId="7B2423B8" w14:textId="77777777" w:rsidR="00F753E8" w:rsidRPr="00C60574" w:rsidRDefault="00F753E8" w:rsidP="00F753E8">
      <w:pPr>
        <w:ind w:left="284"/>
        <w:jc w:val="both"/>
        <w:rPr>
          <w:rFonts w:ascii="Arial" w:hAnsi="Arial" w:cs="Arial"/>
          <w:sz w:val="22"/>
          <w:szCs w:val="22"/>
        </w:rPr>
      </w:pPr>
    </w:p>
    <w:p w14:paraId="347B50B7" w14:textId="77777777" w:rsidR="00F753E8" w:rsidRPr="00C60574" w:rsidRDefault="00F753E8" w:rsidP="007337FE">
      <w:pPr>
        <w:pStyle w:val="ListParagraph"/>
        <w:numPr>
          <w:ilvl w:val="0"/>
          <w:numId w:val="95"/>
        </w:numPr>
        <w:ind w:left="851" w:hanging="142"/>
        <w:jc w:val="both"/>
        <w:rPr>
          <w:rFonts w:ascii="Arial" w:hAnsi="Arial" w:cs="Arial"/>
        </w:rPr>
      </w:pPr>
      <w:r w:rsidRPr="00C60574">
        <w:rPr>
          <w:rFonts w:ascii="Arial" w:hAnsi="Arial" w:cs="Arial"/>
        </w:rPr>
        <w:t>The LGPS Regulations 2013 (as amended)</w:t>
      </w:r>
    </w:p>
    <w:p w14:paraId="79D45485" w14:textId="77777777" w:rsidR="00F753E8" w:rsidRPr="00C60574" w:rsidRDefault="00F753E8" w:rsidP="007337FE">
      <w:pPr>
        <w:pStyle w:val="ListParagraph"/>
        <w:numPr>
          <w:ilvl w:val="0"/>
          <w:numId w:val="95"/>
        </w:numPr>
        <w:ind w:left="851" w:hanging="142"/>
        <w:jc w:val="both"/>
        <w:rPr>
          <w:rFonts w:ascii="Arial" w:hAnsi="Arial" w:cs="Arial"/>
        </w:rPr>
      </w:pPr>
      <w:r w:rsidRPr="00C60574">
        <w:rPr>
          <w:rFonts w:ascii="Arial" w:hAnsi="Arial" w:cs="Arial"/>
        </w:rPr>
        <w:t>The LGPS (Transitional Provisions, Savings and Amendment) Regulations 2014 (as amended) and</w:t>
      </w:r>
    </w:p>
    <w:p w14:paraId="61BB5C90" w14:textId="77777777" w:rsidR="00F753E8" w:rsidRPr="00C60574" w:rsidRDefault="00F753E8" w:rsidP="007337FE">
      <w:pPr>
        <w:pStyle w:val="ListParagraph"/>
        <w:numPr>
          <w:ilvl w:val="0"/>
          <w:numId w:val="95"/>
        </w:numPr>
        <w:ind w:left="851" w:hanging="142"/>
        <w:jc w:val="both"/>
        <w:rPr>
          <w:rFonts w:ascii="Arial" w:hAnsi="Arial" w:cs="Arial"/>
        </w:rPr>
      </w:pPr>
      <w:r w:rsidRPr="00C60574">
        <w:rPr>
          <w:rFonts w:ascii="Arial" w:hAnsi="Arial" w:cs="Arial"/>
        </w:rPr>
        <w:t>The LGPS (Management and Investment of Funds) Regulations 2016.</w:t>
      </w:r>
    </w:p>
    <w:p w14:paraId="6BDAF007" w14:textId="77777777" w:rsidR="00F753E8" w:rsidRPr="00C60574" w:rsidRDefault="00F753E8" w:rsidP="00F753E8">
      <w:pPr>
        <w:ind w:left="284"/>
        <w:jc w:val="both"/>
        <w:rPr>
          <w:rFonts w:ascii="Arial" w:hAnsi="Arial" w:cs="Arial"/>
          <w:sz w:val="22"/>
          <w:szCs w:val="22"/>
        </w:rPr>
      </w:pPr>
      <w:r w:rsidRPr="00C60574">
        <w:rPr>
          <w:rFonts w:ascii="Arial" w:hAnsi="Arial" w:cs="Arial"/>
          <w:sz w:val="22"/>
          <w:szCs w:val="22"/>
        </w:rPr>
        <w:t xml:space="preserve">The Fund is operated as a funded, defined benefit scheme which provides for the payment of benefits to former employees of LBBD and those bodies admitted to the Fund, referred to as “members”. The benefits include not only retirement pensions, but also widow’s pensions, death grants and lump sum payments in certain circumstances. The Fund is financed by contributions from members, employers and from interest and dividends on the Fund’s investments. </w:t>
      </w:r>
    </w:p>
    <w:p w14:paraId="49373614" w14:textId="77777777" w:rsidR="00F753E8" w:rsidRPr="00C60574" w:rsidRDefault="00F753E8" w:rsidP="00F753E8">
      <w:pPr>
        <w:ind w:left="284"/>
        <w:jc w:val="both"/>
        <w:rPr>
          <w:rFonts w:ascii="Arial" w:hAnsi="Arial" w:cs="Arial"/>
          <w:sz w:val="22"/>
          <w:szCs w:val="22"/>
        </w:rPr>
      </w:pPr>
    </w:p>
    <w:p w14:paraId="662268B7" w14:textId="77777777" w:rsidR="00F753E8" w:rsidRPr="00C60574" w:rsidRDefault="00F753E8" w:rsidP="00F753E8">
      <w:pPr>
        <w:ind w:left="284"/>
        <w:jc w:val="both"/>
        <w:rPr>
          <w:rFonts w:ascii="Arial" w:hAnsi="Arial" w:cs="Arial"/>
          <w:sz w:val="22"/>
          <w:szCs w:val="22"/>
        </w:rPr>
      </w:pPr>
      <w:r w:rsidRPr="00C60574">
        <w:rPr>
          <w:rFonts w:ascii="Arial" w:hAnsi="Arial" w:cs="Arial"/>
          <w:sz w:val="22"/>
          <w:szCs w:val="22"/>
        </w:rPr>
        <w:t>The objective of the financial statements is to provide information about the fund</w:t>
      </w:r>
      <w:r>
        <w:rPr>
          <w:rFonts w:ascii="Arial" w:hAnsi="Arial" w:cs="Arial"/>
          <w:sz w:val="22"/>
          <w:szCs w:val="22"/>
        </w:rPr>
        <w:t>’</w:t>
      </w:r>
      <w:r w:rsidRPr="00C60574">
        <w:rPr>
          <w:rFonts w:ascii="Arial" w:hAnsi="Arial" w:cs="Arial"/>
          <w:sz w:val="22"/>
          <w:szCs w:val="22"/>
        </w:rPr>
        <w:t>s financial position</w:t>
      </w:r>
      <w:r>
        <w:rPr>
          <w:rFonts w:ascii="Arial" w:hAnsi="Arial" w:cs="Arial"/>
          <w:sz w:val="22"/>
          <w:szCs w:val="22"/>
        </w:rPr>
        <w:t xml:space="preserve"> and</w:t>
      </w:r>
      <w:r w:rsidRPr="00C60574">
        <w:rPr>
          <w:rFonts w:ascii="Arial" w:hAnsi="Arial" w:cs="Arial"/>
          <w:sz w:val="22"/>
          <w:szCs w:val="22"/>
        </w:rPr>
        <w:t xml:space="preserve"> performance and show the results of the Council’s stewardship in managing the resources entrusted to it and for the assets at the period end. </w:t>
      </w:r>
    </w:p>
    <w:p w14:paraId="5118314F" w14:textId="77777777" w:rsidR="00F753E8" w:rsidRPr="00BC014A" w:rsidRDefault="00F753E8" w:rsidP="00F753E8">
      <w:pPr>
        <w:ind w:left="284"/>
        <w:jc w:val="both"/>
        <w:rPr>
          <w:rFonts w:ascii="Arial" w:hAnsi="Arial" w:cs="Arial"/>
          <w:sz w:val="22"/>
          <w:szCs w:val="22"/>
          <w:highlight w:val="yellow"/>
        </w:rPr>
      </w:pPr>
    </w:p>
    <w:p w14:paraId="28289511" w14:textId="77777777" w:rsidR="00F753E8" w:rsidRPr="00C60574" w:rsidRDefault="00F753E8" w:rsidP="00F753E8">
      <w:pPr>
        <w:ind w:left="284"/>
        <w:jc w:val="both"/>
        <w:rPr>
          <w:rFonts w:ascii="Arial" w:hAnsi="Arial" w:cs="Arial"/>
          <w:sz w:val="22"/>
          <w:szCs w:val="22"/>
        </w:rPr>
      </w:pPr>
      <w:r w:rsidRPr="00C60574">
        <w:rPr>
          <w:rFonts w:ascii="Arial" w:hAnsi="Arial" w:cs="Arial"/>
          <w:sz w:val="22"/>
          <w:szCs w:val="22"/>
        </w:rPr>
        <w:t xml:space="preserve">The Fund is overseen by the Fund’s Pension Committee, which is a Committee of LBBD. </w:t>
      </w:r>
    </w:p>
    <w:p w14:paraId="37EB8032" w14:textId="77777777" w:rsidR="00F753E8" w:rsidRPr="00BC014A" w:rsidRDefault="00F753E8" w:rsidP="00F753E8">
      <w:pPr>
        <w:ind w:left="284"/>
        <w:jc w:val="both"/>
        <w:rPr>
          <w:rFonts w:ascii="Arial" w:hAnsi="Arial" w:cs="Arial"/>
          <w:sz w:val="22"/>
          <w:szCs w:val="22"/>
          <w:highlight w:val="yellow"/>
        </w:rPr>
      </w:pPr>
      <w:r>
        <w:rPr>
          <w:rFonts w:ascii="Arial" w:hAnsi="Arial" w:cs="Arial"/>
          <w:sz w:val="22"/>
          <w:szCs w:val="22"/>
        </w:rPr>
        <w:t>2021/22</w:t>
      </w:r>
      <w:r w:rsidRPr="00042A25">
        <w:rPr>
          <w:rFonts w:ascii="Arial" w:hAnsi="Arial" w:cs="Arial"/>
          <w:sz w:val="22"/>
          <w:szCs w:val="22"/>
        </w:rPr>
        <w:t xml:space="preserve"> had positive return for </w:t>
      </w:r>
      <w:r>
        <w:rPr>
          <w:rFonts w:ascii="Arial" w:hAnsi="Arial" w:cs="Arial"/>
          <w:sz w:val="22"/>
          <w:szCs w:val="22"/>
        </w:rPr>
        <w:t xml:space="preserve">the year, although the return was significantly reduced </w:t>
      </w:r>
      <w:proofErr w:type="gramStart"/>
      <w:r>
        <w:rPr>
          <w:rFonts w:ascii="Arial" w:hAnsi="Arial" w:cs="Arial"/>
          <w:sz w:val="22"/>
          <w:szCs w:val="22"/>
        </w:rPr>
        <w:t>as a result of</w:t>
      </w:r>
      <w:proofErr w:type="gramEnd"/>
      <w:r>
        <w:rPr>
          <w:rFonts w:ascii="Arial" w:hAnsi="Arial" w:cs="Arial"/>
          <w:sz w:val="22"/>
          <w:szCs w:val="22"/>
        </w:rPr>
        <w:t xml:space="preserve"> a market downturn following Russia’s invasion of Ukraine</w:t>
      </w:r>
      <w:r w:rsidRPr="00042A25">
        <w:rPr>
          <w:rFonts w:ascii="Arial" w:hAnsi="Arial" w:cs="Arial"/>
          <w:sz w:val="22"/>
          <w:szCs w:val="22"/>
        </w:rPr>
        <w:t xml:space="preserve">. The overall investment return for the fund </w:t>
      </w:r>
      <w:r>
        <w:rPr>
          <w:rFonts w:ascii="Arial" w:hAnsi="Arial" w:cs="Arial"/>
          <w:sz w:val="22"/>
          <w:szCs w:val="22"/>
        </w:rPr>
        <w:t>over</w:t>
      </w:r>
      <w:r w:rsidRPr="00042A25">
        <w:rPr>
          <w:rFonts w:ascii="Arial" w:hAnsi="Arial" w:cs="Arial"/>
          <w:sz w:val="22"/>
          <w:szCs w:val="22"/>
        </w:rPr>
        <w:t xml:space="preserve"> the year</w:t>
      </w:r>
      <w:r>
        <w:rPr>
          <w:rFonts w:ascii="Arial" w:hAnsi="Arial" w:cs="Arial"/>
          <w:sz w:val="22"/>
          <w:szCs w:val="22"/>
        </w:rPr>
        <w:t>,</w:t>
      </w:r>
      <w:r w:rsidRPr="00042A25">
        <w:rPr>
          <w:rFonts w:ascii="Arial" w:hAnsi="Arial" w:cs="Arial"/>
          <w:sz w:val="22"/>
          <w:szCs w:val="22"/>
        </w:rPr>
        <w:t xml:space="preserve"> net of fund manager fees and custodian costs was </w:t>
      </w:r>
      <w:r>
        <w:rPr>
          <w:rFonts w:ascii="Arial" w:hAnsi="Arial" w:cs="Arial"/>
          <w:sz w:val="22"/>
          <w:szCs w:val="22"/>
        </w:rPr>
        <w:t>5.1</w:t>
      </w:r>
      <w:r w:rsidRPr="00042A25">
        <w:rPr>
          <w:rFonts w:ascii="Arial" w:hAnsi="Arial" w:cs="Arial"/>
          <w:sz w:val="22"/>
          <w:szCs w:val="22"/>
        </w:rPr>
        <w:t xml:space="preserve">%, which was </w:t>
      </w:r>
      <w:r>
        <w:rPr>
          <w:rFonts w:ascii="Arial" w:hAnsi="Arial" w:cs="Arial"/>
          <w:sz w:val="22"/>
          <w:szCs w:val="22"/>
        </w:rPr>
        <w:t>5.4</w:t>
      </w:r>
      <w:r w:rsidRPr="00042A25">
        <w:rPr>
          <w:rFonts w:ascii="Arial" w:hAnsi="Arial" w:cs="Arial"/>
          <w:sz w:val="22"/>
          <w:szCs w:val="22"/>
        </w:rPr>
        <w:t xml:space="preserve">% </w:t>
      </w:r>
      <w:r>
        <w:rPr>
          <w:rFonts w:ascii="Arial" w:hAnsi="Arial" w:cs="Arial"/>
          <w:sz w:val="22"/>
          <w:szCs w:val="22"/>
        </w:rPr>
        <w:t xml:space="preserve">lower </w:t>
      </w:r>
      <w:r w:rsidRPr="00042A25">
        <w:rPr>
          <w:rFonts w:ascii="Arial" w:hAnsi="Arial" w:cs="Arial"/>
          <w:sz w:val="22"/>
          <w:szCs w:val="22"/>
        </w:rPr>
        <w:t xml:space="preserve">than </w:t>
      </w:r>
      <w:r>
        <w:rPr>
          <w:rFonts w:ascii="Arial" w:hAnsi="Arial" w:cs="Arial"/>
          <w:sz w:val="22"/>
          <w:szCs w:val="22"/>
        </w:rPr>
        <w:t xml:space="preserve">the </w:t>
      </w:r>
      <w:r w:rsidRPr="00C17752">
        <w:rPr>
          <w:rFonts w:ascii="Arial" w:hAnsi="Arial" w:cs="Arial"/>
          <w:sz w:val="22"/>
          <w:szCs w:val="22"/>
        </w:rPr>
        <w:t xml:space="preserve">benchmark of </w:t>
      </w:r>
      <w:r>
        <w:rPr>
          <w:rFonts w:ascii="Arial" w:hAnsi="Arial" w:cs="Arial"/>
          <w:sz w:val="22"/>
          <w:szCs w:val="22"/>
        </w:rPr>
        <w:t>10.5%</w:t>
      </w:r>
      <w:r w:rsidRPr="00C17752">
        <w:rPr>
          <w:rFonts w:ascii="Arial" w:hAnsi="Arial" w:cs="Arial"/>
          <w:sz w:val="22"/>
          <w:szCs w:val="22"/>
        </w:rPr>
        <w:t xml:space="preserve">. Over three years the </w:t>
      </w:r>
      <w:r>
        <w:rPr>
          <w:rFonts w:ascii="Arial" w:hAnsi="Arial" w:cs="Arial"/>
          <w:sz w:val="22"/>
          <w:szCs w:val="22"/>
        </w:rPr>
        <w:t>F</w:t>
      </w:r>
      <w:r w:rsidRPr="00C17752">
        <w:rPr>
          <w:rFonts w:ascii="Arial" w:hAnsi="Arial" w:cs="Arial"/>
          <w:sz w:val="22"/>
          <w:szCs w:val="22"/>
        </w:rPr>
        <w:t xml:space="preserve">und’s annualised return was 8.8%, which is </w:t>
      </w:r>
      <w:r>
        <w:rPr>
          <w:rFonts w:ascii="Arial" w:hAnsi="Arial" w:cs="Arial"/>
          <w:sz w:val="22"/>
          <w:szCs w:val="22"/>
        </w:rPr>
        <w:t>1</w:t>
      </w:r>
      <w:r w:rsidRPr="00C17752">
        <w:rPr>
          <w:rFonts w:ascii="Arial" w:hAnsi="Arial" w:cs="Arial"/>
          <w:sz w:val="22"/>
          <w:szCs w:val="22"/>
        </w:rPr>
        <w:t xml:space="preserve">.3 % below the </w:t>
      </w:r>
      <w:r w:rsidRPr="00E13EB4">
        <w:rPr>
          <w:rFonts w:ascii="Arial" w:hAnsi="Arial" w:cs="Arial"/>
          <w:sz w:val="22"/>
          <w:szCs w:val="22"/>
        </w:rPr>
        <w:t xml:space="preserve">Fund’s benchmark return of </w:t>
      </w:r>
      <w:r>
        <w:rPr>
          <w:rFonts w:ascii="Arial" w:hAnsi="Arial" w:cs="Arial"/>
          <w:sz w:val="22"/>
          <w:szCs w:val="22"/>
        </w:rPr>
        <w:t>10.1</w:t>
      </w:r>
      <w:r w:rsidRPr="00E13EB4">
        <w:rPr>
          <w:rFonts w:ascii="Arial" w:hAnsi="Arial" w:cs="Arial"/>
          <w:sz w:val="22"/>
          <w:szCs w:val="22"/>
        </w:rPr>
        <w:t xml:space="preserve">%. </w:t>
      </w:r>
      <w:r w:rsidRPr="00B87E01">
        <w:rPr>
          <w:rFonts w:ascii="Arial" w:hAnsi="Arial" w:cs="Arial"/>
          <w:sz w:val="22"/>
          <w:szCs w:val="22"/>
        </w:rPr>
        <w:t>Over one-year Baillie Gifford providing a negative return of 5.8% but underperform</w:t>
      </w:r>
      <w:r>
        <w:rPr>
          <w:rFonts w:ascii="Arial" w:hAnsi="Arial" w:cs="Arial"/>
          <w:sz w:val="22"/>
          <w:szCs w:val="22"/>
        </w:rPr>
        <w:t>ed</w:t>
      </w:r>
      <w:r w:rsidRPr="00B87E01">
        <w:rPr>
          <w:rFonts w:ascii="Arial" w:hAnsi="Arial" w:cs="Arial"/>
          <w:sz w:val="22"/>
          <w:szCs w:val="22"/>
        </w:rPr>
        <w:t xml:space="preserve"> its benchmark by 18.4%, while BlackRock, </w:t>
      </w:r>
      <w:proofErr w:type="spellStart"/>
      <w:r w:rsidRPr="00B87E01">
        <w:rPr>
          <w:rFonts w:ascii="Arial" w:hAnsi="Arial" w:cs="Arial"/>
          <w:sz w:val="22"/>
          <w:szCs w:val="22"/>
        </w:rPr>
        <w:t>Abrdn</w:t>
      </w:r>
      <w:proofErr w:type="spellEnd"/>
      <w:r w:rsidRPr="00B87E01">
        <w:rPr>
          <w:rFonts w:ascii="Arial" w:hAnsi="Arial" w:cs="Arial"/>
          <w:sz w:val="22"/>
          <w:szCs w:val="22"/>
        </w:rPr>
        <w:t>, Hermes and passive equities provided double digit positive returns.</w:t>
      </w:r>
    </w:p>
    <w:p w14:paraId="60A1E1E4" w14:textId="77777777" w:rsidR="00F753E8" w:rsidRPr="00BC014A" w:rsidRDefault="00F753E8" w:rsidP="00F753E8">
      <w:pPr>
        <w:ind w:left="284"/>
        <w:rPr>
          <w:rFonts w:ascii="Arial" w:hAnsi="Arial" w:cs="Arial"/>
          <w:sz w:val="22"/>
          <w:szCs w:val="22"/>
          <w:highlight w:val="yellow"/>
        </w:rPr>
      </w:pPr>
    </w:p>
    <w:p w14:paraId="3D63DEF7" w14:textId="77777777" w:rsidR="00F753E8" w:rsidRPr="00B2029C" w:rsidRDefault="00F753E8" w:rsidP="00F753E8">
      <w:pPr>
        <w:ind w:left="284"/>
        <w:rPr>
          <w:rFonts w:ascii="Arial" w:hAnsi="Arial" w:cs="Arial"/>
          <w:sz w:val="22"/>
          <w:szCs w:val="22"/>
        </w:rPr>
      </w:pPr>
      <w:r>
        <w:rPr>
          <w:rFonts w:ascii="Arial" w:hAnsi="Arial" w:cs="Arial"/>
          <w:sz w:val="22"/>
          <w:szCs w:val="22"/>
        </w:rPr>
        <w:t xml:space="preserve">One </w:t>
      </w:r>
      <w:r w:rsidRPr="00886952">
        <w:rPr>
          <w:rFonts w:ascii="Arial" w:hAnsi="Arial" w:cs="Arial"/>
          <w:sz w:val="22"/>
          <w:szCs w:val="22"/>
        </w:rPr>
        <w:t>new employer</w:t>
      </w:r>
      <w:r>
        <w:rPr>
          <w:rFonts w:ascii="Arial" w:hAnsi="Arial" w:cs="Arial"/>
          <w:sz w:val="22"/>
          <w:szCs w:val="22"/>
        </w:rPr>
        <w:t xml:space="preserve">, Aspens 3, was </w:t>
      </w:r>
      <w:r w:rsidRPr="00886952">
        <w:rPr>
          <w:rFonts w:ascii="Arial" w:hAnsi="Arial" w:cs="Arial"/>
          <w:sz w:val="22"/>
          <w:szCs w:val="22"/>
        </w:rPr>
        <w:t>admitted to the Fund in 202</w:t>
      </w:r>
      <w:r>
        <w:rPr>
          <w:rFonts w:ascii="Arial" w:hAnsi="Arial" w:cs="Arial"/>
          <w:sz w:val="22"/>
          <w:szCs w:val="22"/>
        </w:rPr>
        <w:t>1</w:t>
      </w:r>
      <w:r w:rsidRPr="00886952">
        <w:rPr>
          <w:rFonts w:ascii="Arial" w:hAnsi="Arial" w:cs="Arial"/>
          <w:sz w:val="22"/>
          <w:szCs w:val="22"/>
        </w:rPr>
        <w:t>/2</w:t>
      </w:r>
      <w:r>
        <w:rPr>
          <w:rFonts w:ascii="Arial" w:hAnsi="Arial" w:cs="Arial"/>
          <w:sz w:val="22"/>
          <w:szCs w:val="22"/>
        </w:rPr>
        <w:t xml:space="preserve">2. </w:t>
      </w:r>
      <w:r w:rsidRPr="00B2029C">
        <w:rPr>
          <w:rFonts w:ascii="Arial" w:hAnsi="Arial" w:cs="Arial"/>
          <w:sz w:val="22"/>
          <w:szCs w:val="22"/>
        </w:rPr>
        <w:t>During the year, the total number of active employers within the Fund was 4</w:t>
      </w:r>
      <w:r>
        <w:rPr>
          <w:rFonts w:ascii="Arial" w:hAnsi="Arial" w:cs="Arial"/>
          <w:sz w:val="22"/>
          <w:szCs w:val="22"/>
        </w:rPr>
        <w:t>2</w:t>
      </w:r>
      <w:r w:rsidRPr="00B2029C">
        <w:rPr>
          <w:rFonts w:ascii="Arial" w:hAnsi="Arial" w:cs="Arial"/>
          <w:sz w:val="22"/>
          <w:szCs w:val="22"/>
        </w:rPr>
        <w:t xml:space="preserve">. </w:t>
      </w:r>
    </w:p>
    <w:p w14:paraId="3B6D7C3A" w14:textId="77777777" w:rsidR="00F753E8" w:rsidRDefault="00F753E8" w:rsidP="00F753E8">
      <w:pPr>
        <w:ind w:left="284"/>
        <w:rPr>
          <w:rFonts w:ascii="Arial" w:hAnsi="Arial" w:cs="Arial"/>
          <w:b/>
          <w:sz w:val="22"/>
          <w:szCs w:val="22"/>
          <w:highlight w:val="yellow"/>
        </w:rPr>
      </w:pPr>
    </w:p>
    <w:p w14:paraId="72439662" w14:textId="77777777" w:rsidR="00F753E8" w:rsidRPr="00BC014A" w:rsidRDefault="00F753E8" w:rsidP="00F753E8">
      <w:pPr>
        <w:ind w:left="284"/>
        <w:rPr>
          <w:rFonts w:ascii="Arial" w:hAnsi="Arial" w:cs="Arial"/>
          <w:b/>
          <w:sz w:val="22"/>
          <w:szCs w:val="22"/>
          <w:highlight w:val="yellow"/>
        </w:rPr>
      </w:pPr>
    </w:p>
    <w:p w14:paraId="25ED1B39" w14:textId="77777777" w:rsidR="00F753E8" w:rsidRPr="002E2E10" w:rsidRDefault="00F753E8" w:rsidP="00F753E8">
      <w:pPr>
        <w:pStyle w:val="ListParagraph"/>
        <w:numPr>
          <w:ilvl w:val="0"/>
          <w:numId w:val="10"/>
        </w:numPr>
        <w:spacing w:after="0" w:line="240" w:lineRule="auto"/>
        <w:ind w:left="284" w:hanging="284"/>
        <w:rPr>
          <w:rFonts w:ascii="Arial" w:hAnsi="Arial" w:cs="Arial"/>
          <w:b/>
        </w:rPr>
      </w:pPr>
      <w:r w:rsidRPr="002E2E10">
        <w:rPr>
          <w:rFonts w:ascii="Arial" w:hAnsi="Arial" w:cs="Arial"/>
          <w:b/>
        </w:rPr>
        <w:t>Format of the Pension Fund Statement of Accounts</w:t>
      </w:r>
    </w:p>
    <w:p w14:paraId="143A29A9" w14:textId="77777777" w:rsidR="00F753E8" w:rsidRPr="002E2E10" w:rsidRDefault="00F753E8" w:rsidP="00F753E8">
      <w:pPr>
        <w:ind w:left="284"/>
        <w:jc w:val="both"/>
        <w:rPr>
          <w:rFonts w:ascii="Arial" w:hAnsi="Arial" w:cs="Arial"/>
          <w:sz w:val="22"/>
          <w:szCs w:val="22"/>
        </w:rPr>
      </w:pPr>
    </w:p>
    <w:p w14:paraId="165CE49B" w14:textId="77777777" w:rsidR="00F753E8" w:rsidRPr="002E2E10" w:rsidRDefault="00F753E8" w:rsidP="00F753E8">
      <w:pPr>
        <w:ind w:left="284"/>
        <w:jc w:val="both"/>
        <w:rPr>
          <w:rFonts w:ascii="Arial" w:hAnsi="Arial" w:cs="Arial"/>
          <w:sz w:val="22"/>
          <w:szCs w:val="22"/>
        </w:rPr>
      </w:pPr>
      <w:r w:rsidRPr="002E2E10">
        <w:rPr>
          <w:rFonts w:ascii="Arial" w:hAnsi="Arial" w:cs="Arial"/>
          <w:sz w:val="22"/>
          <w:szCs w:val="22"/>
        </w:rPr>
        <w:t>The day</w:t>
      </w:r>
      <w:r>
        <w:rPr>
          <w:rFonts w:ascii="Arial" w:hAnsi="Arial" w:cs="Arial"/>
          <w:sz w:val="22"/>
          <w:szCs w:val="22"/>
        </w:rPr>
        <w:t>-</w:t>
      </w:r>
      <w:r w:rsidRPr="002E2E10">
        <w:rPr>
          <w:rFonts w:ascii="Arial" w:hAnsi="Arial" w:cs="Arial"/>
          <w:sz w:val="22"/>
          <w:szCs w:val="22"/>
        </w:rPr>
        <w:t>to</w:t>
      </w:r>
      <w:r>
        <w:rPr>
          <w:rFonts w:ascii="Arial" w:hAnsi="Arial" w:cs="Arial"/>
          <w:sz w:val="22"/>
          <w:szCs w:val="22"/>
        </w:rPr>
        <w:t>-</w:t>
      </w:r>
      <w:r w:rsidRPr="002E2E10">
        <w:rPr>
          <w:rFonts w:ascii="Arial" w:hAnsi="Arial" w:cs="Arial"/>
          <w:sz w:val="22"/>
          <w:szCs w:val="22"/>
        </w:rPr>
        <w:t>day administration of the Fund and the operation of the management arrangements and investment portfolio are delegated to the Chief Operating Officer.</w:t>
      </w:r>
    </w:p>
    <w:p w14:paraId="04BAC83B" w14:textId="77777777" w:rsidR="00F753E8" w:rsidRPr="002E2E10" w:rsidRDefault="00F753E8" w:rsidP="00F753E8">
      <w:pPr>
        <w:ind w:left="284"/>
        <w:jc w:val="both"/>
        <w:rPr>
          <w:rFonts w:ascii="Arial" w:hAnsi="Arial" w:cs="Arial"/>
          <w:sz w:val="22"/>
          <w:szCs w:val="22"/>
        </w:rPr>
      </w:pPr>
    </w:p>
    <w:p w14:paraId="0CA04293" w14:textId="77777777" w:rsidR="00F753E8" w:rsidRPr="002E2E10" w:rsidRDefault="00F753E8" w:rsidP="00F753E8">
      <w:pPr>
        <w:ind w:left="284"/>
        <w:jc w:val="both"/>
        <w:rPr>
          <w:rStyle w:val="Hyperlink"/>
          <w:rFonts w:ascii="Arial" w:hAnsi="Arial" w:cs="Arial"/>
          <w:sz w:val="22"/>
          <w:szCs w:val="22"/>
        </w:rPr>
      </w:pPr>
      <w:r w:rsidRPr="002E2E10">
        <w:rPr>
          <w:rFonts w:ascii="Arial" w:hAnsi="Arial" w:cs="Arial"/>
          <w:sz w:val="22"/>
          <w:szCs w:val="22"/>
        </w:rPr>
        <w:t xml:space="preserve">The following description of the Fund is a summary only. For more details, reference should be made to the Fund’s Annual Report for 2019/20, which can be obtained from the Council’s website: </w:t>
      </w:r>
      <w:hyperlink r:id="rId38" w:history="1">
        <w:r w:rsidRPr="002E2E10">
          <w:rPr>
            <w:rStyle w:val="Hyperlink"/>
            <w:rFonts w:ascii="Arial" w:hAnsi="Arial" w:cs="Arial"/>
            <w:sz w:val="22"/>
            <w:szCs w:val="22"/>
          </w:rPr>
          <w:t>http://www.lbbdpensionfund.org</w:t>
        </w:r>
      </w:hyperlink>
      <w:r w:rsidRPr="002E2E10">
        <w:rPr>
          <w:rStyle w:val="Hyperlink"/>
          <w:rFonts w:ascii="Arial" w:hAnsi="Arial" w:cs="Arial"/>
          <w:sz w:val="22"/>
          <w:szCs w:val="22"/>
        </w:rPr>
        <w:t>.</w:t>
      </w:r>
    </w:p>
    <w:p w14:paraId="7B26AB49" w14:textId="77777777" w:rsidR="00F753E8" w:rsidRPr="002E2E10" w:rsidRDefault="00F753E8" w:rsidP="00F753E8">
      <w:pPr>
        <w:autoSpaceDE w:val="0"/>
        <w:autoSpaceDN w:val="0"/>
        <w:adjustRightInd w:val="0"/>
        <w:ind w:left="284"/>
        <w:jc w:val="both"/>
        <w:rPr>
          <w:rFonts w:ascii="Arial" w:hAnsi="Arial" w:cs="Arial"/>
          <w:sz w:val="22"/>
          <w:szCs w:val="22"/>
        </w:rPr>
      </w:pPr>
    </w:p>
    <w:p w14:paraId="1585FDF7" w14:textId="77777777" w:rsidR="00F753E8" w:rsidRPr="002E2E10" w:rsidRDefault="00F753E8" w:rsidP="00F753E8">
      <w:pPr>
        <w:autoSpaceDE w:val="0"/>
        <w:autoSpaceDN w:val="0"/>
        <w:adjustRightInd w:val="0"/>
        <w:ind w:left="284"/>
        <w:jc w:val="both"/>
        <w:rPr>
          <w:rFonts w:ascii="Arial" w:eastAsia="Calibri" w:hAnsi="Arial" w:cs="Arial"/>
          <w:color w:val="000000"/>
          <w:sz w:val="22"/>
          <w:szCs w:val="22"/>
          <w:lang w:eastAsia="en-US"/>
        </w:rPr>
      </w:pPr>
      <w:r w:rsidRPr="002E2E10">
        <w:rPr>
          <w:rFonts w:ascii="Arial" w:eastAsia="Calibri" w:hAnsi="Arial" w:cs="Arial"/>
          <w:color w:val="000000"/>
          <w:sz w:val="22"/>
          <w:szCs w:val="22"/>
          <w:lang w:eastAsia="en-US"/>
        </w:rPr>
        <w:t>The statutory powers that underpin the scheme are the Superannuation Act 1972 and the Local Government Pension Scheme (LGPS) regulations, which can be found at:</w:t>
      </w:r>
    </w:p>
    <w:p w14:paraId="506CBCAE" w14:textId="77777777" w:rsidR="00F753E8" w:rsidRDefault="00FF40A3" w:rsidP="00F753E8">
      <w:pPr>
        <w:ind w:firstLine="284"/>
        <w:jc w:val="both"/>
        <w:rPr>
          <w:rFonts w:ascii="Arial" w:eastAsia="Calibri" w:hAnsi="Arial" w:cs="Arial"/>
          <w:color w:val="000000"/>
          <w:sz w:val="22"/>
          <w:szCs w:val="22"/>
          <w:lang w:eastAsia="en-US"/>
        </w:rPr>
      </w:pPr>
      <w:hyperlink r:id="rId39" w:history="1">
        <w:r w:rsidR="00F753E8" w:rsidRPr="002E2E10">
          <w:rPr>
            <w:rStyle w:val="Hyperlink"/>
            <w:rFonts w:ascii="Arial" w:eastAsia="Calibri" w:hAnsi="Arial" w:cs="Arial"/>
            <w:sz w:val="22"/>
            <w:szCs w:val="22"/>
            <w:lang w:eastAsia="en-US"/>
          </w:rPr>
          <w:t>www.legislation.gov.uk</w:t>
        </w:r>
      </w:hyperlink>
      <w:r w:rsidR="00F753E8" w:rsidRPr="002E2E10">
        <w:rPr>
          <w:rFonts w:ascii="Arial" w:eastAsia="Calibri" w:hAnsi="Arial" w:cs="Arial"/>
          <w:color w:val="000000"/>
          <w:sz w:val="22"/>
          <w:szCs w:val="22"/>
          <w:lang w:eastAsia="en-US"/>
        </w:rPr>
        <w:t>.</w:t>
      </w:r>
    </w:p>
    <w:p w14:paraId="768F31C7" w14:textId="77777777" w:rsidR="00F753E8" w:rsidRDefault="00F753E8" w:rsidP="00F753E8">
      <w:pPr>
        <w:jc w:val="both"/>
        <w:rPr>
          <w:rFonts w:ascii="Arial" w:eastAsia="Calibri" w:hAnsi="Arial" w:cs="Arial"/>
          <w:color w:val="000000"/>
          <w:sz w:val="22"/>
          <w:szCs w:val="22"/>
          <w:lang w:eastAsia="en-US"/>
        </w:rPr>
      </w:pPr>
    </w:p>
    <w:p w14:paraId="10C11269" w14:textId="77777777" w:rsidR="0077550B" w:rsidRDefault="0077550B" w:rsidP="00F753E8">
      <w:pPr>
        <w:jc w:val="both"/>
        <w:rPr>
          <w:rFonts w:ascii="Arial" w:eastAsia="Calibri" w:hAnsi="Arial" w:cs="Arial"/>
          <w:color w:val="000000"/>
          <w:sz w:val="22"/>
          <w:szCs w:val="22"/>
          <w:lang w:eastAsia="en-US"/>
        </w:rPr>
      </w:pPr>
    </w:p>
    <w:p w14:paraId="56ADCC47" w14:textId="77777777" w:rsidR="00F753E8" w:rsidRPr="008A0A4E" w:rsidRDefault="00F753E8" w:rsidP="00F753E8">
      <w:pPr>
        <w:jc w:val="both"/>
        <w:rPr>
          <w:rFonts w:ascii="Arial" w:eastAsia="Calibri" w:hAnsi="Arial" w:cs="Arial"/>
          <w:color w:val="000000"/>
          <w:sz w:val="22"/>
          <w:szCs w:val="22"/>
          <w:lang w:eastAsia="en-US"/>
        </w:rPr>
      </w:pPr>
    </w:p>
    <w:p w14:paraId="6482B235" w14:textId="77777777" w:rsidR="00F753E8" w:rsidRPr="00F928FC" w:rsidRDefault="00F753E8" w:rsidP="00F753E8">
      <w:pPr>
        <w:ind w:firstLine="284"/>
        <w:jc w:val="both"/>
        <w:rPr>
          <w:rFonts w:ascii="Arial" w:hAnsi="Arial" w:cs="Arial"/>
          <w:sz w:val="22"/>
          <w:szCs w:val="22"/>
        </w:rPr>
      </w:pPr>
      <w:r w:rsidRPr="002E2E10">
        <w:rPr>
          <w:rFonts w:ascii="Arial" w:hAnsi="Arial" w:cs="Arial"/>
          <w:b/>
          <w:sz w:val="22"/>
          <w:szCs w:val="22"/>
        </w:rPr>
        <w:t>Membership</w:t>
      </w:r>
    </w:p>
    <w:p w14:paraId="04FB831C" w14:textId="77777777" w:rsidR="00F753E8" w:rsidRPr="008A0A4E" w:rsidRDefault="00F753E8" w:rsidP="00F753E8">
      <w:pPr>
        <w:pStyle w:val="ListParagraph"/>
        <w:spacing w:after="0" w:line="240" w:lineRule="auto"/>
        <w:ind w:left="644"/>
        <w:jc w:val="both"/>
        <w:rPr>
          <w:rFonts w:ascii="Arial" w:hAnsi="Arial" w:cs="Arial"/>
        </w:rPr>
      </w:pPr>
    </w:p>
    <w:p w14:paraId="3FE17335" w14:textId="77777777" w:rsidR="00F753E8" w:rsidRPr="008A0A4E" w:rsidRDefault="00F753E8" w:rsidP="00F753E8">
      <w:pPr>
        <w:ind w:left="284"/>
        <w:jc w:val="both"/>
        <w:rPr>
          <w:rFonts w:ascii="Arial" w:hAnsi="Arial" w:cs="Arial"/>
          <w:sz w:val="22"/>
          <w:szCs w:val="22"/>
        </w:rPr>
      </w:pPr>
      <w:r w:rsidRPr="008A0A4E">
        <w:rPr>
          <w:rFonts w:ascii="Arial" w:hAnsi="Arial" w:cs="Arial"/>
          <w:sz w:val="22"/>
          <w:szCs w:val="22"/>
        </w:rPr>
        <w:t>All local government employees (except casual employees and teachers) are automatically enrolled into the Scheme.  However, membership of the LGPS is voluntary and employees are free to choose whether to opt out, remain in the Scheme or make their own personal arrangements outside the Scheme. Organisations participating in the Fund include:</w:t>
      </w:r>
    </w:p>
    <w:p w14:paraId="470D8E45" w14:textId="77777777" w:rsidR="00F753E8" w:rsidRPr="008A0A4E" w:rsidRDefault="00F753E8" w:rsidP="00F753E8">
      <w:pPr>
        <w:jc w:val="both"/>
        <w:rPr>
          <w:rFonts w:ascii="Arial" w:hAnsi="Arial" w:cs="Arial"/>
          <w:sz w:val="22"/>
          <w:szCs w:val="22"/>
        </w:rPr>
      </w:pPr>
    </w:p>
    <w:p w14:paraId="6E17DAFC" w14:textId="77777777" w:rsidR="00F753E8" w:rsidRPr="003F208C" w:rsidRDefault="00F753E8" w:rsidP="00F753E8">
      <w:pPr>
        <w:pStyle w:val="ListParagraph"/>
        <w:numPr>
          <w:ilvl w:val="3"/>
          <w:numId w:val="8"/>
        </w:numPr>
        <w:ind w:left="993"/>
        <w:jc w:val="both"/>
        <w:rPr>
          <w:rFonts w:ascii="Arial" w:hAnsi="Arial" w:cs="Arial"/>
        </w:rPr>
      </w:pPr>
      <w:r w:rsidRPr="003F208C">
        <w:rPr>
          <w:rFonts w:ascii="Arial" w:hAnsi="Arial" w:cs="Arial"/>
        </w:rPr>
        <w:t>Scheduled bodies, which are local authorities and similar bodies whose staff are automatically entitled to be members of the Fund; and</w:t>
      </w:r>
    </w:p>
    <w:p w14:paraId="2438E14C" w14:textId="77777777" w:rsidR="00F753E8" w:rsidRPr="008A0A4E" w:rsidRDefault="00F753E8" w:rsidP="00F753E8">
      <w:pPr>
        <w:pStyle w:val="ListParagraph"/>
        <w:numPr>
          <w:ilvl w:val="0"/>
          <w:numId w:val="8"/>
        </w:numPr>
        <w:spacing w:after="0" w:line="240" w:lineRule="auto"/>
        <w:ind w:left="993" w:hanging="357"/>
        <w:jc w:val="both"/>
        <w:rPr>
          <w:rFonts w:ascii="Arial" w:hAnsi="Arial" w:cs="Arial"/>
        </w:rPr>
      </w:pPr>
      <w:r w:rsidRPr="008A0A4E">
        <w:rPr>
          <w:rFonts w:ascii="Arial" w:hAnsi="Arial" w:cs="Arial"/>
        </w:rPr>
        <w:t xml:space="preserve">Admitted bodies, which are other organisations that participate in the Fund under an admission agreement between the Fund and the relevant organisation. Admitted bodies include voluntary, </w:t>
      </w:r>
      <w:proofErr w:type="gramStart"/>
      <w:r w:rsidRPr="008A0A4E">
        <w:rPr>
          <w:rFonts w:ascii="Arial" w:hAnsi="Arial" w:cs="Arial"/>
        </w:rPr>
        <w:t>charitable</w:t>
      </w:r>
      <w:proofErr w:type="gramEnd"/>
      <w:r w:rsidRPr="008A0A4E">
        <w:rPr>
          <w:rFonts w:ascii="Arial" w:hAnsi="Arial" w:cs="Arial"/>
        </w:rPr>
        <w:t xml:space="preserve"> and similar bodies or private contractors undertaking a local authority function following outsourcing to the private sector.</w:t>
      </w:r>
    </w:p>
    <w:p w14:paraId="3527DBE1" w14:textId="77777777" w:rsidR="00F753E8" w:rsidRPr="008A0A4E" w:rsidRDefault="00F753E8" w:rsidP="00F753E8">
      <w:pPr>
        <w:ind w:left="993"/>
        <w:jc w:val="both"/>
        <w:rPr>
          <w:rFonts w:ascii="Arial" w:hAnsi="Arial" w:cs="Arial"/>
          <w:sz w:val="22"/>
          <w:szCs w:val="22"/>
        </w:rPr>
      </w:pPr>
    </w:p>
    <w:p w14:paraId="552B1437" w14:textId="77777777" w:rsidR="00F753E8" w:rsidRPr="008A0A4E" w:rsidRDefault="00F753E8" w:rsidP="00F753E8">
      <w:pPr>
        <w:ind w:left="284"/>
        <w:jc w:val="both"/>
        <w:rPr>
          <w:rFonts w:ascii="Arial" w:hAnsi="Arial" w:cs="Arial"/>
          <w:sz w:val="22"/>
          <w:szCs w:val="22"/>
        </w:rPr>
      </w:pPr>
      <w:r w:rsidRPr="008A0A4E">
        <w:rPr>
          <w:rFonts w:ascii="Arial" w:hAnsi="Arial" w:cs="Arial"/>
          <w:sz w:val="22"/>
          <w:szCs w:val="22"/>
        </w:rPr>
        <w:t>A list of the Fund’s scheduled and admitted employers are provided below. Not Active employers do not have any current members but have either deferred or pensioners. The obligations and assets for these employers have been absorbed by the Council.</w:t>
      </w:r>
    </w:p>
    <w:p w14:paraId="70B354C6" w14:textId="77777777" w:rsidR="00F753E8" w:rsidRPr="008A0A4E" w:rsidRDefault="00F753E8" w:rsidP="00F753E8">
      <w:pPr>
        <w:ind w:left="284"/>
        <w:jc w:val="both"/>
        <w:rPr>
          <w:rFonts w:ascii="Arial" w:hAnsi="Arial" w:cs="Arial"/>
          <w:sz w:val="22"/>
          <w:szCs w:val="22"/>
        </w:rPr>
      </w:pPr>
    </w:p>
    <w:tbl>
      <w:tblPr>
        <w:tblW w:w="8773" w:type="dxa"/>
        <w:tblInd w:w="274" w:type="dxa"/>
        <w:tblLook w:val="04A0" w:firstRow="1" w:lastRow="0" w:firstColumn="1" w:lastColumn="0" w:noHBand="0" w:noVBand="1"/>
      </w:tblPr>
      <w:tblGrid>
        <w:gridCol w:w="3842"/>
        <w:gridCol w:w="4931"/>
      </w:tblGrid>
      <w:tr w:rsidR="00F753E8" w:rsidRPr="00C67BAB" w14:paraId="797AA3A3" w14:textId="77777777" w:rsidTr="006E1769">
        <w:trPr>
          <w:trHeight w:val="280"/>
        </w:trPr>
        <w:tc>
          <w:tcPr>
            <w:tcW w:w="3842" w:type="dxa"/>
            <w:tcBorders>
              <w:top w:val="single" w:sz="8" w:space="0" w:color="auto"/>
              <w:left w:val="single" w:sz="8" w:space="0" w:color="auto"/>
              <w:bottom w:val="single" w:sz="12" w:space="0" w:color="auto"/>
              <w:right w:val="single" w:sz="12" w:space="0" w:color="auto"/>
            </w:tcBorders>
            <w:shd w:val="clear" w:color="000000" w:fill="FFFFFF"/>
            <w:noWrap/>
            <w:vAlign w:val="center"/>
            <w:hideMark/>
          </w:tcPr>
          <w:p w14:paraId="2AC8251F" w14:textId="77777777" w:rsidR="00F753E8" w:rsidRPr="00C67BAB" w:rsidRDefault="00F753E8" w:rsidP="006E1769">
            <w:pPr>
              <w:jc w:val="center"/>
              <w:rPr>
                <w:rFonts w:ascii="Arial" w:hAnsi="Arial" w:cs="Arial"/>
                <w:b/>
                <w:bCs/>
                <w:color w:val="000000"/>
                <w:sz w:val="22"/>
                <w:szCs w:val="22"/>
              </w:rPr>
            </w:pPr>
            <w:r w:rsidRPr="00C67BAB">
              <w:rPr>
                <w:rFonts w:ascii="Arial" w:hAnsi="Arial" w:cs="Arial"/>
                <w:b/>
                <w:bCs/>
                <w:color w:val="000000"/>
                <w:sz w:val="22"/>
                <w:szCs w:val="22"/>
              </w:rPr>
              <w:t>Scheduled Bodies</w:t>
            </w:r>
          </w:p>
        </w:tc>
        <w:tc>
          <w:tcPr>
            <w:tcW w:w="4931" w:type="dxa"/>
            <w:tcBorders>
              <w:top w:val="single" w:sz="8" w:space="0" w:color="auto"/>
              <w:left w:val="nil"/>
              <w:bottom w:val="single" w:sz="12" w:space="0" w:color="auto"/>
              <w:right w:val="single" w:sz="8" w:space="0" w:color="auto"/>
            </w:tcBorders>
            <w:shd w:val="clear" w:color="000000" w:fill="FFFFFF"/>
            <w:noWrap/>
            <w:vAlign w:val="center"/>
            <w:hideMark/>
          </w:tcPr>
          <w:p w14:paraId="5B44CD08" w14:textId="77777777" w:rsidR="00F753E8" w:rsidRPr="00C67BAB" w:rsidRDefault="00F753E8" w:rsidP="006E1769">
            <w:pPr>
              <w:jc w:val="center"/>
              <w:rPr>
                <w:rFonts w:ascii="Arial" w:hAnsi="Arial" w:cs="Arial"/>
                <w:b/>
                <w:bCs/>
                <w:color w:val="000000"/>
                <w:sz w:val="22"/>
                <w:szCs w:val="22"/>
              </w:rPr>
            </w:pPr>
            <w:r w:rsidRPr="00C67BAB">
              <w:rPr>
                <w:rFonts w:ascii="Arial" w:hAnsi="Arial" w:cs="Arial"/>
                <w:b/>
                <w:bCs/>
                <w:color w:val="000000"/>
                <w:sz w:val="22"/>
                <w:szCs w:val="22"/>
              </w:rPr>
              <w:t>Admitted Bodies</w:t>
            </w:r>
          </w:p>
        </w:tc>
      </w:tr>
      <w:tr w:rsidR="00F753E8" w:rsidRPr="00C67BAB" w14:paraId="426FF12E" w14:textId="77777777" w:rsidTr="006E1769">
        <w:trPr>
          <w:trHeight w:val="280"/>
        </w:trPr>
        <w:tc>
          <w:tcPr>
            <w:tcW w:w="3842" w:type="dxa"/>
            <w:tcBorders>
              <w:top w:val="nil"/>
              <w:left w:val="single" w:sz="8" w:space="0" w:color="auto"/>
              <w:bottom w:val="nil"/>
              <w:right w:val="single" w:sz="12" w:space="0" w:color="auto"/>
            </w:tcBorders>
            <w:shd w:val="clear" w:color="000000" w:fill="FFFFFF"/>
            <w:noWrap/>
            <w:vAlign w:val="center"/>
            <w:hideMark/>
          </w:tcPr>
          <w:p w14:paraId="70E4AE74"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LBBD</w:t>
            </w:r>
          </w:p>
        </w:tc>
        <w:tc>
          <w:tcPr>
            <w:tcW w:w="4931" w:type="dxa"/>
            <w:tcBorders>
              <w:top w:val="nil"/>
              <w:left w:val="single" w:sz="8" w:space="0" w:color="auto"/>
              <w:bottom w:val="nil"/>
              <w:right w:val="single" w:sz="8" w:space="0" w:color="auto"/>
            </w:tcBorders>
            <w:shd w:val="clear" w:color="000000" w:fill="FFFFFF"/>
            <w:noWrap/>
            <w:vAlign w:val="center"/>
            <w:hideMark/>
          </w:tcPr>
          <w:p w14:paraId="10059D4B"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Aspens</w:t>
            </w:r>
          </w:p>
        </w:tc>
      </w:tr>
      <w:tr w:rsidR="00F753E8" w:rsidRPr="00C67BAB" w14:paraId="24F4ED1A"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5B844E9F"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Barking College</w:t>
            </w:r>
          </w:p>
        </w:tc>
        <w:tc>
          <w:tcPr>
            <w:tcW w:w="4931" w:type="dxa"/>
            <w:tcBorders>
              <w:top w:val="nil"/>
              <w:left w:val="single" w:sz="8" w:space="0" w:color="auto"/>
              <w:bottom w:val="nil"/>
              <w:right w:val="single" w:sz="8" w:space="0" w:color="auto"/>
            </w:tcBorders>
            <w:shd w:val="clear" w:color="000000" w:fill="FFFFFF"/>
            <w:noWrap/>
            <w:vAlign w:val="center"/>
            <w:hideMark/>
          </w:tcPr>
          <w:p w14:paraId="7DC90C97"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Aspens 2</w:t>
            </w:r>
          </w:p>
        </w:tc>
      </w:tr>
      <w:tr w:rsidR="00F753E8" w:rsidRPr="00C67BAB" w14:paraId="5A14FD7C"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6338B5D1"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Dorothy Barley Academy</w:t>
            </w:r>
          </w:p>
        </w:tc>
        <w:tc>
          <w:tcPr>
            <w:tcW w:w="4931" w:type="dxa"/>
            <w:tcBorders>
              <w:top w:val="nil"/>
              <w:left w:val="single" w:sz="8" w:space="0" w:color="auto"/>
              <w:bottom w:val="nil"/>
              <w:right w:val="single" w:sz="8" w:space="0" w:color="auto"/>
            </w:tcBorders>
            <w:shd w:val="clear" w:color="000000" w:fill="FFFFFF"/>
            <w:noWrap/>
            <w:vAlign w:val="center"/>
          </w:tcPr>
          <w:p w14:paraId="11A3F5AF"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Aspens </w:t>
            </w:r>
            <w:r>
              <w:rPr>
                <w:rFonts w:ascii="Arial" w:hAnsi="Arial" w:cs="Arial"/>
                <w:color w:val="000000"/>
                <w:sz w:val="22"/>
                <w:szCs w:val="22"/>
              </w:rPr>
              <w:t>3</w:t>
            </w:r>
          </w:p>
        </w:tc>
      </w:tr>
      <w:tr w:rsidR="00F753E8" w:rsidRPr="00C67BAB" w14:paraId="6AAF93B2"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724D5FC0"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Eastbury Academy</w:t>
            </w:r>
          </w:p>
        </w:tc>
        <w:tc>
          <w:tcPr>
            <w:tcW w:w="4931" w:type="dxa"/>
            <w:tcBorders>
              <w:top w:val="nil"/>
              <w:left w:val="single" w:sz="8" w:space="0" w:color="auto"/>
              <w:bottom w:val="nil"/>
              <w:right w:val="single" w:sz="8" w:space="0" w:color="auto"/>
            </w:tcBorders>
            <w:shd w:val="clear" w:color="000000" w:fill="FFFFFF"/>
            <w:noWrap/>
            <w:vAlign w:val="center"/>
          </w:tcPr>
          <w:p w14:paraId="1D5F438F"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B&amp;D Citizen's Advice Bureau</w:t>
            </w:r>
          </w:p>
        </w:tc>
      </w:tr>
      <w:tr w:rsidR="00F753E8" w:rsidRPr="00C67BAB" w14:paraId="1008C79D"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6CC21031"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Elutec</w:t>
            </w:r>
          </w:p>
        </w:tc>
        <w:tc>
          <w:tcPr>
            <w:tcW w:w="4931" w:type="dxa"/>
            <w:tcBorders>
              <w:top w:val="nil"/>
              <w:left w:val="single" w:sz="8" w:space="0" w:color="auto"/>
              <w:bottom w:val="nil"/>
              <w:right w:val="single" w:sz="8" w:space="0" w:color="auto"/>
            </w:tcBorders>
            <w:shd w:val="clear" w:color="000000" w:fill="FFFFFF"/>
            <w:noWrap/>
            <w:vAlign w:val="center"/>
          </w:tcPr>
          <w:p w14:paraId="6BF423A8"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BD Corporate Cleaning</w:t>
            </w:r>
          </w:p>
        </w:tc>
      </w:tr>
      <w:tr w:rsidR="00F753E8" w:rsidRPr="00C67BAB" w14:paraId="08834D36"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3BDE94F2" w14:textId="77777777" w:rsidR="00F753E8" w:rsidRPr="00C67BAB" w:rsidRDefault="00F753E8" w:rsidP="006E1769">
            <w:pPr>
              <w:ind w:firstLineChars="100" w:firstLine="220"/>
              <w:rPr>
                <w:rFonts w:ascii="Arial" w:hAnsi="Arial" w:cs="Arial"/>
                <w:color w:val="000000"/>
                <w:sz w:val="22"/>
                <w:szCs w:val="22"/>
              </w:rPr>
            </w:pPr>
            <w:proofErr w:type="spellStart"/>
            <w:r w:rsidRPr="00C67BAB">
              <w:rPr>
                <w:rFonts w:ascii="Arial" w:hAnsi="Arial" w:cs="Arial"/>
                <w:color w:val="000000"/>
                <w:sz w:val="22"/>
                <w:szCs w:val="22"/>
              </w:rPr>
              <w:t>Goresbrook</w:t>
            </w:r>
            <w:proofErr w:type="spellEnd"/>
            <w:r w:rsidRPr="00C67BAB">
              <w:rPr>
                <w:rFonts w:ascii="Arial" w:hAnsi="Arial" w:cs="Arial"/>
                <w:color w:val="000000"/>
                <w:sz w:val="22"/>
                <w:szCs w:val="22"/>
              </w:rPr>
              <w:t xml:space="preserve"> Free School</w:t>
            </w:r>
          </w:p>
        </w:tc>
        <w:tc>
          <w:tcPr>
            <w:tcW w:w="4931" w:type="dxa"/>
            <w:tcBorders>
              <w:top w:val="nil"/>
              <w:left w:val="single" w:sz="8" w:space="0" w:color="auto"/>
              <w:bottom w:val="nil"/>
              <w:right w:val="single" w:sz="8" w:space="0" w:color="auto"/>
            </w:tcBorders>
            <w:shd w:val="clear" w:color="000000" w:fill="FFFFFF"/>
            <w:noWrap/>
            <w:vAlign w:val="center"/>
          </w:tcPr>
          <w:p w14:paraId="6504E99E"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BD Schools Improvement Partnership</w:t>
            </w:r>
          </w:p>
        </w:tc>
      </w:tr>
      <w:tr w:rsidR="00F753E8" w:rsidRPr="00C67BAB" w14:paraId="78BD9A01"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3035B8EE" w14:textId="77777777" w:rsidR="00F753E8" w:rsidRPr="00C67BAB" w:rsidRDefault="00F753E8" w:rsidP="006E1769">
            <w:pPr>
              <w:ind w:firstLineChars="100" w:firstLine="220"/>
              <w:rPr>
                <w:rFonts w:ascii="Arial" w:hAnsi="Arial" w:cs="Arial"/>
                <w:color w:val="000000"/>
                <w:sz w:val="22"/>
                <w:szCs w:val="22"/>
              </w:rPr>
            </w:pPr>
            <w:proofErr w:type="spellStart"/>
            <w:r w:rsidRPr="00C67BAB">
              <w:rPr>
                <w:rFonts w:ascii="Arial" w:hAnsi="Arial" w:cs="Arial"/>
                <w:color w:val="000000"/>
                <w:sz w:val="22"/>
                <w:szCs w:val="22"/>
              </w:rPr>
              <w:t>Greatfields</w:t>
            </w:r>
            <w:proofErr w:type="spellEnd"/>
            <w:r w:rsidRPr="00C67BAB">
              <w:rPr>
                <w:rFonts w:ascii="Arial" w:hAnsi="Arial" w:cs="Arial"/>
                <w:color w:val="000000"/>
                <w:sz w:val="22"/>
                <w:szCs w:val="22"/>
              </w:rPr>
              <w:t xml:space="preserve"> Free School</w:t>
            </w:r>
          </w:p>
        </w:tc>
        <w:tc>
          <w:tcPr>
            <w:tcW w:w="4931" w:type="dxa"/>
            <w:tcBorders>
              <w:top w:val="nil"/>
              <w:left w:val="single" w:sz="8" w:space="0" w:color="auto"/>
              <w:bottom w:val="nil"/>
              <w:right w:val="single" w:sz="8" w:space="0" w:color="auto"/>
            </w:tcBorders>
            <w:shd w:val="clear" w:color="000000" w:fill="FFFFFF"/>
            <w:noWrap/>
            <w:vAlign w:val="center"/>
          </w:tcPr>
          <w:p w14:paraId="180451AA"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BD Together</w:t>
            </w:r>
          </w:p>
        </w:tc>
      </w:tr>
      <w:tr w:rsidR="00F753E8" w:rsidRPr="00C67BAB" w14:paraId="37F20E09"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1CCA21DC"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James Campbell Primary</w:t>
            </w:r>
          </w:p>
        </w:tc>
        <w:tc>
          <w:tcPr>
            <w:tcW w:w="4931" w:type="dxa"/>
            <w:tcBorders>
              <w:top w:val="nil"/>
              <w:left w:val="single" w:sz="8" w:space="0" w:color="auto"/>
              <w:bottom w:val="nil"/>
              <w:right w:val="single" w:sz="8" w:space="0" w:color="auto"/>
            </w:tcBorders>
            <w:shd w:val="clear" w:color="000000" w:fill="FFFFFF"/>
            <w:noWrap/>
            <w:vAlign w:val="center"/>
          </w:tcPr>
          <w:p w14:paraId="1181B464"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Be First</w:t>
            </w:r>
          </w:p>
        </w:tc>
      </w:tr>
      <w:tr w:rsidR="00F753E8" w:rsidRPr="00C67BAB" w14:paraId="0A366F04"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5C114177"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Partnerships Learning</w:t>
            </w:r>
          </w:p>
        </w:tc>
        <w:tc>
          <w:tcPr>
            <w:tcW w:w="4931" w:type="dxa"/>
            <w:tcBorders>
              <w:top w:val="nil"/>
              <w:left w:val="single" w:sz="8" w:space="0" w:color="auto"/>
              <w:bottom w:val="nil"/>
              <w:right w:val="single" w:sz="8" w:space="0" w:color="auto"/>
            </w:tcBorders>
            <w:shd w:val="clear" w:color="000000" w:fill="FFFFFF"/>
            <w:noWrap/>
            <w:vAlign w:val="center"/>
          </w:tcPr>
          <w:p w14:paraId="1D09560A" w14:textId="77777777" w:rsidR="00F753E8" w:rsidRPr="00C67BAB" w:rsidRDefault="00F753E8" w:rsidP="006E1769">
            <w:pPr>
              <w:ind w:firstLineChars="100" w:firstLine="220"/>
              <w:rPr>
                <w:rFonts w:ascii="Arial" w:hAnsi="Arial" w:cs="Arial"/>
                <w:color w:val="000000"/>
                <w:sz w:val="22"/>
                <w:szCs w:val="22"/>
              </w:rPr>
            </w:pPr>
            <w:r>
              <w:rPr>
                <w:rFonts w:ascii="Arial" w:hAnsi="Arial" w:cs="Arial"/>
                <w:color w:val="000000"/>
                <w:sz w:val="22"/>
                <w:szCs w:val="22"/>
              </w:rPr>
              <w:t>BD Trading Partnerships</w:t>
            </w:r>
          </w:p>
        </w:tc>
      </w:tr>
      <w:tr w:rsidR="00F753E8" w:rsidRPr="00C67BAB" w14:paraId="3F568B78"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654D9476"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Pathways</w:t>
            </w:r>
          </w:p>
        </w:tc>
        <w:tc>
          <w:tcPr>
            <w:tcW w:w="4931" w:type="dxa"/>
            <w:tcBorders>
              <w:top w:val="nil"/>
              <w:left w:val="single" w:sz="8" w:space="0" w:color="auto"/>
              <w:bottom w:val="nil"/>
              <w:right w:val="single" w:sz="8" w:space="0" w:color="auto"/>
            </w:tcBorders>
            <w:shd w:val="clear" w:color="000000" w:fill="FFFFFF"/>
            <w:noWrap/>
            <w:vAlign w:val="center"/>
          </w:tcPr>
          <w:p w14:paraId="6C4572EB"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BD Management Services</w:t>
            </w:r>
          </w:p>
        </w:tc>
      </w:tr>
      <w:tr w:rsidR="00F753E8" w:rsidRPr="00C67BAB" w14:paraId="0451CFCF"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76315C39"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Riverside Bridge</w:t>
            </w:r>
          </w:p>
        </w:tc>
        <w:tc>
          <w:tcPr>
            <w:tcW w:w="4931" w:type="dxa"/>
            <w:tcBorders>
              <w:top w:val="nil"/>
              <w:left w:val="single" w:sz="8" w:space="0" w:color="auto"/>
              <w:bottom w:val="nil"/>
              <w:right w:val="single" w:sz="8" w:space="0" w:color="auto"/>
            </w:tcBorders>
            <w:shd w:val="clear" w:color="000000" w:fill="FFFFFF"/>
            <w:noWrap/>
            <w:vAlign w:val="center"/>
          </w:tcPr>
          <w:p w14:paraId="5EABEA8B"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Caterlink</w:t>
            </w:r>
          </w:p>
        </w:tc>
      </w:tr>
      <w:tr w:rsidR="00F753E8" w:rsidRPr="00C67BAB" w14:paraId="059E7272"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519DEE99"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Riverside Free School</w:t>
            </w:r>
          </w:p>
        </w:tc>
        <w:tc>
          <w:tcPr>
            <w:tcW w:w="4931" w:type="dxa"/>
            <w:tcBorders>
              <w:top w:val="nil"/>
              <w:left w:val="single" w:sz="8" w:space="0" w:color="auto"/>
              <w:bottom w:val="nil"/>
              <w:right w:val="single" w:sz="8" w:space="0" w:color="auto"/>
            </w:tcBorders>
            <w:shd w:val="clear" w:color="000000" w:fill="FFFFFF"/>
            <w:noWrap/>
            <w:vAlign w:val="center"/>
          </w:tcPr>
          <w:p w14:paraId="32D7387A" w14:textId="77777777" w:rsidR="00F753E8" w:rsidRPr="00C67BAB" w:rsidRDefault="00F753E8" w:rsidP="006E1769">
            <w:pPr>
              <w:ind w:firstLineChars="100" w:firstLine="220"/>
              <w:rPr>
                <w:rFonts w:ascii="Arial" w:hAnsi="Arial" w:cs="Arial"/>
                <w:color w:val="000000"/>
                <w:sz w:val="22"/>
                <w:szCs w:val="22"/>
              </w:rPr>
            </w:pPr>
            <w:r>
              <w:rPr>
                <w:rFonts w:ascii="Arial" w:hAnsi="Arial" w:cs="Arial"/>
                <w:color w:val="000000"/>
                <w:sz w:val="22"/>
                <w:szCs w:val="22"/>
              </w:rPr>
              <w:t>Caterlink 2</w:t>
            </w:r>
          </w:p>
        </w:tc>
      </w:tr>
      <w:tr w:rsidR="00F753E8" w:rsidRPr="00C67BAB" w14:paraId="09CC6185"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A9935E3"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Riverside School</w:t>
            </w:r>
          </w:p>
        </w:tc>
        <w:tc>
          <w:tcPr>
            <w:tcW w:w="4931" w:type="dxa"/>
            <w:tcBorders>
              <w:top w:val="nil"/>
              <w:left w:val="single" w:sz="8" w:space="0" w:color="auto"/>
              <w:bottom w:val="nil"/>
              <w:right w:val="single" w:sz="8" w:space="0" w:color="auto"/>
            </w:tcBorders>
            <w:shd w:val="clear" w:color="000000" w:fill="FFFFFF"/>
            <w:noWrap/>
            <w:vAlign w:val="center"/>
          </w:tcPr>
          <w:p w14:paraId="52B52153" w14:textId="77777777" w:rsidR="00F753E8" w:rsidRPr="00C67BAB" w:rsidRDefault="00F753E8" w:rsidP="006E1769">
            <w:pPr>
              <w:ind w:firstLineChars="100" w:firstLine="220"/>
              <w:rPr>
                <w:rFonts w:ascii="Arial" w:hAnsi="Arial" w:cs="Arial"/>
                <w:color w:val="000000"/>
                <w:sz w:val="22"/>
                <w:szCs w:val="22"/>
              </w:rPr>
            </w:pPr>
            <w:r>
              <w:rPr>
                <w:rFonts w:ascii="Arial" w:hAnsi="Arial" w:cs="Arial"/>
                <w:color w:val="000000"/>
                <w:sz w:val="22"/>
                <w:szCs w:val="22"/>
              </w:rPr>
              <w:t>Caterlink 3</w:t>
            </w:r>
          </w:p>
        </w:tc>
      </w:tr>
      <w:tr w:rsidR="00F753E8" w:rsidRPr="00C67BAB" w14:paraId="1981F658"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00C5E22B"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St Margarets</w:t>
            </w:r>
          </w:p>
        </w:tc>
        <w:tc>
          <w:tcPr>
            <w:tcW w:w="4931" w:type="dxa"/>
            <w:tcBorders>
              <w:top w:val="nil"/>
              <w:left w:val="single" w:sz="8" w:space="0" w:color="auto"/>
              <w:bottom w:val="nil"/>
              <w:right w:val="single" w:sz="8" w:space="0" w:color="auto"/>
            </w:tcBorders>
            <w:shd w:val="clear" w:color="000000" w:fill="FFFFFF"/>
            <w:noWrap/>
            <w:vAlign w:val="center"/>
          </w:tcPr>
          <w:p w14:paraId="42823D99" w14:textId="77777777" w:rsidR="00F753E8" w:rsidRPr="00C67BAB" w:rsidRDefault="00F753E8" w:rsidP="006E1769">
            <w:pPr>
              <w:ind w:firstLineChars="100" w:firstLine="220"/>
              <w:rPr>
                <w:rFonts w:ascii="Arial" w:hAnsi="Arial" w:cs="Arial"/>
                <w:color w:val="000000"/>
                <w:sz w:val="22"/>
                <w:szCs w:val="22"/>
              </w:rPr>
            </w:pPr>
            <w:r>
              <w:rPr>
                <w:rFonts w:ascii="Arial" w:hAnsi="Arial" w:cs="Arial"/>
                <w:color w:val="000000"/>
                <w:sz w:val="22"/>
                <w:szCs w:val="22"/>
              </w:rPr>
              <w:t>Caterlink 4</w:t>
            </w:r>
          </w:p>
        </w:tc>
      </w:tr>
      <w:tr w:rsidR="00F753E8" w:rsidRPr="00C67BAB" w14:paraId="7F3156FF"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9D45228"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St Joseph’s Dagenham</w:t>
            </w:r>
          </w:p>
        </w:tc>
        <w:tc>
          <w:tcPr>
            <w:tcW w:w="4931" w:type="dxa"/>
            <w:tcBorders>
              <w:top w:val="nil"/>
              <w:left w:val="single" w:sz="8" w:space="0" w:color="auto"/>
              <w:bottom w:val="nil"/>
              <w:right w:val="single" w:sz="8" w:space="0" w:color="auto"/>
            </w:tcBorders>
            <w:shd w:val="clear" w:color="000000" w:fill="FFFFFF"/>
            <w:noWrap/>
            <w:vAlign w:val="center"/>
          </w:tcPr>
          <w:p w14:paraId="5160873F"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Cleantech</w:t>
            </w:r>
          </w:p>
        </w:tc>
      </w:tr>
      <w:tr w:rsidR="00F753E8" w:rsidRPr="00C67BAB" w14:paraId="757F6B8C"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22E3700C"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St Joseph’s Barking </w:t>
            </w:r>
          </w:p>
        </w:tc>
        <w:tc>
          <w:tcPr>
            <w:tcW w:w="4931" w:type="dxa"/>
            <w:tcBorders>
              <w:top w:val="nil"/>
              <w:left w:val="single" w:sz="8" w:space="0" w:color="auto"/>
              <w:bottom w:val="nil"/>
              <w:right w:val="single" w:sz="8" w:space="0" w:color="auto"/>
            </w:tcBorders>
            <w:shd w:val="clear" w:color="000000" w:fill="FFFFFF"/>
            <w:noWrap/>
            <w:vAlign w:val="center"/>
          </w:tcPr>
          <w:p w14:paraId="0A4E3622"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Lewis and Graves</w:t>
            </w:r>
          </w:p>
        </w:tc>
      </w:tr>
      <w:tr w:rsidR="00F753E8" w:rsidRPr="00C67BAB" w14:paraId="21F20147"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344DD8B7"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St Theresa’s Dagenham</w:t>
            </w:r>
          </w:p>
        </w:tc>
        <w:tc>
          <w:tcPr>
            <w:tcW w:w="4931" w:type="dxa"/>
            <w:tcBorders>
              <w:top w:val="nil"/>
              <w:left w:val="single" w:sz="8" w:space="0" w:color="auto"/>
              <w:bottom w:val="nil"/>
              <w:right w:val="single" w:sz="8" w:space="0" w:color="auto"/>
            </w:tcBorders>
            <w:shd w:val="clear" w:color="000000" w:fill="FFFFFF"/>
            <w:noWrap/>
            <w:vAlign w:val="center"/>
          </w:tcPr>
          <w:p w14:paraId="297FABE4" w14:textId="77777777" w:rsidR="00F753E8" w:rsidRPr="00C67BAB" w:rsidRDefault="00F753E8" w:rsidP="006E1769">
            <w:pPr>
              <w:ind w:firstLineChars="100" w:firstLine="220"/>
              <w:rPr>
                <w:rFonts w:ascii="Arial" w:hAnsi="Arial" w:cs="Arial"/>
                <w:color w:val="000000"/>
                <w:sz w:val="22"/>
                <w:szCs w:val="22"/>
              </w:rPr>
            </w:pPr>
            <w:r>
              <w:rPr>
                <w:rFonts w:ascii="Arial" w:hAnsi="Arial" w:cs="Arial"/>
                <w:color w:val="000000"/>
                <w:sz w:val="22"/>
                <w:szCs w:val="22"/>
              </w:rPr>
              <w:t>Pantry Catering</w:t>
            </w:r>
          </w:p>
        </w:tc>
      </w:tr>
      <w:tr w:rsidR="00F753E8" w:rsidRPr="00C67BAB" w14:paraId="2BE2B8DF"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5C27C427"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Sydney Russell Academy</w:t>
            </w:r>
          </w:p>
        </w:tc>
        <w:tc>
          <w:tcPr>
            <w:tcW w:w="4931" w:type="dxa"/>
            <w:tcBorders>
              <w:top w:val="nil"/>
              <w:left w:val="single" w:sz="8" w:space="0" w:color="auto"/>
              <w:bottom w:val="nil"/>
              <w:right w:val="single" w:sz="8" w:space="0" w:color="auto"/>
            </w:tcBorders>
            <w:shd w:val="clear" w:color="000000" w:fill="FFFFFF"/>
            <w:noWrap/>
            <w:vAlign w:val="center"/>
          </w:tcPr>
          <w:p w14:paraId="7C9CF151"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Schools Offices Services Ltd</w:t>
            </w:r>
          </w:p>
        </w:tc>
      </w:tr>
      <w:tr w:rsidR="00F753E8" w:rsidRPr="00C67BAB" w14:paraId="455C56F1"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33DB1403"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Thames View Infants Academy</w:t>
            </w:r>
          </w:p>
        </w:tc>
        <w:tc>
          <w:tcPr>
            <w:tcW w:w="4931" w:type="dxa"/>
            <w:tcBorders>
              <w:top w:val="nil"/>
              <w:left w:val="single" w:sz="8" w:space="0" w:color="auto"/>
              <w:bottom w:val="nil"/>
              <w:right w:val="single" w:sz="8" w:space="0" w:color="auto"/>
            </w:tcBorders>
            <w:shd w:val="clear" w:color="000000" w:fill="FFFFFF"/>
            <w:noWrap/>
            <w:vAlign w:val="center"/>
          </w:tcPr>
          <w:p w14:paraId="769B7820"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Sports Leisure Management </w:t>
            </w:r>
          </w:p>
        </w:tc>
      </w:tr>
      <w:tr w:rsidR="00F753E8" w:rsidRPr="00C67BAB" w14:paraId="4DB555C2"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02802403"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Thames View Junior Academy </w:t>
            </w:r>
          </w:p>
        </w:tc>
        <w:tc>
          <w:tcPr>
            <w:tcW w:w="4931" w:type="dxa"/>
            <w:tcBorders>
              <w:top w:val="nil"/>
              <w:left w:val="single" w:sz="8" w:space="0" w:color="auto"/>
              <w:bottom w:val="nil"/>
              <w:right w:val="single" w:sz="8" w:space="0" w:color="auto"/>
            </w:tcBorders>
            <w:shd w:val="clear" w:color="000000" w:fill="FFFFFF"/>
            <w:noWrap/>
            <w:vAlign w:val="center"/>
          </w:tcPr>
          <w:p w14:paraId="08F22D02"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The Broadway Theatre</w:t>
            </w:r>
          </w:p>
        </w:tc>
      </w:tr>
      <w:tr w:rsidR="00F753E8" w:rsidRPr="00C67BAB" w14:paraId="17354B89"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40A7CE81"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University of East London</w:t>
            </w:r>
          </w:p>
        </w:tc>
        <w:tc>
          <w:tcPr>
            <w:tcW w:w="4931" w:type="dxa"/>
            <w:tcBorders>
              <w:top w:val="nil"/>
              <w:left w:val="single" w:sz="8" w:space="0" w:color="auto"/>
              <w:bottom w:val="nil"/>
              <w:right w:val="single" w:sz="8" w:space="0" w:color="auto"/>
            </w:tcBorders>
            <w:shd w:val="clear" w:color="000000" w:fill="FFFFFF"/>
            <w:noWrap/>
            <w:vAlign w:val="center"/>
          </w:tcPr>
          <w:p w14:paraId="00AA1005"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Town and Country Cleaners</w:t>
            </w:r>
          </w:p>
        </w:tc>
      </w:tr>
      <w:tr w:rsidR="00F753E8" w:rsidRPr="00C67BAB" w14:paraId="4E1ED6A1"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729F97B1"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Warren Academy</w:t>
            </w:r>
          </w:p>
        </w:tc>
        <w:tc>
          <w:tcPr>
            <w:tcW w:w="4931" w:type="dxa"/>
            <w:tcBorders>
              <w:top w:val="nil"/>
              <w:left w:val="single" w:sz="8" w:space="0" w:color="auto"/>
              <w:bottom w:val="nil"/>
              <w:right w:val="single" w:sz="8" w:space="0" w:color="auto"/>
            </w:tcBorders>
            <w:shd w:val="clear" w:color="000000" w:fill="FFFFFF"/>
            <w:noWrap/>
            <w:vAlign w:val="center"/>
          </w:tcPr>
          <w:p w14:paraId="6F8B4D3B" w14:textId="77777777" w:rsidR="00F753E8" w:rsidRPr="00C67BAB" w:rsidRDefault="00F753E8" w:rsidP="006E1769">
            <w:pPr>
              <w:ind w:firstLineChars="100" w:firstLine="220"/>
              <w:rPr>
                <w:rFonts w:ascii="Arial" w:hAnsi="Arial" w:cs="Arial"/>
                <w:color w:val="000000"/>
                <w:sz w:val="22"/>
                <w:szCs w:val="22"/>
              </w:rPr>
            </w:pPr>
          </w:p>
        </w:tc>
      </w:tr>
      <w:tr w:rsidR="00F753E8" w:rsidRPr="00C67BAB" w14:paraId="003F20E6"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tcPr>
          <w:p w14:paraId="101CC49E" w14:textId="77777777" w:rsidR="00F753E8" w:rsidRPr="00C67BAB" w:rsidRDefault="00F753E8" w:rsidP="006E1769">
            <w:pPr>
              <w:ind w:firstLineChars="100" w:firstLine="221"/>
              <w:rPr>
                <w:rFonts w:ascii="Arial" w:hAnsi="Arial" w:cs="Arial"/>
                <w:b/>
                <w:bCs/>
                <w:color w:val="000000"/>
                <w:sz w:val="22"/>
                <w:szCs w:val="22"/>
              </w:rPr>
            </w:pPr>
          </w:p>
        </w:tc>
        <w:tc>
          <w:tcPr>
            <w:tcW w:w="4931" w:type="dxa"/>
            <w:tcBorders>
              <w:top w:val="nil"/>
              <w:left w:val="single" w:sz="8" w:space="0" w:color="auto"/>
              <w:bottom w:val="nil"/>
              <w:right w:val="single" w:sz="8" w:space="0" w:color="auto"/>
            </w:tcBorders>
            <w:shd w:val="clear" w:color="000000" w:fill="FFFFFF"/>
            <w:noWrap/>
            <w:vAlign w:val="center"/>
          </w:tcPr>
          <w:p w14:paraId="3AAFAAFB" w14:textId="77777777" w:rsidR="00F753E8" w:rsidRPr="00C67BAB" w:rsidRDefault="00F753E8" w:rsidP="006E1769">
            <w:pPr>
              <w:ind w:firstLineChars="100" w:firstLine="221"/>
              <w:rPr>
                <w:rFonts w:ascii="Arial" w:hAnsi="Arial" w:cs="Arial"/>
                <w:b/>
                <w:bCs/>
                <w:color w:val="000000"/>
                <w:sz w:val="22"/>
                <w:szCs w:val="22"/>
              </w:rPr>
            </w:pPr>
          </w:p>
        </w:tc>
      </w:tr>
      <w:tr w:rsidR="00F753E8" w:rsidRPr="00C67BAB" w14:paraId="5DEB35CB"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tcPr>
          <w:p w14:paraId="10DDD67F" w14:textId="77777777" w:rsidR="00F753E8" w:rsidRPr="00C67BAB" w:rsidRDefault="00F753E8" w:rsidP="006E1769">
            <w:pPr>
              <w:ind w:firstLineChars="100" w:firstLine="221"/>
              <w:rPr>
                <w:rFonts w:ascii="Arial" w:hAnsi="Arial" w:cs="Arial"/>
                <w:b/>
                <w:bCs/>
                <w:color w:val="000000"/>
                <w:sz w:val="22"/>
                <w:szCs w:val="22"/>
              </w:rPr>
            </w:pPr>
            <w:r w:rsidRPr="00C67BAB">
              <w:rPr>
                <w:rFonts w:ascii="Arial" w:hAnsi="Arial" w:cs="Arial"/>
                <w:b/>
                <w:bCs/>
                <w:color w:val="000000"/>
                <w:sz w:val="22"/>
                <w:szCs w:val="22"/>
              </w:rPr>
              <w:t>Not Active</w:t>
            </w:r>
          </w:p>
        </w:tc>
        <w:tc>
          <w:tcPr>
            <w:tcW w:w="4931" w:type="dxa"/>
            <w:tcBorders>
              <w:top w:val="nil"/>
              <w:left w:val="single" w:sz="8" w:space="0" w:color="auto"/>
              <w:bottom w:val="nil"/>
              <w:right w:val="single" w:sz="8" w:space="0" w:color="auto"/>
            </w:tcBorders>
            <w:shd w:val="clear" w:color="000000" w:fill="FFFFFF"/>
            <w:noWrap/>
            <w:vAlign w:val="center"/>
          </w:tcPr>
          <w:p w14:paraId="297A8FCB" w14:textId="77777777" w:rsidR="00F753E8" w:rsidRPr="00C67BAB" w:rsidRDefault="00F753E8" w:rsidP="006E1769">
            <w:pPr>
              <w:ind w:firstLineChars="100" w:firstLine="221"/>
              <w:rPr>
                <w:rFonts w:ascii="Arial" w:hAnsi="Arial" w:cs="Arial"/>
                <w:b/>
                <w:bCs/>
                <w:color w:val="000000"/>
                <w:sz w:val="22"/>
                <w:szCs w:val="22"/>
              </w:rPr>
            </w:pPr>
            <w:r w:rsidRPr="00C67BAB">
              <w:rPr>
                <w:rFonts w:ascii="Arial" w:hAnsi="Arial" w:cs="Arial"/>
                <w:b/>
                <w:bCs/>
                <w:color w:val="000000"/>
                <w:sz w:val="22"/>
                <w:szCs w:val="22"/>
              </w:rPr>
              <w:t>Not Active</w:t>
            </w:r>
          </w:p>
        </w:tc>
      </w:tr>
      <w:tr w:rsidR="00F753E8" w:rsidRPr="00C67BAB" w14:paraId="1C537574"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tcPr>
          <w:p w14:paraId="237B9101" w14:textId="77777777" w:rsidR="00F753E8" w:rsidRPr="00C67BAB" w:rsidRDefault="00F753E8" w:rsidP="006E1769">
            <w:pPr>
              <w:ind w:firstLineChars="100" w:firstLine="220"/>
              <w:rPr>
                <w:rFonts w:ascii="Arial" w:hAnsi="Arial" w:cs="Arial"/>
                <w:b/>
                <w:bCs/>
                <w:color w:val="000000"/>
                <w:sz w:val="22"/>
                <w:szCs w:val="22"/>
              </w:rPr>
            </w:pPr>
            <w:r w:rsidRPr="00C67BAB">
              <w:rPr>
                <w:rFonts w:ascii="Arial" w:hAnsi="Arial" w:cs="Arial"/>
                <w:color w:val="000000"/>
                <w:sz w:val="22"/>
                <w:szCs w:val="22"/>
              </w:rPr>
              <w:t xml:space="preserve">Magistrates Court </w:t>
            </w:r>
          </w:p>
        </w:tc>
        <w:tc>
          <w:tcPr>
            <w:tcW w:w="4931" w:type="dxa"/>
            <w:tcBorders>
              <w:top w:val="nil"/>
              <w:left w:val="single" w:sz="8" w:space="0" w:color="auto"/>
              <w:bottom w:val="nil"/>
              <w:right w:val="single" w:sz="8" w:space="0" w:color="auto"/>
            </w:tcBorders>
            <w:shd w:val="clear" w:color="000000" w:fill="FFFFFF"/>
            <w:noWrap/>
            <w:vAlign w:val="center"/>
            <w:hideMark/>
          </w:tcPr>
          <w:p w14:paraId="56768830" w14:textId="77777777" w:rsidR="00F753E8" w:rsidRPr="00C67BAB" w:rsidRDefault="00F753E8" w:rsidP="006E1769">
            <w:pPr>
              <w:ind w:firstLineChars="100" w:firstLine="220"/>
              <w:rPr>
                <w:rFonts w:ascii="Arial" w:hAnsi="Arial" w:cs="Arial"/>
                <w:b/>
                <w:bCs/>
                <w:color w:val="000000"/>
                <w:sz w:val="22"/>
                <w:szCs w:val="22"/>
              </w:rPr>
            </w:pPr>
            <w:r w:rsidRPr="00C67BAB">
              <w:rPr>
                <w:rFonts w:ascii="Arial" w:hAnsi="Arial" w:cs="Arial"/>
                <w:color w:val="000000"/>
                <w:sz w:val="22"/>
                <w:szCs w:val="22"/>
              </w:rPr>
              <w:t xml:space="preserve">Abbeyfield Barking Society </w:t>
            </w:r>
          </w:p>
        </w:tc>
      </w:tr>
      <w:tr w:rsidR="00F753E8" w:rsidRPr="00C67BAB" w14:paraId="4D0809DE"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tcPr>
          <w:p w14:paraId="48CD98B7" w14:textId="77777777" w:rsidR="00F753E8" w:rsidRPr="00C67BAB" w:rsidRDefault="00F753E8" w:rsidP="006E1769">
            <w:pPr>
              <w:ind w:firstLineChars="100" w:firstLine="220"/>
              <w:rPr>
                <w:rFonts w:ascii="Arial" w:hAnsi="Arial" w:cs="Arial"/>
                <w:color w:val="000000"/>
                <w:sz w:val="22"/>
                <w:szCs w:val="22"/>
              </w:rPr>
            </w:pPr>
          </w:p>
        </w:tc>
        <w:tc>
          <w:tcPr>
            <w:tcW w:w="4931" w:type="dxa"/>
            <w:tcBorders>
              <w:top w:val="nil"/>
              <w:left w:val="single" w:sz="8" w:space="0" w:color="auto"/>
              <w:bottom w:val="nil"/>
              <w:right w:val="single" w:sz="8" w:space="0" w:color="auto"/>
            </w:tcBorders>
            <w:shd w:val="clear" w:color="000000" w:fill="FFFFFF"/>
            <w:noWrap/>
            <w:vAlign w:val="center"/>
            <w:hideMark/>
          </w:tcPr>
          <w:p w14:paraId="12687974"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Age UK </w:t>
            </w:r>
          </w:p>
        </w:tc>
      </w:tr>
      <w:tr w:rsidR="00F753E8" w:rsidRPr="00C67BAB" w14:paraId="26DFBEA9"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486F625D"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741D6605"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Council for Voluntary Service </w:t>
            </w:r>
          </w:p>
        </w:tc>
      </w:tr>
      <w:tr w:rsidR="00F753E8" w:rsidRPr="00C67BAB" w14:paraId="340FC410"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70A22226"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1704F3F5"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Disablement Assoc. of B&amp;D </w:t>
            </w:r>
          </w:p>
        </w:tc>
      </w:tr>
      <w:tr w:rsidR="00F753E8" w:rsidRPr="00C67BAB" w14:paraId="5B727D4A"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5BE16D48"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722A4A54"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East London E-Learning </w:t>
            </w:r>
          </w:p>
        </w:tc>
      </w:tr>
      <w:tr w:rsidR="00F753E8" w:rsidRPr="00C67BAB" w14:paraId="7690738F"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523D54A0"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15E468AD"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London Riverside </w:t>
            </w:r>
          </w:p>
        </w:tc>
      </w:tr>
      <w:tr w:rsidR="00F753E8" w:rsidRPr="00C67BAB" w14:paraId="47A01BA3"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1EAE366D"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hideMark/>
          </w:tcPr>
          <w:p w14:paraId="1C6AC8A5"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Laing O'Rourke </w:t>
            </w:r>
          </w:p>
        </w:tc>
      </w:tr>
      <w:tr w:rsidR="00F753E8" w:rsidRPr="00C67BAB" w14:paraId="09F83F86" w14:textId="77777777" w:rsidTr="006E1769">
        <w:trPr>
          <w:trHeight w:val="266"/>
        </w:trPr>
        <w:tc>
          <w:tcPr>
            <w:tcW w:w="3842" w:type="dxa"/>
            <w:tcBorders>
              <w:top w:val="nil"/>
              <w:left w:val="single" w:sz="8" w:space="0" w:color="auto"/>
              <w:bottom w:val="nil"/>
              <w:right w:val="single" w:sz="12" w:space="0" w:color="auto"/>
            </w:tcBorders>
            <w:shd w:val="clear" w:color="000000" w:fill="FFFFFF"/>
            <w:noWrap/>
            <w:vAlign w:val="center"/>
            <w:hideMark/>
          </w:tcPr>
          <w:p w14:paraId="645110CF"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nil"/>
              <w:right w:val="single" w:sz="8" w:space="0" w:color="auto"/>
            </w:tcBorders>
            <w:shd w:val="clear" w:color="000000" w:fill="FFFFFF"/>
            <w:noWrap/>
            <w:vAlign w:val="center"/>
          </w:tcPr>
          <w:p w14:paraId="14FEB1D0"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May Gurney</w:t>
            </w:r>
          </w:p>
        </w:tc>
      </w:tr>
      <w:tr w:rsidR="00F753E8" w:rsidRPr="00C67BAB" w14:paraId="082D5C85" w14:textId="77777777" w:rsidTr="006E1769">
        <w:trPr>
          <w:trHeight w:val="280"/>
        </w:trPr>
        <w:tc>
          <w:tcPr>
            <w:tcW w:w="3842" w:type="dxa"/>
            <w:tcBorders>
              <w:top w:val="nil"/>
              <w:left w:val="single" w:sz="8" w:space="0" w:color="auto"/>
              <w:bottom w:val="single" w:sz="4" w:space="0" w:color="auto"/>
              <w:right w:val="single" w:sz="12" w:space="0" w:color="auto"/>
            </w:tcBorders>
            <w:shd w:val="clear" w:color="000000" w:fill="FFFFFF"/>
            <w:noWrap/>
            <w:vAlign w:val="center"/>
            <w:hideMark/>
          </w:tcPr>
          <w:p w14:paraId="13A9ABAF"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w:t>
            </w:r>
          </w:p>
        </w:tc>
        <w:tc>
          <w:tcPr>
            <w:tcW w:w="4931" w:type="dxa"/>
            <w:tcBorders>
              <w:top w:val="nil"/>
              <w:left w:val="single" w:sz="8" w:space="0" w:color="auto"/>
              <w:bottom w:val="single" w:sz="8" w:space="0" w:color="auto"/>
              <w:right w:val="single" w:sz="8" w:space="0" w:color="auto"/>
            </w:tcBorders>
            <w:shd w:val="clear" w:color="000000" w:fill="FFFFFF"/>
            <w:noWrap/>
            <w:vAlign w:val="center"/>
          </w:tcPr>
          <w:p w14:paraId="6F2C0E4C" w14:textId="77777777" w:rsidR="00F753E8" w:rsidRPr="00C67BAB" w:rsidRDefault="00F753E8" w:rsidP="006E1769">
            <w:pPr>
              <w:ind w:firstLineChars="100" w:firstLine="220"/>
              <w:rPr>
                <w:rFonts w:ascii="Arial" w:hAnsi="Arial" w:cs="Arial"/>
                <w:color w:val="000000"/>
                <w:sz w:val="22"/>
                <w:szCs w:val="22"/>
              </w:rPr>
            </w:pPr>
            <w:r w:rsidRPr="00C67BAB">
              <w:rPr>
                <w:rFonts w:ascii="Arial" w:hAnsi="Arial" w:cs="Arial"/>
                <w:color w:val="000000"/>
                <w:sz w:val="22"/>
                <w:szCs w:val="22"/>
              </w:rPr>
              <w:t xml:space="preserve">RM Education </w:t>
            </w:r>
          </w:p>
        </w:tc>
      </w:tr>
    </w:tbl>
    <w:p w14:paraId="4F4304CD" w14:textId="77777777" w:rsidR="00F753E8" w:rsidRDefault="00F753E8" w:rsidP="00F753E8">
      <w:pPr>
        <w:jc w:val="both"/>
        <w:rPr>
          <w:rFonts w:ascii="Arial" w:hAnsi="Arial" w:cs="Arial"/>
          <w:sz w:val="22"/>
          <w:szCs w:val="22"/>
        </w:rPr>
      </w:pPr>
    </w:p>
    <w:p w14:paraId="591C05F0" w14:textId="77777777" w:rsidR="00F753E8" w:rsidRDefault="00F753E8" w:rsidP="00F753E8">
      <w:pPr>
        <w:jc w:val="both"/>
        <w:rPr>
          <w:rFonts w:ascii="Arial" w:hAnsi="Arial" w:cs="Arial"/>
          <w:sz w:val="22"/>
          <w:szCs w:val="22"/>
        </w:rPr>
      </w:pPr>
      <w:r w:rsidRPr="008A0A4E">
        <w:rPr>
          <w:rFonts w:ascii="Arial" w:hAnsi="Arial" w:cs="Arial"/>
          <w:sz w:val="22"/>
          <w:szCs w:val="22"/>
        </w:rPr>
        <w:t>A breakdown of the Fund’s member</w:t>
      </w:r>
      <w:r>
        <w:rPr>
          <w:rFonts w:ascii="Arial" w:hAnsi="Arial" w:cs="Arial"/>
          <w:sz w:val="22"/>
          <w:szCs w:val="22"/>
        </w:rPr>
        <w:t>s</w:t>
      </w:r>
      <w:r w:rsidRPr="008A0A4E">
        <w:rPr>
          <w:rFonts w:ascii="Arial" w:hAnsi="Arial" w:cs="Arial"/>
          <w:sz w:val="22"/>
          <w:szCs w:val="22"/>
        </w:rPr>
        <w:t xml:space="preserve"> by employer type and by member type is included in the table below:</w:t>
      </w:r>
    </w:p>
    <w:p w14:paraId="231C9D62" w14:textId="77777777" w:rsidR="00F753E8" w:rsidRPr="008A0A4E" w:rsidRDefault="00F753E8" w:rsidP="00F753E8">
      <w:pPr>
        <w:ind w:left="720"/>
        <w:jc w:val="both"/>
        <w:rPr>
          <w:rFonts w:ascii="Arial" w:hAnsi="Arial" w:cs="Arial"/>
          <w:sz w:val="22"/>
          <w:szCs w:val="22"/>
        </w:rPr>
      </w:pPr>
    </w:p>
    <w:tbl>
      <w:tblPr>
        <w:tblW w:w="8931" w:type="dxa"/>
        <w:jc w:val="center"/>
        <w:tblLayout w:type="fixed"/>
        <w:tblLook w:val="04A0" w:firstRow="1" w:lastRow="0" w:firstColumn="1" w:lastColumn="0" w:noHBand="0" w:noVBand="1"/>
      </w:tblPr>
      <w:tblGrid>
        <w:gridCol w:w="311"/>
        <w:gridCol w:w="4792"/>
        <w:gridCol w:w="1843"/>
        <w:gridCol w:w="236"/>
        <w:gridCol w:w="1749"/>
      </w:tblGrid>
      <w:tr w:rsidR="00F753E8" w:rsidRPr="00B64150" w14:paraId="44D8E55C" w14:textId="77777777" w:rsidTr="006E1769">
        <w:trPr>
          <w:trHeight w:val="198"/>
          <w:jc w:val="center"/>
        </w:trPr>
        <w:tc>
          <w:tcPr>
            <w:tcW w:w="5103" w:type="dxa"/>
            <w:gridSpan w:val="2"/>
            <w:tcBorders>
              <w:top w:val="nil"/>
              <w:left w:val="nil"/>
              <w:right w:val="nil"/>
            </w:tcBorders>
            <w:shd w:val="clear" w:color="auto" w:fill="auto"/>
            <w:noWrap/>
            <w:vAlign w:val="bottom"/>
            <w:hideMark/>
          </w:tcPr>
          <w:p w14:paraId="1BCE803C" w14:textId="77777777" w:rsidR="00F753E8" w:rsidRPr="008A0A4E" w:rsidRDefault="00F753E8" w:rsidP="006E1769">
            <w:pPr>
              <w:ind w:left="191"/>
              <w:rPr>
                <w:rFonts w:ascii="Arial" w:hAnsi="Arial" w:cs="Arial"/>
                <w:b/>
                <w:bCs/>
                <w:color w:val="000000"/>
                <w:sz w:val="22"/>
                <w:szCs w:val="22"/>
              </w:rPr>
            </w:pPr>
          </w:p>
        </w:tc>
        <w:tc>
          <w:tcPr>
            <w:tcW w:w="1843" w:type="dxa"/>
            <w:tcBorders>
              <w:top w:val="nil"/>
              <w:left w:val="nil"/>
              <w:right w:val="nil"/>
            </w:tcBorders>
            <w:shd w:val="clear" w:color="auto" w:fill="auto"/>
            <w:noWrap/>
          </w:tcPr>
          <w:p w14:paraId="5C1A4A26" w14:textId="77777777" w:rsidR="00F753E8" w:rsidRPr="008A0A4E" w:rsidRDefault="00F753E8" w:rsidP="006E1769">
            <w:pPr>
              <w:ind w:left="191"/>
              <w:jc w:val="center"/>
              <w:rPr>
                <w:rFonts w:ascii="Arial" w:hAnsi="Arial" w:cs="Arial"/>
                <w:color w:val="000000"/>
                <w:sz w:val="22"/>
                <w:szCs w:val="22"/>
              </w:rPr>
            </w:pPr>
            <w:r w:rsidRPr="003F5E4D">
              <w:rPr>
                <w:rFonts w:ascii="Arial" w:hAnsi="Arial" w:cs="Arial"/>
                <w:b/>
                <w:bCs/>
                <w:color w:val="000000"/>
                <w:sz w:val="22"/>
                <w:szCs w:val="22"/>
              </w:rPr>
              <w:t>2020/21</w:t>
            </w:r>
          </w:p>
        </w:tc>
        <w:tc>
          <w:tcPr>
            <w:tcW w:w="236" w:type="dxa"/>
            <w:tcBorders>
              <w:top w:val="nil"/>
              <w:left w:val="nil"/>
              <w:right w:val="nil"/>
            </w:tcBorders>
            <w:shd w:val="clear" w:color="auto" w:fill="auto"/>
            <w:noWrap/>
            <w:hideMark/>
          </w:tcPr>
          <w:p w14:paraId="779B712A" w14:textId="77777777" w:rsidR="00F753E8" w:rsidRPr="008A0A4E" w:rsidRDefault="00F753E8" w:rsidP="006E1769">
            <w:pPr>
              <w:ind w:left="191"/>
              <w:jc w:val="center"/>
              <w:rPr>
                <w:rFonts w:ascii="Arial" w:hAnsi="Arial" w:cs="Arial"/>
                <w:color w:val="000000"/>
                <w:sz w:val="22"/>
                <w:szCs w:val="22"/>
              </w:rPr>
            </w:pPr>
          </w:p>
        </w:tc>
        <w:tc>
          <w:tcPr>
            <w:tcW w:w="1749" w:type="dxa"/>
            <w:tcBorders>
              <w:top w:val="nil"/>
              <w:left w:val="nil"/>
              <w:right w:val="nil"/>
            </w:tcBorders>
            <w:shd w:val="clear" w:color="auto" w:fill="auto"/>
            <w:noWrap/>
          </w:tcPr>
          <w:p w14:paraId="21513E8A" w14:textId="77777777" w:rsidR="00F753E8" w:rsidRPr="003F5E4D" w:rsidRDefault="00F753E8" w:rsidP="006E1769">
            <w:pPr>
              <w:ind w:left="191"/>
              <w:jc w:val="center"/>
              <w:rPr>
                <w:rFonts w:ascii="Arial" w:hAnsi="Arial" w:cs="Arial"/>
                <w:b/>
                <w:color w:val="000000"/>
                <w:sz w:val="22"/>
                <w:szCs w:val="22"/>
              </w:rPr>
            </w:pPr>
            <w:r>
              <w:rPr>
                <w:rFonts w:ascii="Arial" w:hAnsi="Arial" w:cs="Arial"/>
                <w:b/>
                <w:bCs/>
                <w:color w:val="000000"/>
                <w:sz w:val="22"/>
                <w:szCs w:val="22"/>
              </w:rPr>
              <w:t>2021/22</w:t>
            </w:r>
          </w:p>
        </w:tc>
      </w:tr>
      <w:tr w:rsidR="00F753E8" w:rsidRPr="00B64150" w14:paraId="7052D90C" w14:textId="77777777" w:rsidTr="006E1769">
        <w:trPr>
          <w:trHeight w:val="198"/>
          <w:jc w:val="center"/>
        </w:trPr>
        <w:tc>
          <w:tcPr>
            <w:tcW w:w="5103" w:type="dxa"/>
            <w:gridSpan w:val="2"/>
            <w:tcBorders>
              <w:top w:val="nil"/>
              <w:left w:val="nil"/>
              <w:right w:val="nil"/>
            </w:tcBorders>
            <w:shd w:val="clear" w:color="auto" w:fill="auto"/>
            <w:noWrap/>
            <w:vAlign w:val="bottom"/>
            <w:hideMark/>
          </w:tcPr>
          <w:p w14:paraId="4FE3E139" w14:textId="77777777" w:rsidR="00F753E8" w:rsidRPr="008A0A4E" w:rsidRDefault="00F753E8" w:rsidP="006E1769">
            <w:pPr>
              <w:ind w:left="191"/>
              <w:rPr>
                <w:rFonts w:ascii="Arial" w:hAnsi="Arial" w:cs="Arial"/>
                <w:b/>
                <w:bCs/>
                <w:color w:val="000000"/>
                <w:sz w:val="22"/>
                <w:szCs w:val="22"/>
              </w:rPr>
            </w:pPr>
            <w:r w:rsidRPr="008A0A4E">
              <w:rPr>
                <w:rFonts w:ascii="Arial" w:hAnsi="Arial" w:cs="Arial"/>
                <w:b/>
                <w:bCs/>
                <w:color w:val="000000"/>
                <w:sz w:val="22"/>
                <w:szCs w:val="22"/>
              </w:rPr>
              <w:t>Number of Employers with active members</w:t>
            </w:r>
          </w:p>
        </w:tc>
        <w:tc>
          <w:tcPr>
            <w:tcW w:w="1843" w:type="dxa"/>
            <w:tcBorders>
              <w:top w:val="nil"/>
              <w:left w:val="nil"/>
              <w:right w:val="nil"/>
            </w:tcBorders>
            <w:shd w:val="clear" w:color="auto" w:fill="auto"/>
            <w:noWrap/>
            <w:vAlign w:val="bottom"/>
          </w:tcPr>
          <w:p w14:paraId="744429A3" w14:textId="77777777" w:rsidR="00F753E8" w:rsidRPr="008A0A4E" w:rsidRDefault="00F753E8" w:rsidP="006E1769">
            <w:pPr>
              <w:ind w:left="191"/>
              <w:jc w:val="center"/>
              <w:rPr>
                <w:rFonts w:ascii="Arial" w:hAnsi="Arial" w:cs="Arial"/>
                <w:color w:val="000000"/>
                <w:sz w:val="22"/>
                <w:szCs w:val="22"/>
              </w:rPr>
            </w:pPr>
            <w:r w:rsidRPr="003F5E4D">
              <w:rPr>
                <w:rFonts w:ascii="Arial" w:hAnsi="Arial" w:cs="Arial"/>
                <w:b/>
                <w:bCs/>
                <w:color w:val="000000"/>
                <w:sz w:val="22"/>
                <w:szCs w:val="22"/>
              </w:rPr>
              <w:t>4</w:t>
            </w:r>
            <w:r>
              <w:rPr>
                <w:rFonts w:ascii="Arial" w:hAnsi="Arial" w:cs="Arial"/>
                <w:b/>
                <w:bCs/>
                <w:color w:val="000000"/>
                <w:sz w:val="22"/>
                <w:szCs w:val="22"/>
              </w:rPr>
              <w:t>1</w:t>
            </w:r>
          </w:p>
        </w:tc>
        <w:tc>
          <w:tcPr>
            <w:tcW w:w="236" w:type="dxa"/>
            <w:tcBorders>
              <w:top w:val="nil"/>
              <w:left w:val="nil"/>
              <w:right w:val="nil"/>
            </w:tcBorders>
            <w:shd w:val="clear" w:color="auto" w:fill="auto"/>
            <w:noWrap/>
            <w:vAlign w:val="bottom"/>
            <w:hideMark/>
          </w:tcPr>
          <w:p w14:paraId="75FE3B90" w14:textId="77777777" w:rsidR="00F753E8" w:rsidRPr="008A0A4E" w:rsidRDefault="00F753E8" w:rsidP="006E1769">
            <w:pPr>
              <w:ind w:left="191"/>
              <w:jc w:val="center"/>
              <w:rPr>
                <w:rFonts w:ascii="Arial" w:hAnsi="Arial" w:cs="Arial"/>
                <w:color w:val="000000"/>
                <w:sz w:val="22"/>
                <w:szCs w:val="22"/>
              </w:rPr>
            </w:pPr>
          </w:p>
        </w:tc>
        <w:tc>
          <w:tcPr>
            <w:tcW w:w="1749" w:type="dxa"/>
            <w:tcBorders>
              <w:top w:val="nil"/>
              <w:left w:val="nil"/>
              <w:right w:val="nil"/>
            </w:tcBorders>
            <w:shd w:val="clear" w:color="auto" w:fill="auto"/>
            <w:noWrap/>
            <w:vAlign w:val="bottom"/>
          </w:tcPr>
          <w:p w14:paraId="353FEC23" w14:textId="77777777" w:rsidR="00F753E8" w:rsidRPr="003F5E4D" w:rsidRDefault="00F753E8" w:rsidP="006E1769">
            <w:pPr>
              <w:ind w:left="191"/>
              <w:jc w:val="center"/>
              <w:rPr>
                <w:rFonts w:ascii="Arial" w:hAnsi="Arial" w:cs="Arial"/>
                <w:b/>
                <w:bCs/>
                <w:color w:val="000000"/>
                <w:sz w:val="22"/>
                <w:szCs w:val="22"/>
              </w:rPr>
            </w:pPr>
            <w:r w:rsidRPr="003F5E4D">
              <w:rPr>
                <w:rFonts w:ascii="Arial" w:hAnsi="Arial" w:cs="Arial"/>
                <w:b/>
                <w:bCs/>
                <w:color w:val="000000"/>
                <w:sz w:val="22"/>
                <w:szCs w:val="22"/>
              </w:rPr>
              <w:t>4</w:t>
            </w:r>
            <w:r>
              <w:rPr>
                <w:rFonts w:ascii="Arial" w:hAnsi="Arial" w:cs="Arial"/>
                <w:b/>
                <w:bCs/>
                <w:color w:val="000000"/>
                <w:sz w:val="22"/>
                <w:szCs w:val="22"/>
              </w:rPr>
              <w:t>2</w:t>
            </w:r>
          </w:p>
        </w:tc>
      </w:tr>
      <w:tr w:rsidR="00F753E8" w:rsidRPr="00B64150" w14:paraId="33375342" w14:textId="77777777" w:rsidTr="006E1769">
        <w:trPr>
          <w:trHeight w:val="190"/>
          <w:jc w:val="center"/>
        </w:trPr>
        <w:tc>
          <w:tcPr>
            <w:tcW w:w="5103" w:type="dxa"/>
            <w:gridSpan w:val="2"/>
            <w:tcBorders>
              <w:top w:val="nil"/>
              <w:left w:val="nil"/>
              <w:bottom w:val="nil"/>
              <w:right w:val="nil"/>
            </w:tcBorders>
            <w:shd w:val="clear" w:color="auto" w:fill="auto"/>
            <w:noWrap/>
            <w:vAlign w:val="bottom"/>
            <w:hideMark/>
          </w:tcPr>
          <w:p w14:paraId="355D9580" w14:textId="77777777" w:rsidR="00F753E8" w:rsidRPr="008A0A4E" w:rsidRDefault="00F753E8" w:rsidP="006E1769">
            <w:pPr>
              <w:ind w:left="191"/>
              <w:rPr>
                <w:rFonts w:ascii="Arial" w:hAnsi="Arial" w:cs="Arial"/>
                <w:b/>
                <w:bCs/>
                <w:color w:val="000000"/>
                <w:sz w:val="22"/>
                <w:szCs w:val="22"/>
              </w:rPr>
            </w:pPr>
            <w:r w:rsidRPr="008A0A4E">
              <w:rPr>
                <w:rFonts w:ascii="Arial" w:hAnsi="Arial" w:cs="Arial"/>
                <w:b/>
                <w:bCs/>
                <w:color w:val="000000"/>
                <w:sz w:val="22"/>
                <w:szCs w:val="22"/>
              </w:rPr>
              <w:t xml:space="preserve">Number of Employees in scheme </w:t>
            </w:r>
          </w:p>
        </w:tc>
        <w:tc>
          <w:tcPr>
            <w:tcW w:w="1843" w:type="dxa"/>
            <w:tcBorders>
              <w:top w:val="nil"/>
              <w:left w:val="nil"/>
              <w:bottom w:val="nil"/>
              <w:right w:val="nil"/>
            </w:tcBorders>
            <w:vAlign w:val="center"/>
          </w:tcPr>
          <w:p w14:paraId="623D17F4" w14:textId="77777777" w:rsidR="00F753E8" w:rsidRPr="008A0A4E" w:rsidRDefault="00F753E8" w:rsidP="006E1769">
            <w:pPr>
              <w:ind w:left="191"/>
              <w:jc w:val="right"/>
              <w:rPr>
                <w:rFonts w:ascii="Arial" w:hAnsi="Arial" w:cs="Arial"/>
                <w:color w:val="000000"/>
                <w:sz w:val="22"/>
                <w:szCs w:val="22"/>
              </w:rPr>
            </w:pPr>
          </w:p>
        </w:tc>
        <w:tc>
          <w:tcPr>
            <w:tcW w:w="236" w:type="dxa"/>
            <w:tcBorders>
              <w:top w:val="nil"/>
              <w:left w:val="nil"/>
              <w:bottom w:val="nil"/>
              <w:right w:val="nil"/>
            </w:tcBorders>
            <w:vAlign w:val="center"/>
            <w:hideMark/>
          </w:tcPr>
          <w:p w14:paraId="5CCCDE48" w14:textId="77777777" w:rsidR="00F753E8" w:rsidRPr="008A0A4E"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vAlign w:val="center"/>
          </w:tcPr>
          <w:p w14:paraId="3A78468D" w14:textId="77777777" w:rsidR="00F753E8" w:rsidRPr="003F5E4D" w:rsidRDefault="00F753E8" w:rsidP="006E1769">
            <w:pPr>
              <w:ind w:left="191"/>
              <w:jc w:val="right"/>
              <w:rPr>
                <w:rFonts w:ascii="Arial" w:hAnsi="Arial" w:cs="Arial"/>
                <w:color w:val="000000"/>
                <w:sz w:val="22"/>
                <w:szCs w:val="22"/>
              </w:rPr>
            </w:pPr>
          </w:p>
        </w:tc>
      </w:tr>
      <w:tr w:rsidR="00F753E8" w:rsidRPr="00B64150" w14:paraId="01FEBED4" w14:textId="77777777" w:rsidTr="006E1769">
        <w:trPr>
          <w:trHeight w:val="63"/>
          <w:jc w:val="center"/>
        </w:trPr>
        <w:tc>
          <w:tcPr>
            <w:tcW w:w="5103" w:type="dxa"/>
            <w:gridSpan w:val="2"/>
            <w:tcBorders>
              <w:top w:val="nil"/>
              <w:left w:val="nil"/>
              <w:bottom w:val="nil"/>
              <w:right w:val="nil"/>
            </w:tcBorders>
            <w:shd w:val="clear" w:color="auto" w:fill="auto"/>
            <w:noWrap/>
            <w:vAlign w:val="bottom"/>
            <w:hideMark/>
          </w:tcPr>
          <w:p w14:paraId="6C81E21E" w14:textId="77777777" w:rsidR="00F753E8" w:rsidRPr="008A0A4E" w:rsidRDefault="00F753E8" w:rsidP="006E1769">
            <w:pPr>
              <w:ind w:left="191"/>
              <w:rPr>
                <w:rFonts w:ascii="Arial" w:hAnsi="Arial" w:cs="Arial"/>
                <w:b/>
                <w:bCs/>
                <w:color w:val="000000"/>
                <w:sz w:val="22"/>
                <w:szCs w:val="22"/>
              </w:rPr>
            </w:pPr>
            <w:r w:rsidRPr="008A0A4E">
              <w:rPr>
                <w:rFonts w:ascii="Arial" w:hAnsi="Arial" w:cs="Arial"/>
                <w:b/>
                <w:bCs/>
                <w:color w:val="000000"/>
                <w:sz w:val="22"/>
                <w:szCs w:val="22"/>
              </w:rPr>
              <w:t>London Borough of Barking and Dagenham</w:t>
            </w:r>
          </w:p>
        </w:tc>
        <w:tc>
          <w:tcPr>
            <w:tcW w:w="1843" w:type="dxa"/>
            <w:tcBorders>
              <w:top w:val="nil"/>
              <w:left w:val="nil"/>
              <w:bottom w:val="nil"/>
              <w:right w:val="nil"/>
            </w:tcBorders>
            <w:shd w:val="clear" w:color="auto" w:fill="auto"/>
            <w:noWrap/>
            <w:vAlign w:val="bottom"/>
          </w:tcPr>
          <w:p w14:paraId="4DCC7C41" w14:textId="77777777" w:rsidR="00F753E8" w:rsidRPr="00B2463B" w:rsidRDefault="00F753E8" w:rsidP="006E1769">
            <w:pPr>
              <w:ind w:left="191"/>
              <w:jc w:val="right"/>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14:paraId="38C79E0F" w14:textId="77777777" w:rsidR="00F753E8" w:rsidRPr="00B2463B"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shd w:val="clear" w:color="auto" w:fill="auto"/>
            <w:noWrap/>
            <w:vAlign w:val="bottom"/>
          </w:tcPr>
          <w:p w14:paraId="5D07741F" w14:textId="77777777" w:rsidR="00F753E8" w:rsidRPr="00B2463B" w:rsidRDefault="00F753E8" w:rsidP="006E1769">
            <w:pPr>
              <w:ind w:left="191"/>
              <w:jc w:val="right"/>
              <w:rPr>
                <w:rFonts w:ascii="Arial" w:hAnsi="Arial" w:cs="Arial"/>
                <w:color w:val="000000"/>
                <w:sz w:val="22"/>
                <w:szCs w:val="22"/>
              </w:rPr>
            </w:pPr>
          </w:p>
        </w:tc>
      </w:tr>
      <w:tr w:rsidR="00F753E8" w:rsidRPr="00B64150" w14:paraId="7D806712"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24EB7E45" w14:textId="77777777" w:rsidR="00F753E8" w:rsidRPr="008A0A4E" w:rsidRDefault="00F753E8" w:rsidP="006E1769">
            <w:pPr>
              <w:ind w:left="191"/>
              <w:rPr>
                <w:rFonts w:ascii="Arial" w:hAnsi="Arial" w:cs="Arial"/>
                <w:b/>
                <w:bCs/>
                <w:color w:val="000000"/>
                <w:sz w:val="22"/>
                <w:szCs w:val="22"/>
              </w:rPr>
            </w:pPr>
            <w:bookmarkStart w:id="6" w:name="_Hlk3285676"/>
          </w:p>
        </w:tc>
        <w:tc>
          <w:tcPr>
            <w:tcW w:w="4792" w:type="dxa"/>
            <w:tcBorders>
              <w:top w:val="nil"/>
              <w:left w:val="nil"/>
              <w:bottom w:val="nil"/>
              <w:right w:val="nil"/>
            </w:tcBorders>
            <w:shd w:val="clear" w:color="auto" w:fill="auto"/>
            <w:noWrap/>
            <w:vAlign w:val="bottom"/>
            <w:hideMark/>
          </w:tcPr>
          <w:p w14:paraId="7957D9D5" w14:textId="77777777" w:rsidR="00F753E8" w:rsidRPr="008A0A4E" w:rsidRDefault="00F753E8" w:rsidP="006E1769">
            <w:pPr>
              <w:ind w:left="191"/>
              <w:rPr>
                <w:rFonts w:ascii="Arial" w:hAnsi="Arial" w:cs="Arial"/>
                <w:color w:val="000000"/>
                <w:sz w:val="22"/>
                <w:szCs w:val="22"/>
              </w:rPr>
            </w:pPr>
            <w:r w:rsidRPr="008A0A4E">
              <w:rPr>
                <w:rFonts w:ascii="Arial" w:hAnsi="Arial" w:cs="Arial"/>
                <w:color w:val="000000"/>
                <w:sz w:val="22"/>
                <w:szCs w:val="22"/>
              </w:rPr>
              <w:t>Active members</w:t>
            </w:r>
          </w:p>
        </w:tc>
        <w:tc>
          <w:tcPr>
            <w:tcW w:w="1843" w:type="dxa"/>
            <w:tcBorders>
              <w:top w:val="nil"/>
              <w:left w:val="nil"/>
              <w:bottom w:val="nil"/>
              <w:right w:val="nil"/>
            </w:tcBorders>
            <w:shd w:val="clear" w:color="auto" w:fill="auto"/>
            <w:noWrap/>
          </w:tcPr>
          <w:p w14:paraId="3A4CBD23" w14:textId="77777777" w:rsidR="00F753E8" w:rsidRPr="00B2463B" w:rsidRDefault="00F753E8" w:rsidP="006E1769">
            <w:pPr>
              <w:jc w:val="right"/>
              <w:rPr>
                <w:rFonts w:ascii="Arial" w:hAnsi="Arial" w:cs="Arial"/>
                <w:color w:val="000000"/>
                <w:sz w:val="22"/>
                <w:szCs w:val="22"/>
              </w:rPr>
            </w:pPr>
            <w:r>
              <w:rPr>
                <w:rFonts w:ascii="Arial" w:eastAsiaTheme="minorHAnsi" w:hAnsi="Arial" w:cs="Arial"/>
                <w:b/>
                <w:bCs/>
                <w:color w:val="000000"/>
                <w:sz w:val="22"/>
                <w:szCs w:val="22"/>
                <w:lang w:eastAsia="en-US"/>
              </w:rPr>
              <w:t>4,670</w:t>
            </w:r>
          </w:p>
        </w:tc>
        <w:tc>
          <w:tcPr>
            <w:tcW w:w="236" w:type="dxa"/>
            <w:tcBorders>
              <w:top w:val="nil"/>
              <w:left w:val="nil"/>
              <w:bottom w:val="nil"/>
              <w:right w:val="nil"/>
            </w:tcBorders>
            <w:shd w:val="clear" w:color="auto" w:fill="auto"/>
            <w:noWrap/>
            <w:vAlign w:val="bottom"/>
            <w:hideMark/>
          </w:tcPr>
          <w:p w14:paraId="2D00ABD3" w14:textId="77777777" w:rsidR="00F753E8" w:rsidRPr="00B2463B"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shd w:val="clear" w:color="auto" w:fill="auto"/>
            <w:noWrap/>
          </w:tcPr>
          <w:p w14:paraId="0DCC9BC4" w14:textId="77777777" w:rsidR="00F753E8" w:rsidRPr="00B2463B"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4,496</w:t>
            </w:r>
          </w:p>
        </w:tc>
      </w:tr>
      <w:tr w:rsidR="00F753E8" w:rsidRPr="00B64150" w14:paraId="2BC47FE1"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41FF1892" w14:textId="77777777" w:rsidR="00F753E8" w:rsidRPr="008A0A4E" w:rsidRDefault="00F753E8" w:rsidP="006E1769">
            <w:pPr>
              <w:ind w:left="191"/>
              <w:rPr>
                <w:rFonts w:ascii="Arial" w:hAnsi="Arial" w:cs="Arial"/>
                <w:b/>
                <w:bCs/>
                <w:color w:val="000000"/>
                <w:sz w:val="22"/>
                <w:szCs w:val="22"/>
              </w:rPr>
            </w:pPr>
          </w:p>
        </w:tc>
        <w:tc>
          <w:tcPr>
            <w:tcW w:w="4792" w:type="dxa"/>
            <w:tcBorders>
              <w:top w:val="nil"/>
              <w:left w:val="nil"/>
              <w:bottom w:val="nil"/>
              <w:right w:val="nil"/>
            </w:tcBorders>
            <w:shd w:val="clear" w:color="auto" w:fill="auto"/>
            <w:noWrap/>
            <w:vAlign w:val="bottom"/>
            <w:hideMark/>
          </w:tcPr>
          <w:p w14:paraId="725E7CC4" w14:textId="77777777" w:rsidR="00F753E8" w:rsidRPr="008A0A4E" w:rsidRDefault="00F753E8" w:rsidP="006E1769">
            <w:pPr>
              <w:ind w:left="191"/>
              <w:rPr>
                <w:rFonts w:ascii="Arial" w:hAnsi="Arial" w:cs="Arial"/>
                <w:color w:val="000000"/>
                <w:sz w:val="22"/>
                <w:szCs w:val="22"/>
              </w:rPr>
            </w:pPr>
            <w:r w:rsidRPr="008A0A4E">
              <w:rPr>
                <w:rFonts w:ascii="Arial" w:hAnsi="Arial" w:cs="Arial"/>
                <w:color w:val="000000"/>
                <w:sz w:val="22"/>
                <w:szCs w:val="22"/>
              </w:rPr>
              <w:t>Pensioners</w:t>
            </w:r>
          </w:p>
        </w:tc>
        <w:tc>
          <w:tcPr>
            <w:tcW w:w="1843" w:type="dxa"/>
            <w:tcBorders>
              <w:top w:val="nil"/>
              <w:left w:val="nil"/>
              <w:bottom w:val="nil"/>
              <w:right w:val="nil"/>
            </w:tcBorders>
            <w:shd w:val="clear" w:color="auto" w:fill="auto"/>
            <w:noWrap/>
          </w:tcPr>
          <w:p w14:paraId="2DE56257" w14:textId="77777777" w:rsidR="00F753E8" w:rsidRPr="00460A0D" w:rsidRDefault="00F753E8" w:rsidP="006E1769">
            <w:pPr>
              <w:jc w:val="right"/>
              <w:rPr>
                <w:rFonts w:ascii="Arial" w:hAnsi="Arial" w:cs="Arial"/>
                <w:color w:val="000000"/>
                <w:sz w:val="22"/>
                <w:szCs w:val="22"/>
              </w:rPr>
            </w:pPr>
            <w:r>
              <w:rPr>
                <w:rFonts w:ascii="Arial" w:eastAsiaTheme="minorHAnsi" w:hAnsi="Arial" w:cs="Arial"/>
                <w:b/>
                <w:bCs/>
                <w:color w:val="000000"/>
                <w:sz w:val="22"/>
                <w:szCs w:val="22"/>
                <w:lang w:eastAsia="en-US"/>
              </w:rPr>
              <w:t>4,627</w:t>
            </w:r>
          </w:p>
        </w:tc>
        <w:tc>
          <w:tcPr>
            <w:tcW w:w="236" w:type="dxa"/>
            <w:tcBorders>
              <w:top w:val="nil"/>
              <w:left w:val="nil"/>
              <w:bottom w:val="nil"/>
              <w:right w:val="nil"/>
            </w:tcBorders>
            <w:shd w:val="clear" w:color="auto" w:fill="auto"/>
            <w:noWrap/>
            <w:vAlign w:val="bottom"/>
            <w:hideMark/>
          </w:tcPr>
          <w:p w14:paraId="53FA7640" w14:textId="77777777" w:rsidR="00F753E8" w:rsidRPr="008A0A4E"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shd w:val="clear" w:color="auto" w:fill="auto"/>
            <w:noWrap/>
          </w:tcPr>
          <w:p w14:paraId="4A975C80" w14:textId="77777777" w:rsidR="00F753E8" w:rsidRPr="003F5E4D"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4,718</w:t>
            </w:r>
          </w:p>
        </w:tc>
      </w:tr>
      <w:tr w:rsidR="00F753E8" w:rsidRPr="00B64150" w14:paraId="6037AC87"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2C6AAB5D" w14:textId="77777777" w:rsidR="00F753E8" w:rsidRPr="008A0A4E" w:rsidRDefault="00F753E8" w:rsidP="006E1769">
            <w:pPr>
              <w:ind w:left="191"/>
              <w:rPr>
                <w:rFonts w:ascii="Arial" w:hAnsi="Arial" w:cs="Arial"/>
                <w:b/>
                <w:bCs/>
                <w:color w:val="000000"/>
                <w:sz w:val="22"/>
                <w:szCs w:val="22"/>
              </w:rPr>
            </w:pPr>
          </w:p>
        </w:tc>
        <w:tc>
          <w:tcPr>
            <w:tcW w:w="4792" w:type="dxa"/>
            <w:tcBorders>
              <w:top w:val="nil"/>
              <w:left w:val="nil"/>
              <w:bottom w:val="nil"/>
              <w:right w:val="nil"/>
            </w:tcBorders>
            <w:shd w:val="clear" w:color="auto" w:fill="auto"/>
            <w:noWrap/>
            <w:vAlign w:val="bottom"/>
            <w:hideMark/>
          </w:tcPr>
          <w:p w14:paraId="133CD359" w14:textId="77777777" w:rsidR="00F753E8" w:rsidRPr="008A0A4E" w:rsidRDefault="00F753E8" w:rsidP="006E1769">
            <w:pPr>
              <w:ind w:left="191"/>
              <w:rPr>
                <w:rFonts w:ascii="Arial" w:hAnsi="Arial" w:cs="Arial"/>
                <w:color w:val="000000"/>
                <w:sz w:val="22"/>
                <w:szCs w:val="22"/>
              </w:rPr>
            </w:pPr>
            <w:r w:rsidRPr="008A0A4E">
              <w:rPr>
                <w:rFonts w:ascii="Arial" w:hAnsi="Arial" w:cs="Arial"/>
                <w:color w:val="000000"/>
                <w:sz w:val="22"/>
                <w:szCs w:val="22"/>
              </w:rPr>
              <w:t>Deferred pensioners</w:t>
            </w:r>
          </w:p>
        </w:tc>
        <w:tc>
          <w:tcPr>
            <w:tcW w:w="1843" w:type="dxa"/>
            <w:tcBorders>
              <w:top w:val="nil"/>
              <w:left w:val="nil"/>
              <w:bottom w:val="nil"/>
              <w:right w:val="nil"/>
            </w:tcBorders>
            <w:shd w:val="clear" w:color="auto" w:fill="auto"/>
            <w:noWrap/>
          </w:tcPr>
          <w:p w14:paraId="1F84B887" w14:textId="77777777" w:rsidR="00F753E8" w:rsidRPr="00460A0D" w:rsidRDefault="00F753E8" w:rsidP="006E1769">
            <w:pPr>
              <w:jc w:val="right"/>
              <w:rPr>
                <w:rFonts w:ascii="Arial" w:hAnsi="Arial" w:cs="Arial"/>
                <w:color w:val="000000"/>
                <w:sz w:val="22"/>
                <w:szCs w:val="22"/>
              </w:rPr>
            </w:pPr>
            <w:r>
              <w:rPr>
                <w:rFonts w:ascii="Arial" w:eastAsiaTheme="minorHAnsi" w:hAnsi="Arial" w:cs="Arial"/>
                <w:b/>
                <w:bCs/>
                <w:color w:val="000000"/>
                <w:sz w:val="22"/>
                <w:szCs w:val="22"/>
                <w:lang w:eastAsia="en-US"/>
              </w:rPr>
              <w:t>4,898</w:t>
            </w:r>
          </w:p>
        </w:tc>
        <w:tc>
          <w:tcPr>
            <w:tcW w:w="236" w:type="dxa"/>
            <w:tcBorders>
              <w:top w:val="nil"/>
              <w:left w:val="nil"/>
              <w:bottom w:val="nil"/>
              <w:right w:val="nil"/>
            </w:tcBorders>
            <w:shd w:val="clear" w:color="auto" w:fill="auto"/>
            <w:noWrap/>
            <w:vAlign w:val="bottom"/>
            <w:hideMark/>
          </w:tcPr>
          <w:p w14:paraId="41A7D98D" w14:textId="77777777" w:rsidR="00F753E8" w:rsidRPr="008A0A4E"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shd w:val="clear" w:color="auto" w:fill="auto"/>
            <w:noWrap/>
          </w:tcPr>
          <w:p w14:paraId="5F51CD23" w14:textId="77777777" w:rsidR="00F753E8" w:rsidRPr="003F5E4D"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5,040</w:t>
            </w:r>
          </w:p>
        </w:tc>
      </w:tr>
      <w:tr w:rsidR="00F753E8" w:rsidRPr="00B64150" w14:paraId="1377D6B8"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52E297B3" w14:textId="77777777" w:rsidR="00F753E8" w:rsidRPr="008A0A4E" w:rsidRDefault="00F753E8" w:rsidP="006E1769">
            <w:pPr>
              <w:ind w:left="191"/>
              <w:rPr>
                <w:rFonts w:ascii="Arial" w:hAnsi="Arial" w:cs="Arial"/>
                <w:b/>
                <w:bCs/>
                <w:color w:val="000000"/>
                <w:sz w:val="22"/>
                <w:szCs w:val="22"/>
              </w:rPr>
            </w:pPr>
          </w:p>
        </w:tc>
        <w:tc>
          <w:tcPr>
            <w:tcW w:w="4792" w:type="dxa"/>
            <w:tcBorders>
              <w:top w:val="nil"/>
              <w:left w:val="nil"/>
              <w:bottom w:val="nil"/>
              <w:right w:val="nil"/>
            </w:tcBorders>
            <w:shd w:val="clear" w:color="auto" w:fill="auto"/>
            <w:noWrap/>
            <w:vAlign w:val="bottom"/>
            <w:hideMark/>
          </w:tcPr>
          <w:p w14:paraId="59E29401" w14:textId="77777777" w:rsidR="00F753E8" w:rsidRPr="008A0A4E" w:rsidRDefault="00F753E8" w:rsidP="006E1769">
            <w:pPr>
              <w:ind w:left="191"/>
              <w:rPr>
                <w:rFonts w:ascii="Arial" w:hAnsi="Arial" w:cs="Arial"/>
                <w:color w:val="000000"/>
                <w:sz w:val="22"/>
                <w:szCs w:val="22"/>
              </w:rPr>
            </w:pPr>
            <w:r w:rsidRPr="008A0A4E">
              <w:rPr>
                <w:rFonts w:ascii="Arial" w:hAnsi="Arial" w:cs="Arial"/>
                <w:color w:val="000000"/>
                <w:sz w:val="22"/>
                <w:szCs w:val="22"/>
              </w:rPr>
              <w:t>Undecided and other members</w:t>
            </w:r>
          </w:p>
        </w:tc>
        <w:tc>
          <w:tcPr>
            <w:tcW w:w="1843" w:type="dxa"/>
            <w:tcBorders>
              <w:top w:val="nil"/>
              <w:left w:val="nil"/>
              <w:bottom w:val="nil"/>
              <w:right w:val="nil"/>
            </w:tcBorders>
            <w:shd w:val="clear" w:color="auto" w:fill="auto"/>
            <w:noWrap/>
          </w:tcPr>
          <w:p w14:paraId="6454CC5E" w14:textId="77777777" w:rsidR="00F753E8" w:rsidRPr="00460A0D" w:rsidRDefault="00F753E8" w:rsidP="006E1769">
            <w:pPr>
              <w:jc w:val="right"/>
              <w:rPr>
                <w:rFonts w:ascii="Arial" w:hAnsi="Arial" w:cs="Arial"/>
                <w:color w:val="000000"/>
                <w:sz w:val="22"/>
                <w:szCs w:val="22"/>
              </w:rPr>
            </w:pPr>
            <w:r>
              <w:rPr>
                <w:rFonts w:ascii="Arial" w:eastAsiaTheme="minorHAnsi" w:hAnsi="Arial" w:cs="Arial"/>
                <w:b/>
                <w:bCs/>
                <w:color w:val="000000"/>
                <w:sz w:val="22"/>
                <w:szCs w:val="22"/>
                <w:lang w:eastAsia="en-US"/>
              </w:rPr>
              <w:t>252</w:t>
            </w:r>
          </w:p>
        </w:tc>
        <w:tc>
          <w:tcPr>
            <w:tcW w:w="236" w:type="dxa"/>
            <w:tcBorders>
              <w:top w:val="nil"/>
              <w:left w:val="nil"/>
              <w:bottom w:val="nil"/>
              <w:right w:val="nil"/>
            </w:tcBorders>
            <w:shd w:val="clear" w:color="auto" w:fill="auto"/>
            <w:noWrap/>
            <w:vAlign w:val="bottom"/>
            <w:hideMark/>
          </w:tcPr>
          <w:p w14:paraId="24312278" w14:textId="77777777" w:rsidR="00F753E8" w:rsidRPr="008A0A4E"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shd w:val="clear" w:color="auto" w:fill="auto"/>
            <w:noWrap/>
          </w:tcPr>
          <w:p w14:paraId="0C0413CA" w14:textId="77777777" w:rsidR="00F753E8" w:rsidRPr="003F5E4D"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126</w:t>
            </w:r>
          </w:p>
        </w:tc>
      </w:tr>
      <w:tr w:rsidR="00F753E8" w:rsidRPr="00B64150" w14:paraId="711F6216"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77751C5E" w14:textId="77777777" w:rsidR="00F753E8" w:rsidRPr="008A0A4E" w:rsidRDefault="00F753E8" w:rsidP="006E1769">
            <w:pPr>
              <w:ind w:left="191"/>
              <w:rPr>
                <w:rFonts w:ascii="Arial" w:hAnsi="Arial" w:cs="Arial"/>
                <w:b/>
                <w:bCs/>
                <w:color w:val="000000"/>
                <w:sz w:val="22"/>
                <w:szCs w:val="22"/>
              </w:rPr>
            </w:pPr>
          </w:p>
        </w:tc>
        <w:tc>
          <w:tcPr>
            <w:tcW w:w="4792" w:type="dxa"/>
            <w:tcBorders>
              <w:top w:val="nil"/>
              <w:left w:val="nil"/>
              <w:bottom w:val="nil"/>
              <w:right w:val="nil"/>
            </w:tcBorders>
            <w:shd w:val="clear" w:color="auto" w:fill="auto"/>
            <w:noWrap/>
            <w:vAlign w:val="bottom"/>
            <w:hideMark/>
          </w:tcPr>
          <w:p w14:paraId="62CE45F2" w14:textId="77777777" w:rsidR="00F753E8" w:rsidRPr="008A0A4E" w:rsidRDefault="00F753E8" w:rsidP="006E1769">
            <w:pPr>
              <w:ind w:left="191"/>
              <w:rPr>
                <w:rFonts w:ascii="Arial" w:hAnsi="Arial" w:cs="Arial"/>
                <w:color w:val="000000"/>
                <w:sz w:val="22"/>
                <w:szCs w:val="22"/>
              </w:rPr>
            </w:pPr>
          </w:p>
        </w:tc>
        <w:tc>
          <w:tcPr>
            <w:tcW w:w="1843" w:type="dxa"/>
            <w:tcBorders>
              <w:top w:val="single" w:sz="8" w:space="0" w:color="auto"/>
              <w:left w:val="nil"/>
              <w:bottom w:val="single" w:sz="8" w:space="0" w:color="auto"/>
              <w:right w:val="nil"/>
            </w:tcBorders>
            <w:shd w:val="clear" w:color="auto" w:fill="auto"/>
            <w:noWrap/>
          </w:tcPr>
          <w:p w14:paraId="1E5E423D" w14:textId="77777777" w:rsidR="00F753E8" w:rsidRPr="00460A0D" w:rsidRDefault="00F753E8" w:rsidP="006E1769">
            <w:pPr>
              <w:jc w:val="right"/>
              <w:rPr>
                <w:rFonts w:ascii="Arial" w:hAnsi="Arial" w:cs="Arial"/>
                <w:color w:val="000000"/>
                <w:sz w:val="22"/>
                <w:szCs w:val="22"/>
              </w:rPr>
            </w:pPr>
            <w:r>
              <w:rPr>
                <w:rFonts w:ascii="Arial" w:eastAsiaTheme="minorHAnsi" w:hAnsi="Arial" w:cs="Arial"/>
                <w:b/>
                <w:bCs/>
                <w:color w:val="000000"/>
                <w:sz w:val="22"/>
                <w:szCs w:val="22"/>
                <w:lang w:eastAsia="en-US"/>
              </w:rPr>
              <w:t>14,447</w:t>
            </w:r>
          </w:p>
        </w:tc>
        <w:tc>
          <w:tcPr>
            <w:tcW w:w="236" w:type="dxa"/>
            <w:tcBorders>
              <w:top w:val="nil"/>
              <w:left w:val="nil"/>
              <w:bottom w:val="nil"/>
              <w:right w:val="nil"/>
            </w:tcBorders>
            <w:shd w:val="clear" w:color="auto" w:fill="auto"/>
            <w:noWrap/>
            <w:vAlign w:val="bottom"/>
            <w:hideMark/>
          </w:tcPr>
          <w:p w14:paraId="211FD22A" w14:textId="77777777" w:rsidR="00F753E8" w:rsidRPr="008A0A4E" w:rsidRDefault="00F753E8" w:rsidP="006E1769">
            <w:pPr>
              <w:ind w:left="191"/>
              <w:jc w:val="right"/>
              <w:rPr>
                <w:rFonts w:ascii="Arial" w:hAnsi="Arial" w:cs="Arial"/>
                <w:color w:val="000000"/>
                <w:sz w:val="22"/>
                <w:szCs w:val="22"/>
              </w:rPr>
            </w:pPr>
          </w:p>
        </w:tc>
        <w:tc>
          <w:tcPr>
            <w:tcW w:w="1749" w:type="dxa"/>
            <w:tcBorders>
              <w:top w:val="single" w:sz="8" w:space="0" w:color="auto"/>
              <w:left w:val="nil"/>
              <w:bottom w:val="single" w:sz="8" w:space="0" w:color="auto"/>
              <w:right w:val="nil"/>
            </w:tcBorders>
            <w:shd w:val="clear" w:color="auto" w:fill="auto"/>
            <w:noWrap/>
          </w:tcPr>
          <w:p w14:paraId="5CCE4AFB" w14:textId="77777777" w:rsidR="00F753E8" w:rsidRPr="003F5E4D"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14,380</w:t>
            </w:r>
          </w:p>
        </w:tc>
      </w:tr>
      <w:tr w:rsidR="00F753E8" w:rsidRPr="00B64150" w14:paraId="607D772E" w14:textId="77777777" w:rsidTr="006E1769">
        <w:trPr>
          <w:trHeight w:hRule="exact" w:val="230"/>
          <w:jc w:val="center"/>
        </w:trPr>
        <w:tc>
          <w:tcPr>
            <w:tcW w:w="5103" w:type="dxa"/>
            <w:gridSpan w:val="2"/>
            <w:tcBorders>
              <w:top w:val="nil"/>
              <w:left w:val="nil"/>
              <w:bottom w:val="nil"/>
              <w:right w:val="nil"/>
            </w:tcBorders>
            <w:shd w:val="clear" w:color="auto" w:fill="auto"/>
            <w:noWrap/>
            <w:vAlign w:val="bottom"/>
            <w:hideMark/>
          </w:tcPr>
          <w:p w14:paraId="5C02DD34" w14:textId="77777777" w:rsidR="00F753E8" w:rsidRPr="008A0A4E" w:rsidRDefault="00F753E8" w:rsidP="006E1769">
            <w:pPr>
              <w:ind w:left="191"/>
              <w:rPr>
                <w:rFonts w:ascii="Arial" w:hAnsi="Arial" w:cs="Arial"/>
                <w:b/>
                <w:bCs/>
                <w:color w:val="000000"/>
                <w:sz w:val="22"/>
                <w:szCs w:val="22"/>
              </w:rPr>
            </w:pPr>
            <w:r w:rsidRPr="008A0A4E">
              <w:rPr>
                <w:rFonts w:ascii="Arial" w:hAnsi="Arial" w:cs="Arial"/>
                <w:b/>
                <w:bCs/>
                <w:color w:val="000000"/>
                <w:sz w:val="22"/>
                <w:szCs w:val="22"/>
              </w:rPr>
              <w:t>Admitted and Scheduled Bodies</w:t>
            </w:r>
          </w:p>
        </w:tc>
        <w:tc>
          <w:tcPr>
            <w:tcW w:w="1843" w:type="dxa"/>
            <w:tcBorders>
              <w:top w:val="nil"/>
              <w:left w:val="nil"/>
              <w:bottom w:val="nil"/>
              <w:right w:val="nil"/>
            </w:tcBorders>
            <w:shd w:val="clear" w:color="auto" w:fill="auto"/>
            <w:noWrap/>
            <w:vAlign w:val="bottom"/>
          </w:tcPr>
          <w:p w14:paraId="74ECED6D" w14:textId="77777777" w:rsidR="00F753E8" w:rsidRPr="00460A0D" w:rsidRDefault="00F753E8" w:rsidP="006E1769">
            <w:pPr>
              <w:ind w:left="191"/>
              <w:jc w:val="right"/>
              <w:rPr>
                <w:rFonts w:ascii="Arial" w:hAnsi="Arial" w:cs="Arial"/>
                <w:color w:val="000000"/>
                <w:sz w:val="22"/>
                <w:szCs w:val="22"/>
              </w:rPr>
            </w:pPr>
          </w:p>
        </w:tc>
        <w:tc>
          <w:tcPr>
            <w:tcW w:w="236" w:type="dxa"/>
            <w:tcBorders>
              <w:top w:val="nil"/>
              <w:left w:val="nil"/>
              <w:bottom w:val="nil"/>
              <w:right w:val="nil"/>
            </w:tcBorders>
            <w:shd w:val="clear" w:color="auto" w:fill="auto"/>
            <w:noWrap/>
            <w:vAlign w:val="bottom"/>
            <w:hideMark/>
          </w:tcPr>
          <w:p w14:paraId="405D7120" w14:textId="77777777" w:rsidR="00F753E8" w:rsidRPr="008A0A4E" w:rsidRDefault="00F753E8" w:rsidP="006E1769">
            <w:pPr>
              <w:ind w:left="191"/>
              <w:jc w:val="right"/>
              <w:rPr>
                <w:rFonts w:ascii="Arial" w:hAnsi="Arial" w:cs="Arial"/>
                <w:b/>
                <w:color w:val="000000"/>
                <w:sz w:val="22"/>
                <w:szCs w:val="22"/>
              </w:rPr>
            </w:pPr>
          </w:p>
        </w:tc>
        <w:tc>
          <w:tcPr>
            <w:tcW w:w="1749" w:type="dxa"/>
            <w:tcBorders>
              <w:top w:val="nil"/>
              <w:left w:val="nil"/>
              <w:bottom w:val="nil"/>
              <w:right w:val="nil"/>
            </w:tcBorders>
            <w:shd w:val="clear" w:color="auto" w:fill="auto"/>
            <w:noWrap/>
            <w:vAlign w:val="bottom"/>
          </w:tcPr>
          <w:p w14:paraId="5BC99C49" w14:textId="77777777" w:rsidR="00F753E8" w:rsidRPr="000E00A3" w:rsidRDefault="00F753E8" w:rsidP="006E1769">
            <w:pPr>
              <w:ind w:left="191"/>
              <w:jc w:val="right"/>
              <w:rPr>
                <w:rFonts w:ascii="Arial" w:hAnsi="Arial" w:cs="Arial"/>
                <w:color w:val="000000"/>
                <w:sz w:val="22"/>
                <w:szCs w:val="22"/>
                <w:highlight w:val="yellow"/>
              </w:rPr>
            </w:pPr>
          </w:p>
        </w:tc>
      </w:tr>
      <w:tr w:rsidR="00F753E8" w:rsidRPr="00B64150" w14:paraId="1FEE98EE"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485217AC" w14:textId="77777777" w:rsidR="00F753E8" w:rsidRPr="008A0A4E" w:rsidRDefault="00F753E8" w:rsidP="006E1769">
            <w:pPr>
              <w:ind w:left="191"/>
              <w:rPr>
                <w:rFonts w:ascii="Arial" w:hAnsi="Arial" w:cs="Arial"/>
                <w:color w:val="000000"/>
                <w:sz w:val="22"/>
                <w:szCs w:val="22"/>
              </w:rPr>
            </w:pPr>
          </w:p>
        </w:tc>
        <w:tc>
          <w:tcPr>
            <w:tcW w:w="4792" w:type="dxa"/>
            <w:tcBorders>
              <w:top w:val="nil"/>
              <w:left w:val="nil"/>
              <w:bottom w:val="nil"/>
              <w:right w:val="nil"/>
            </w:tcBorders>
            <w:shd w:val="clear" w:color="auto" w:fill="auto"/>
            <w:noWrap/>
            <w:vAlign w:val="bottom"/>
            <w:hideMark/>
          </w:tcPr>
          <w:p w14:paraId="1062F3E9" w14:textId="77777777" w:rsidR="00F753E8" w:rsidRPr="008A0A4E" w:rsidRDefault="00F753E8" w:rsidP="006E1769">
            <w:pPr>
              <w:ind w:left="191"/>
              <w:rPr>
                <w:rFonts w:ascii="Arial" w:hAnsi="Arial" w:cs="Arial"/>
                <w:color w:val="000000"/>
                <w:sz w:val="22"/>
                <w:szCs w:val="22"/>
              </w:rPr>
            </w:pPr>
            <w:r w:rsidRPr="008A0A4E">
              <w:rPr>
                <w:rFonts w:ascii="Arial" w:hAnsi="Arial" w:cs="Arial"/>
                <w:color w:val="000000"/>
                <w:sz w:val="22"/>
                <w:szCs w:val="22"/>
              </w:rPr>
              <w:t>Active members</w:t>
            </w:r>
          </w:p>
        </w:tc>
        <w:tc>
          <w:tcPr>
            <w:tcW w:w="1843" w:type="dxa"/>
            <w:tcBorders>
              <w:top w:val="nil"/>
              <w:left w:val="nil"/>
              <w:bottom w:val="nil"/>
              <w:right w:val="nil"/>
            </w:tcBorders>
            <w:shd w:val="clear" w:color="auto" w:fill="auto"/>
            <w:noWrap/>
          </w:tcPr>
          <w:p w14:paraId="3F33DDA1" w14:textId="77777777" w:rsidR="00F753E8" w:rsidRPr="00460A0D" w:rsidRDefault="00F753E8" w:rsidP="006E1769">
            <w:pPr>
              <w:jc w:val="right"/>
              <w:rPr>
                <w:rFonts w:ascii="Arial" w:hAnsi="Arial" w:cs="Arial"/>
                <w:color w:val="000000"/>
                <w:sz w:val="22"/>
                <w:szCs w:val="22"/>
              </w:rPr>
            </w:pPr>
            <w:r>
              <w:rPr>
                <w:rFonts w:ascii="Arial" w:eastAsiaTheme="minorHAnsi" w:hAnsi="Arial" w:cs="Arial"/>
                <w:b/>
                <w:bCs/>
                <w:color w:val="000000"/>
                <w:sz w:val="22"/>
                <w:szCs w:val="22"/>
                <w:lang w:eastAsia="en-US"/>
              </w:rPr>
              <w:t>1,629</w:t>
            </w:r>
          </w:p>
        </w:tc>
        <w:tc>
          <w:tcPr>
            <w:tcW w:w="236" w:type="dxa"/>
            <w:tcBorders>
              <w:top w:val="nil"/>
              <w:left w:val="nil"/>
              <w:bottom w:val="nil"/>
              <w:right w:val="nil"/>
            </w:tcBorders>
            <w:shd w:val="clear" w:color="auto" w:fill="auto"/>
            <w:noWrap/>
            <w:vAlign w:val="bottom"/>
            <w:hideMark/>
          </w:tcPr>
          <w:p w14:paraId="43CA34DE" w14:textId="77777777" w:rsidR="00F753E8" w:rsidRPr="008A0A4E"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shd w:val="clear" w:color="auto" w:fill="auto"/>
            <w:noWrap/>
          </w:tcPr>
          <w:p w14:paraId="3F5AF826" w14:textId="77777777" w:rsidR="00F753E8" w:rsidRPr="00942FF7"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1,444</w:t>
            </w:r>
          </w:p>
        </w:tc>
      </w:tr>
      <w:tr w:rsidR="00F753E8" w:rsidRPr="00B64150" w14:paraId="6F38BD45"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1F6DB51C" w14:textId="77777777" w:rsidR="00F753E8" w:rsidRPr="008A0A4E" w:rsidRDefault="00F753E8" w:rsidP="006E1769">
            <w:pPr>
              <w:ind w:left="191"/>
              <w:rPr>
                <w:rFonts w:ascii="Arial" w:hAnsi="Arial" w:cs="Arial"/>
                <w:color w:val="000000"/>
                <w:sz w:val="22"/>
                <w:szCs w:val="22"/>
              </w:rPr>
            </w:pPr>
          </w:p>
        </w:tc>
        <w:tc>
          <w:tcPr>
            <w:tcW w:w="4792" w:type="dxa"/>
            <w:tcBorders>
              <w:top w:val="nil"/>
              <w:left w:val="nil"/>
              <w:bottom w:val="nil"/>
              <w:right w:val="nil"/>
            </w:tcBorders>
            <w:shd w:val="clear" w:color="auto" w:fill="auto"/>
            <w:noWrap/>
            <w:vAlign w:val="bottom"/>
            <w:hideMark/>
          </w:tcPr>
          <w:p w14:paraId="4EC9B40F" w14:textId="77777777" w:rsidR="00F753E8" w:rsidRPr="008A0A4E" w:rsidRDefault="00F753E8" w:rsidP="006E1769">
            <w:pPr>
              <w:ind w:left="191"/>
              <w:rPr>
                <w:rFonts w:ascii="Arial" w:hAnsi="Arial" w:cs="Arial"/>
                <w:color w:val="000000"/>
                <w:sz w:val="22"/>
                <w:szCs w:val="22"/>
              </w:rPr>
            </w:pPr>
            <w:r w:rsidRPr="008A0A4E">
              <w:rPr>
                <w:rFonts w:ascii="Arial" w:hAnsi="Arial" w:cs="Arial"/>
                <w:color w:val="000000"/>
                <w:sz w:val="22"/>
                <w:szCs w:val="22"/>
              </w:rPr>
              <w:t>Pensioners</w:t>
            </w:r>
          </w:p>
        </w:tc>
        <w:tc>
          <w:tcPr>
            <w:tcW w:w="1843" w:type="dxa"/>
            <w:tcBorders>
              <w:top w:val="nil"/>
              <w:left w:val="nil"/>
              <w:bottom w:val="nil"/>
              <w:right w:val="nil"/>
            </w:tcBorders>
            <w:shd w:val="clear" w:color="auto" w:fill="auto"/>
            <w:noWrap/>
          </w:tcPr>
          <w:p w14:paraId="2B0D88D4" w14:textId="77777777" w:rsidR="00F753E8" w:rsidRPr="00460A0D" w:rsidRDefault="00F753E8" w:rsidP="006E1769">
            <w:pPr>
              <w:jc w:val="right"/>
              <w:rPr>
                <w:rFonts w:ascii="Arial" w:hAnsi="Arial" w:cs="Arial"/>
                <w:color w:val="000000"/>
                <w:sz w:val="22"/>
                <w:szCs w:val="22"/>
              </w:rPr>
            </w:pPr>
            <w:r>
              <w:rPr>
                <w:rFonts w:ascii="Arial" w:eastAsiaTheme="minorHAnsi" w:hAnsi="Arial" w:cs="Arial"/>
                <w:b/>
                <w:bCs/>
                <w:color w:val="000000"/>
                <w:sz w:val="22"/>
                <w:szCs w:val="22"/>
                <w:lang w:eastAsia="en-US"/>
              </w:rPr>
              <w:t>1,003</w:t>
            </w:r>
          </w:p>
        </w:tc>
        <w:tc>
          <w:tcPr>
            <w:tcW w:w="236" w:type="dxa"/>
            <w:tcBorders>
              <w:top w:val="nil"/>
              <w:left w:val="nil"/>
              <w:bottom w:val="nil"/>
              <w:right w:val="nil"/>
            </w:tcBorders>
            <w:shd w:val="clear" w:color="auto" w:fill="auto"/>
            <w:noWrap/>
            <w:vAlign w:val="bottom"/>
            <w:hideMark/>
          </w:tcPr>
          <w:p w14:paraId="4146FDA4" w14:textId="77777777" w:rsidR="00F753E8" w:rsidRPr="008A0A4E"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shd w:val="clear" w:color="auto" w:fill="auto"/>
            <w:noWrap/>
          </w:tcPr>
          <w:p w14:paraId="5B7D4123" w14:textId="77777777" w:rsidR="00F753E8" w:rsidRPr="00942FF7"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1,038</w:t>
            </w:r>
          </w:p>
        </w:tc>
      </w:tr>
      <w:tr w:rsidR="00F753E8" w:rsidRPr="00B64150" w14:paraId="25EC9A98"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6EC1ECEF" w14:textId="77777777" w:rsidR="00F753E8" w:rsidRPr="008A0A4E" w:rsidRDefault="00F753E8" w:rsidP="006E1769">
            <w:pPr>
              <w:ind w:left="191"/>
              <w:rPr>
                <w:rFonts w:ascii="Arial" w:hAnsi="Arial" w:cs="Arial"/>
                <w:color w:val="000000"/>
                <w:sz w:val="22"/>
                <w:szCs w:val="22"/>
              </w:rPr>
            </w:pPr>
          </w:p>
        </w:tc>
        <w:tc>
          <w:tcPr>
            <w:tcW w:w="4792" w:type="dxa"/>
            <w:tcBorders>
              <w:top w:val="nil"/>
              <w:left w:val="nil"/>
              <w:bottom w:val="nil"/>
              <w:right w:val="nil"/>
            </w:tcBorders>
            <w:shd w:val="clear" w:color="auto" w:fill="auto"/>
            <w:noWrap/>
            <w:vAlign w:val="bottom"/>
            <w:hideMark/>
          </w:tcPr>
          <w:p w14:paraId="20AB8A2E" w14:textId="77777777" w:rsidR="00F753E8" w:rsidRPr="008A0A4E" w:rsidRDefault="00F753E8" w:rsidP="006E1769">
            <w:pPr>
              <w:ind w:left="191"/>
              <w:rPr>
                <w:rFonts w:ascii="Arial" w:hAnsi="Arial" w:cs="Arial"/>
                <w:color w:val="000000"/>
                <w:sz w:val="22"/>
                <w:szCs w:val="22"/>
              </w:rPr>
            </w:pPr>
            <w:r w:rsidRPr="008A0A4E">
              <w:rPr>
                <w:rFonts w:ascii="Arial" w:hAnsi="Arial" w:cs="Arial"/>
                <w:color w:val="000000"/>
                <w:sz w:val="22"/>
                <w:szCs w:val="22"/>
              </w:rPr>
              <w:t>Deferred pensioners</w:t>
            </w:r>
          </w:p>
        </w:tc>
        <w:tc>
          <w:tcPr>
            <w:tcW w:w="1843" w:type="dxa"/>
            <w:tcBorders>
              <w:top w:val="nil"/>
              <w:left w:val="nil"/>
              <w:bottom w:val="nil"/>
              <w:right w:val="nil"/>
            </w:tcBorders>
            <w:shd w:val="clear" w:color="auto" w:fill="auto"/>
            <w:noWrap/>
          </w:tcPr>
          <w:p w14:paraId="6FE0DC34" w14:textId="77777777" w:rsidR="00F753E8" w:rsidRPr="00460A0D" w:rsidRDefault="00F753E8" w:rsidP="006E1769">
            <w:pPr>
              <w:jc w:val="right"/>
              <w:rPr>
                <w:rFonts w:ascii="Arial" w:hAnsi="Arial" w:cs="Arial"/>
                <w:color w:val="000000"/>
                <w:sz w:val="22"/>
                <w:szCs w:val="22"/>
              </w:rPr>
            </w:pPr>
            <w:r>
              <w:rPr>
                <w:rFonts w:ascii="Arial" w:eastAsiaTheme="minorHAnsi" w:hAnsi="Arial" w:cs="Arial"/>
                <w:b/>
                <w:bCs/>
                <w:color w:val="000000"/>
                <w:sz w:val="22"/>
                <w:szCs w:val="22"/>
                <w:lang w:eastAsia="en-US"/>
              </w:rPr>
              <w:t>1,605</w:t>
            </w:r>
          </w:p>
        </w:tc>
        <w:tc>
          <w:tcPr>
            <w:tcW w:w="236" w:type="dxa"/>
            <w:tcBorders>
              <w:top w:val="nil"/>
              <w:left w:val="nil"/>
              <w:bottom w:val="nil"/>
              <w:right w:val="nil"/>
            </w:tcBorders>
            <w:shd w:val="clear" w:color="auto" w:fill="auto"/>
            <w:noWrap/>
            <w:vAlign w:val="bottom"/>
            <w:hideMark/>
          </w:tcPr>
          <w:p w14:paraId="206C9A66" w14:textId="77777777" w:rsidR="00F753E8" w:rsidRPr="008A0A4E"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shd w:val="clear" w:color="auto" w:fill="auto"/>
            <w:noWrap/>
          </w:tcPr>
          <w:p w14:paraId="016BF6ED" w14:textId="77777777" w:rsidR="00F753E8" w:rsidRPr="00942FF7"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1,754</w:t>
            </w:r>
          </w:p>
        </w:tc>
      </w:tr>
      <w:tr w:rsidR="00F753E8" w:rsidRPr="00B64150" w14:paraId="41EEDF2E"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00F3916A" w14:textId="77777777" w:rsidR="00F753E8" w:rsidRPr="008A0A4E" w:rsidRDefault="00F753E8" w:rsidP="006E1769">
            <w:pPr>
              <w:ind w:left="191"/>
              <w:rPr>
                <w:rFonts w:ascii="Arial" w:hAnsi="Arial" w:cs="Arial"/>
                <w:color w:val="000000"/>
                <w:sz w:val="22"/>
                <w:szCs w:val="22"/>
              </w:rPr>
            </w:pPr>
          </w:p>
        </w:tc>
        <w:tc>
          <w:tcPr>
            <w:tcW w:w="4792" w:type="dxa"/>
            <w:tcBorders>
              <w:top w:val="nil"/>
              <w:left w:val="nil"/>
              <w:bottom w:val="nil"/>
              <w:right w:val="nil"/>
            </w:tcBorders>
            <w:shd w:val="clear" w:color="auto" w:fill="auto"/>
            <w:noWrap/>
            <w:vAlign w:val="bottom"/>
            <w:hideMark/>
          </w:tcPr>
          <w:p w14:paraId="1B1E4678" w14:textId="77777777" w:rsidR="00F753E8" w:rsidRPr="008A0A4E" w:rsidRDefault="00F753E8" w:rsidP="006E1769">
            <w:pPr>
              <w:ind w:left="191"/>
              <w:rPr>
                <w:rFonts w:ascii="Arial" w:hAnsi="Arial" w:cs="Arial"/>
                <w:color w:val="000000"/>
                <w:sz w:val="22"/>
                <w:szCs w:val="22"/>
              </w:rPr>
            </w:pPr>
            <w:r w:rsidRPr="008A0A4E">
              <w:rPr>
                <w:rFonts w:ascii="Arial" w:hAnsi="Arial" w:cs="Arial"/>
                <w:color w:val="000000"/>
                <w:sz w:val="22"/>
                <w:szCs w:val="22"/>
              </w:rPr>
              <w:t>Undecided and other members</w:t>
            </w:r>
          </w:p>
        </w:tc>
        <w:tc>
          <w:tcPr>
            <w:tcW w:w="1843" w:type="dxa"/>
            <w:tcBorders>
              <w:top w:val="nil"/>
              <w:left w:val="nil"/>
              <w:bottom w:val="nil"/>
              <w:right w:val="nil"/>
            </w:tcBorders>
            <w:shd w:val="clear" w:color="auto" w:fill="auto"/>
            <w:noWrap/>
          </w:tcPr>
          <w:p w14:paraId="73823934" w14:textId="77777777" w:rsidR="00F753E8" w:rsidRPr="00460A0D" w:rsidRDefault="00F753E8" w:rsidP="006E1769">
            <w:pPr>
              <w:jc w:val="right"/>
              <w:rPr>
                <w:rFonts w:ascii="Arial" w:hAnsi="Arial" w:cs="Arial"/>
                <w:color w:val="000000"/>
                <w:sz w:val="22"/>
                <w:szCs w:val="22"/>
              </w:rPr>
            </w:pPr>
            <w:r>
              <w:rPr>
                <w:rFonts w:ascii="Arial" w:eastAsiaTheme="minorHAnsi" w:hAnsi="Arial" w:cs="Arial"/>
                <w:b/>
                <w:bCs/>
                <w:color w:val="000000"/>
                <w:sz w:val="22"/>
                <w:szCs w:val="22"/>
                <w:lang w:eastAsia="en-US"/>
              </w:rPr>
              <w:t>105</w:t>
            </w:r>
          </w:p>
        </w:tc>
        <w:tc>
          <w:tcPr>
            <w:tcW w:w="236" w:type="dxa"/>
            <w:tcBorders>
              <w:top w:val="nil"/>
              <w:left w:val="nil"/>
              <w:bottom w:val="nil"/>
              <w:right w:val="nil"/>
            </w:tcBorders>
            <w:shd w:val="clear" w:color="auto" w:fill="auto"/>
            <w:noWrap/>
            <w:vAlign w:val="bottom"/>
            <w:hideMark/>
          </w:tcPr>
          <w:p w14:paraId="65D97826" w14:textId="77777777" w:rsidR="00F753E8" w:rsidRPr="008A0A4E" w:rsidRDefault="00F753E8" w:rsidP="006E1769">
            <w:pPr>
              <w:ind w:left="191"/>
              <w:jc w:val="right"/>
              <w:rPr>
                <w:rFonts w:ascii="Arial" w:hAnsi="Arial" w:cs="Arial"/>
                <w:color w:val="000000"/>
                <w:sz w:val="22"/>
                <w:szCs w:val="22"/>
              </w:rPr>
            </w:pPr>
          </w:p>
        </w:tc>
        <w:tc>
          <w:tcPr>
            <w:tcW w:w="1749" w:type="dxa"/>
            <w:tcBorders>
              <w:top w:val="nil"/>
              <w:left w:val="nil"/>
              <w:bottom w:val="nil"/>
              <w:right w:val="nil"/>
            </w:tcBorders>
            <w:shd w:val="clear" w:color="auto" w:fill="auto"/>
            <w:noWrap/>
          </w:tcPr>
          <w:p w14:paraId="62E3382C" w14:textId="77777777" w:rsidR="00F753E8" w:rsidRPr="00942FF7"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77</w:t>
            </w:r>
          </w:p>
        </w:tc>
      </w:tr>
      <w:tr w:rsidR="00F753E8" w:rsidRPr="00B64150" w14:paraId="37C25BCD" w14:textId="77777777" w:rsidTr="006E1769">
        <w:trPr>
          <w:trHeight w:hRule="exact" w:val="230"/>
          <w:jc w:val="center"/>
        </w:trPr>
        <w:tc>
          <w:tcPr>
            <w:tcW w:w="311" w:type="dxa"/>
            <w:tcBorders>
              <w:top w:val="nil"/>
              <w:left w:val="nil"/>
              <w:bottom w:val="nil"/>
              <w:right w:val="nil"/>
            </w:tcBorders>
            <w:shd w:val="clear" w:color="auto" w:fill="auto"/>
            <w:noWrap/>
            <w:vAlign w:val="bottom"/>
            <w:hideMark/>
          </w:tcPr>
          <w:p w14:paraId="03F4B078" w14:textId="77777777" w:rsidR="00F753E8" w:rsidRPr="008A0A4E" w:rsidRDefault="00F753E8" w:rsidP="006E1769">
            <w:pPr>
              <w:ind w:left="191"/>
              <w:rPr>
                <w:rFonts w:ascii="Arial" w:hAnsi="Arial" w:cs="Arial"/>
                <w:color w:val="000000"/>
                <w:sz w:val="22"/>
                <w:szCs w:val="22"/>
              </w:rPr>
            </w:pPr>
          </w:p>
        </w:tc>
        <w:tc>
          <w:tcPr>
            <w:tcW w:w="4792" w:type="dxa"/>
            <w:tcBorders>
              <w:top w:val="nil"/>
              <w:left w:val="nil"/>
              <w:bottom w:val="nil"/>
              <w:right w:val="nil"/>
            </w:tcBorders>
            <w:shd w:val="clear" w:color="auto" w:fill="auto"/>
            <w:noWrap/>
            <w:vAlign w:val="bottom"/>
            <w:hideMark/>
          </w:tcPr>
          <w:p w14:paraId="5D22AD61" w14:textId="77777777" w:rsidR="00F753E8" w:rsidRPr="008A0A4E" w:rsidRDefault="00F753E8" w:rsidP="006E1769">
            <w:pPr>
              <w:ind w:left="191"/>
              <w:rPr>
                <w:rFonts w:ascii="Arial" w:hAnsi="Arial" w:cs="Arial"/>
                <w:color w:val="000000"/>
                <w:sz w:val="22"/>
                <w:szCs w:val="22"/>
              </w:rPr>
            </w:pPr>
          </w:p>
        </w:tc>
        <w:tc>
          <w:tcPr>
            <w:tcW w:w="1843" w:type="dxa"/>
            <w:tcBorders>
              <w:top w:val="single" w:sz="8" w:space="0" w:color="auto"/>
              <w:left w:val="nil"/>
              <w:bottom w:val="single" w:sz="8" w:space="0" w:color="auto"/>
              <w:right w:val="nil"/>
            </w:tcBorders>
            <w:shd w:val="clear" w:color="auto" w:fill="auto"/>
            <w:noWrap/>
          </w:tcPr>
          <w:p w14:paraId="16624E83"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4,342</w:t>
            </w:r>
          </w:p>
          <w:p w14:paraId="546ABD1F" w14:textId="77777777" w:rsidR="00F753E8" w:rsidRPr="00460A0D" w:rsidRDefault="00F753E8" w:rsidP="006E1769">
            <w:pPr>
              <w:jc w:val="right"/>
              <w:rPr>
                <w:rFonts w:ascii="Arial" w:hAnsi="Arial" w:cs="Arial"/>
                <w:color w:val="000000"/>
                <w:sz w:val="22"/>
                <w:szCs w:val="22"/>
              </w:rPr>
            </w:pPr>
          </w:p>
        </w:tc>
        <w:tc>
          <w:tcPr>
            <w:tcW w:w="236" w:type="dxa"/>
            <w:tcBorders>
              <w:top w:val="nil"/>
              <w:left w:val="nil"/>
              <w:bottom w:val="nil"/>
              <w:right w:val="nil"/>
            </w:tcBorders>
            <w:shd w:val="clear" w:color="auto" w:fill="auto"/>
            <w:noWrap/>
            <w:hideMark/>
          </w:tcPr>
          <w:p w14:paraId="1DE63DAF" w14:textId="77777777" w:rsidR="00F753E8" w:rsidRPr="008A0A4E" w:rsidRDefault="00F753E8" w:rsidP="006E1769">
            <w:pPr>
              <w:ind w:left="191"/>
              <w:jc w:val="right"/>
              <w:rPr>
                <w:rFonts w:ascii="Arial" w:hAnsi="Arial" w:cs="Arial"/>
                <w:color w:val="000000"/>
                <w:sz w:val="22"/>
                <w:szCs w:val="22"/>
              </w:rPr>
            </w:pPr>
          </w:p>
        </w:tc>
        <w:tc>
          <w:tcPr>
            <w:tcW w:w="1749" w:type="dxa"/>
            <w:tcBorders>
              <w:top w:val="single" w:sz="8" w:space="0" w:color="auto"/>
              <w:left w:val="nil"/>
              <w:bottom w:val="single" w:sz="8" w:space="0" w:color="auto"/>
              <w:right w:val="nil"/>
            </w:tcBorders>
            <w:shd w:val="clear" w:color="auto" w:fill="auto"/>
            <w:noWrap/>
          </w:tcPr>
          <w:p w14:paraId="24D919E0" w14:textId="77777777" w:rsidR="00F753E8" w:rsidRPr="00942FF7" w:rsidRDefault="00F753E8" w:rsidP="006E1769">
            <w:pPr>
              <w:jc w:val="right"/>
              <w:rPr>
                <w:rFonts w:ascii="Arial" w:hAnsi="Arial" w:cs="Arial"/>
                <w:b/>
                <w:bCs/>
                <w:color w:val="000000"/>
                <w:sz w:val="22"/>
                <w:szCs w:val="22"/>
              </w:rPr>
            </w:pPr>
            <w:r>
              <w:rPr>
                <w:rFonts w:ascii="Arial" w:eastAsiaTheme="minorHAnsi" w:hAnsi="Arial" w:cs="Arial"/>
                <w:b/>
                <w:bCs/>
                <w:color w:val="000000"/>
                <w:sz w:val="22"/>
                <w:szCs w:val="22"/>
                <w:lang w:eastAsia="en-US"/>
              </w:rPr>
              <w:t>4,313</w:t>
            </w:r>
          </w:p>
        </w:tc>
      </w:tr>
      <w:bookmarkEnd w:id="6"/>
    </w:tbl>
    <w:p w14:paraId="36488E81" w14:textId="77777777" w:rsidR="00F753E8" w:rsidRPr="008A0A4E" w:rsidRDefault="00F753E8" w:rsidP="00F753E8">
      <w:pPr>
        <w:pStyle w:val="ListParagraph"/>
        <w:ind w:left="644"/>
        <w:rPr>
          <w:rFonts w:ascii="Arial" w:hAnsi="Arial" w:cs="Arial"/>
          <w:b/>
        </w:rPr>
      </w:pPr>
    </w:p>
    <w:p w14:paraId="188FCC33" w14:textId="77777777" w:rsidR="00F753E8" w:rsidRPr="00E35D19" w:rsidRDefault="00F753E8" w:rsidP="00F753E8">
      <w:pPr>
        <w:pStyle w:val="ListParagraph"/>
        <w:numPr>
          <w:ilvl w:val="0"/>
          <w:numId w:val="7"/>
        </w:numPr>
        <w:rPr>
          <w:rFonts w:ascii="Arial" w:hAnsi="Arial" w:cs="Arial"/>
          <w:b/>
        </w:rPr>
      </w:pPr>
      <w:r w:rsidRPr="00E35D19">
        <w:rPr>
          <w:rFonts w:ascii="Arial" w:hAnsi="Arial" w:cs="Arial"/>
          <w:b/>
        </w:rPr>
        <w:t>Benefits</w:t>
      </w:r>
    </w:p>
    <w:p w14:paraId="5F997221" w14:textId="77777777" w:rsidR="00F753E8" w:rsidRPr="008A0A4E" w:rsidRDefault="00F753E8" w:rsidP="00F753E8">
      <w:pPr>
        <w:ind w:left="284"/>
        <w:jc w:val="both"/>
        <w:rPr>
          <w:rFonts w:ascii="Arial" w:hAnsi="Arial" w:cs="Arial"/>
          <w:sz w:val="22"/>
          <w:szCs w:val="22"/>
        </w:rPr>
      </w:pPr>
      <w:r w:rsidRPr="008A0A4E">
        <w:rPr>
          <w:rFonts w:ascii="Arial" w:hAnsi="Arial" w:cs="Arial"/>
          <w:sz w:val="22"/>
          <w:szCs w:val="22"/>
        </w:rPr>
        <w:t>Pension benefits under the LGPS are based on final pensionable pay and length of pensionable service as summarised below:</w:t>
      </w:r>
    </w:p>
    <w:p w14:paraId="1CBC3F45" w14:textId="77777777" w:rsidR="00F753E8" w:rsidRPr="008A0A4E" w:rsidRDefault="00F753E8" w:rsidP="00F753E8">
      <w:pPr>
        <w:ind w:left="284"/>
        <w:jc w:val="both"/>
        <w:rPr>
          <w:rFonts w:ascii="Arial" w:hAnsi="Arial" w:cs="Arial"/>
          <w:sz w:val="22"/>
          <w:szCs w:val="22"/>
        </w:rPr>
      </w:pPr>
    </w:p>
    <w:tbl>
      <w:tblPr>
        <w:tblW w:w="9202" w:type="dxa"/>
        <w:jc w:val="center"/>
        <w:tblLook w:val="04A0" w:firstRow="1" w:lastRow="0" w:firstColumn="1" w:lastColumn="0" w:noHBand="0" w:noVBand="1"/>
      </w:tblPr>
      <w:tblGrid>
        <w:gridCol w:w="1490"/>
        <w:gridCol w:w="3923"/>
        <w:gridCol w:w="3789"/>
      </w:tblGrid>
      <w:tr w:rsidR="00F753E8" w:rsidRPr="00B64150" w14:paraId="17516D38" w14:textId="77777777" w:rsidTr="006E1769">
        <w:trPr>
          <w:trHeight w:val="231"/>
          <w:jc w:val="center"/>
        </w:trPr>
        <w:tc>
          <w:tcPr>
            <w:tcW w:w="1490" w:type="dxa"/>
            <w:shd w:val="clear" w:color="auto" w:fill="auto"/>
          </w:tcPr>
          <w:p w14:paraId="7CD40764" w14:textId="77777777" w:rsidR="00F753E8" w:rsidRPr="008A0A4E" w:rsidRDefault="00F753E8" w:rsidP="006E1769">
            <w:pPr>
              <w:jc w:val="both"/>
              <w:rPr>
                <w:rFonts w:ascii="Arial" w:hAnsi="Arial" w:cs="Arial"/>
                <w:b/>
                <w:sz w:val="22"/>
                <w:szCs w:val="22"/>
              </w:rPr>
            </w:pPr>
          </w:p>
        </w:tc>
        <w:tc>
          <w:tcPr>
            <w:tcW w:w="3923" w:type="dxa"/>
            <w:shd w:val="clear" w:color="auto" w:fill="auto"/>
          </w:tcPr>
          <w:p w14:paraId="6D2C728C" w14:textId="77777777" w:rsidR="00F753E8" w:rsidRPr="008A0A4E" w:rsidRDefault="00F753E8" w:rsidP="006E1769">
            <w:pPr>
              <w:jc w:val="both"/>
              <w:rPr>
                <w:rFonts w:ascii="Arial" w:hAnsi="Arial" w:cs="Arial"/>
                <w:sz w:val="22"/>
                <w:szCs w:val="22"/>
              </w:rPr>
            </w:pPr>
            <w:r w:rsidRPr="008A0A4E">
              <w:rPr>
                <w:rFonts w:ascii="Arial" w:hAnsi="Arial" w:cs="Arial"/>
                <w:b/>
                <w:sz w:val="22"/>
                <w:szCs w:val="22"/>
              </w:rPr>
              <w:t>Service pre-1 April 2008</w:t>
            </w:r>
          </w:p>
        </w:tc>
        <w:tc>
          <w:tcPr>
            <w:tcW w:w="3789" w:type="dxa"/>
            <w:shd w:val="clear" w:color="auto" w:fill="auto"/>
          </w:tcPr>
          <w:p w14:paraId="5D33625D" w14:textId="77777777" w:rsidR="00F753E8" w:rsidRPr="008A0A4E" w:rsidRDefault="00F753E8" w:rsidP="006E1769">
            <w:pPr>
              <w:jc w:val="both"/>
              <w:rPr>
                <w:rFonts w:ascii="Arial" w:hAnsi="Arial" w:cs="Arial"/>
                <w:sz w:val="22"/>
                <w:szCs w:val="22"/>
              </w:rPr>
            </w:pPr>
            <w:r w:rsidRPr="008A0A4E">
              <w:rPr>
                <w:rFonts w:ascii="Arial" w:hAnsi="Arial" w:cs="Arial"/>
                <w:b/>
                <w:sz w:val="22"/>
                <w:szCs w:val="22"/>
              </w:rPr>
              <w:t>Service post 31 March 2008</w:t>
            </w:r>
          </w:p>
        </w:tc>
      </w:tr>
      <w:tr w:rsidR="00F753E8" w:rsidRPr="00B64150" w14:paraId="7D47B38D" w14:textId="77777777" w:rsidTr="006E1769">
        <w:trPr>
          <w:trHeight w:val="696"/>
          <w:jc w:val="center"/>
        </w:trPr>
        <w:tc>
          <w:tcPr>
            <w:tcW w:w="1490" w:type="dxa"/>
            <w:shd w:val="clear" w:color="auto" w:fill="auto"/>
          </w:tcPr>
          <w:p w14:paraId="29D7B23F" w14:textId="77777777" w:rsidR="00F753E8" w:rsidRPr="008A0A4E" w:rsidRDefault="00F753E8" w:rsidP="006E1769">
            <w:pPr>
              <w:rPr>
                <w:rFonts w:ascii="Arial" w:hAnsi="Arial" w:cs="Arial"/>
                <w:b/>
                <w:sz w:val="22"/>
                <w:szCs w:val="22"/>
              </w:rPr>
            </w:pPr>
            <w:r w:rsidRPr="008A0A4E">
              <w:rPr>
                <w:rFonts w:ascii="Arial" w:hAnsi="Arial" w:cs="Arial"/>
                <w:b/>
                <w:sz w:val="22"/>
                <w:szCs w:val="22"/>
              </w:rPr>
              <w:t>Pension:</w:t>
            </w:r>
          </w:p>
        </w:tc>
        <w:tc>
          <w:tcPr>
            <w:tcW w:w="3923" w:type="dxa"/>
            <w:shd w:val="clear" w:color="auto" w:fill="auto"/>
          </w:tcPr>
          <w:p w14:paraId="52DDD781" w14:textId="77777777" w:rsidR="00F753E8" w:rsidRPr="008A0A4E" w:rsidRDefault="00F753E8" w:rsidP="006E1769">
            <w:pPr>
              <w:rPr>
                <w:rFonts w:ascii="Arial" w:hAnsi="Arial" w:cs="Arial"/>
                <w:sz w:val="22"/>
                <w:szCs w:val="22"/>
              </w:rPr>
            </w:pPr>
            <w:r w:rsidRPr="008A0A4E">
              <w:rPr>
                <w:rFonts w:ascii="Arial" w:hAnsi="Arial" w:cs="Arial"/>
                <w:sz w:val="22"/>
                <w:szCs w:val="22"/>
              </w:rPr>
              <w:t>Each year worked is worth 1/80 x final pensionable salary.</w:t>
            </w:r>
          </w:p>
        </w:tc>
        <w:tc>
          <w:tcPr>
            <w:tcW w:w="3789" w:type="dxa"/>
            <w:shd w:val="clear" w:color="auto" w:fill="auto"/>
          </w:tcPr>
          <w:p w14:paraId="23A147AE" w14:textId="77777777" w:rsidR="00F753E8" w:rsidRPr="008A0A4E" w:rsidRDefault="00F753E8" w:rsidP="006E1769">
            <w:pPr>
              <w:rPr>
                <w:rFonts w:ascii="Arial" w:hAnsi="Arial" w:cs="Arial"/>
                <w:sz w:val="22"/>
                <w:szCs w:val="22"/>
              </w:rPr>
            </w:pPr>
            <w:r w:rsidRPr="008A0A4E">
              <w:rPr>
                <w:rFonts w:ascii="Arial" w:hAnsi="Arial" w:cs="Arial"/>
                <w:sz w:val="22"/>
                <w:szCs w:val="22"/>
              </w:rPr>
              <w:t>Each year worked is worth 1/60 x final pensionable salary.</w:t>
            </w:r>
          </w:p>
        </w:tc>
      </w:tr>
      <w:tr w:rsidR="00F753E8" w:rsidRPr="00B64150" w14:paraId="51E925F4" w14:textId="77777777" w:rsidTr="006E1769">
        <w:trPr>
          <w:trHeight w:val="1022"/>
          <w:jc w:val="center"/>
        </w:trPr>
        <w:tc>
          <w:tcPr>
            <w:tcW w:w="1490" w:type="dxa"/>
            <w:shd w:val="clear" w:color="auto" w:fill="auto"/>
          </w:tcPr>
          <w:p w14:paraId="42C02427" w14:textId="77777777" w:rsidR="00F753E8" w:rsidRPr="008A0A4E" w:rsidRDefault="00F753E8" w:rsidP="006E1769">
            <w:pPr>
              <w:jc w:val="both"/>
              <w:rPr>
                <w:rFonts w:ascii="Arial" w:hAnsi="Arial" w:cs="Arial"/>
                <w:b/>
                <w:sz w:val="22"/>
                <w:szCs w:val="22"/>
              </w:rPr>
            </w:pPr>
            <w:r w:rsidRPr="008A0A4E">
              <w:rPr>
                <w:rFonts w:ascii="Arial" w:hAnsi="Arial" w:cs="Arial"/>
                <w:b/>
                <w:sz w:val="22"/>
                <w:szCs w:val="22"/>
              </w:rPr>
              <w:t>Lump sum:</w:t>
            </w:r>
          </w:p>
        </w:tc>
        <w:tc>
          <w:tcPr>
            <w:tcW w:w="3923" w:type="dxa"/>
            <w:shd w:val="clear" w:color="auto" w:fill="auto"/>
          </w:tcPr>
          <w:p w14:paraId="6037D6CA" w14:textId="77777777" w:rsidR="00F753E8" w:rsidRPr="008A0A4E" w:rsidRDefault="00F753E8" w:rsidP="006E1769">
            <w:pPr>
              <w:rPr>
                <w:rFonts w:ascii="Arial" w:hAnsi="Arial" w:cs="Arial"/>
                <w:sz w:val="22"/>
                <w:szCs w:val="22"/>
              </w:rPr>
            </w:pPr>
            <w:r w:rsidRPr="008A0A4E">
              <w:rPr>
                <w:rFonts w:ascii="Arial" w:hAnsi="Arial" w:cs="Arial"/>
                <w:sz w:val="22"/>
                <w:szCs w:val="22"/>
              </w:rPr>
              <w:t xml:space="preserve">Automatic lump sum of 3 x salary. In </w:t>
            </w:r>
            <w:proofErr w:type="gramStart"/>
            <w:r w:rsidRPr="008A0A4E">
              <w:rPr>
                <w:rFonts w:ascii="Arial" w:hAnsi="Arial" w:cs="Arial"/>
                <w:sz w:val="22"/>
                <w:szCs w:val="22"/>
              </w:rPr>
              <w:t>addition</w:t>
            </w:r>
            <w:proofErr w:type="gramEnd"/>
            <w:r w:rsidRPr="008A0A4E">
              <w:rPr>
                <w:rFonts w:ascii="Arial" w:hAnsi="Arial" w:cs="Arial"/>
                <w:sz w:val="22"/>
                <w:szCs w:val="22"/>
              </w:rPr>
              <w:t xml:space="preserve"> part of annual pension can be exchanged for a one-off tax-free cash payment.  A lump sum of £12 is paid for each £1 of pension given up.</w:t>
            </w:r>
          </w:p>
        </w:tc>
        <w:tc>
          <w:tcPr>
            <w:tcW w:w="3789" w:type="dxa"/>
            <w:shd w:val="clear" w:color="auto" w:fill="auto"/>
          </w:tcPr>
          <w:p w14:paraId="5937EF6E" w14:textId="77777777" w:rsidR="00F753E8" w:rsidRPr="008A0A4E" w:rsidRDefault="00F753E8" w:rsidP="006E1769">
            <w:pPr>
              <w:rPr>
                <w:rFonts w:ascii="Arial" w:hAnsi="Arial" w:cs="Arial"/>
                <w:b/>
                <w:sz w:val="22"/>
                <w:szCs w:val="22"/>
              </w:rPr>
            </w:pPr>
            <w:r w:rsidRPr="008A0A4E">
              <w:rPr>
                <w:rFonts w:ascii="Arial" w:hAnsi="Arial" w:cs="Arial"/>
                <w:sz w:val="22"/>
                <w:szCs w:val="22"/>
              </w:rPr>
              <w:t>No automatic lump sum, part of the annual pension can be exchanged for a one-off tax- free cash payment.  A lump sum of £12 is paid for each £1 of pension given up.</w:t>
            </w:r>
          </w:p>
        </w:tc>
      </w:tr>
    </w:tbl>
    <w:p w14:paraId="7861D70E" w14:textId="77777777" w:rsidR="00F753E8" w:rsidRPr="008A0A4E" w:rsidRDefault="00F753E8" w:rsidP="00F753E8">
      <w:pPr>
        <w:pStyle w:val="ListParagraph"/>
        <w:spacing w:after="0" w:line="240" w:lineRule="auto"/>
        <w:ind w:left="2160" w:right="-243" w:hanging="1440"/>
        <w:jc w:val="both"/>
        <w:rPr>
          <w:rFonts w:ascii="Arial" w:hAnsi="Arial" w:cs="Arial"/>
        </w:rPr>
      </w:pPr>
    </w:p>
    <w:p w14:paraId="5C8436FC" w14:textId="77777777" w:rsidR="00F753E8" w:rsidRPr="008A0A4E" w:rsidRDefault="00F753E8" w:rsidP="00F753E8">
      <w:pPr>
        <w:ind w:left="284"/>
        <w:jc w:val="both"/>
        <w:rPr>
          <w:rFonts w:ascii="Arial" w:hAnsi="Arial" w:cs="Arial"/>
          <w:sz w:val="22"/>
          <w:szCs w:val="22"/>
        </w:rPr>
      </w:pPr>
      <w:r w:rsidRPr="008A0A4E">
        <w:rPr>
          <w:rFonts w:ascii="Arial" w:hAnsi="Arial" w:cs="Arial"/>
          <w:sz w:val="22"/>
          <w:szCs w:val="22"/>
        </w:rPr>
        <w:t xml:space="preserve">The benefits payable in respect of service from 1 April 2014 are based on career average devalued earnings and the number of years of eligible service. The accrual rate is 1/49 and the benefits are index-linked to keep pace with inflation. From 1 April 2011, the method of indexation changed from the Retail Prices Index (RPI) to the Consumer Prices Index (CPI). </w:t>
      </w:r>
    </w:p>
    <w:p w14:paraId="573E47F9" w14:textId="77777777" w:rsidR="00F753E8" w:rsidRPr="008A0A4E" w:rsidRDefault="00F753E8" w:rsidP="00F753E8">
      <w:pPr>
        <w:tabs>
          <w:tab w:val="left" w:pos="284"/>
        </w:tabs>
        <w:jc w:val="both"/>
        <w:rPr>
          <w:rFonts w:ascii="Arial" w:hAnsi="Arial" w:cs="Arial"/>
          <w:b/>
          <w:sz w:val="22"/>
          <w:szCs w:val="22"/>
        </w:rPr>
      </w:pPr>
    </w:p>
    <w:p w14:paraId="0B5C00EA" w14:textId="77777777" w:rsidR="00F753E8" w:rsidRPr="008A0A4E" w:rsidRDefault="00F753E8" w:rsidP="00F753E8">
      <w:pPr>
        <w:tabs>
          <w:tab w:val="left" w:pos="284"/>
        </w:tabs>
        <w:jc w:val="both"/>
        <w:rPr>
          <w:rFonts w:ascii="Arial" w:hAnsi="Arial" w:cs="Arial"/>
          <w:b/>
          <w:sz w:val="22"/>
          <w:szCs w:val="22"/>
        </w:rPr>
      </w:pPr>
      <w:r w:rsidRPr="008A0A4E">
        <w:rPr>
          <w:rFonts w:ascii="Arial" w:hAnsi="Arial" w:cs="Arial"/>
          <w:b/>
          <w:sz w:val="22"/>
          <w:szCs w:val="22"/>
        </w:rPr>
        <w:t>3.</w:t>
      </w:r>
      <w:r w:rsidRPr="008A0A4E">
        <w:rPr>
          <w:rFonts w:ascii="Arial" w:hAnsi="Arial" w:cs="Arial"/>
          <w:b/>
          <w:sz w:val="22"/>
          <w:szCs w:val="22"/>
        </w:rPr>
        <w:tab/>
        <w:t xml:space="preserve"> Basis of preparation</w:t>
      </w:r>
    </w:p>
    <w:p w14:paraId="639BC23C" w14:textId="77777777" w:rsidR="00F753E8" w:rsidRPr="008A0A4E" w:rsidRDefault="00F753E8" w:rsidP="00F753E8">
      <w:pPr>
        <w:tabs>
          <w:tab w:val="left" w:pos="567"/>
        </w:tabs>
        <w:jc w:val="both"/>
        <w:rPr>
          <w:rFonts w:ascii="Arial" w:hAnsi="Arial" w:cs="Arial"/>
          <w:b/>
          <w:sz w:val="22"/>
          <w:szCs w:val="22"/>
        </w:rPr>
      </w:pPr>
    </w:p>
    <w:p w14:paraId="69775E99" w14:textId="77777777" w:rsidR="00F753E8" w:rsidRPr="008A0A4E" w:rsidRDefault="00F753E8" w:rsidP="00F753E8">
      <w:pPr>
        <w:tabs>
          <w:tab w:val="left" w:pos="284"/>
        </w:tabs>
        <w:ind w:left="284"/>
        <w:jc w:val="both"/>
        <w:rPr>
          <w:rFonts w:ascii="Arial" w:hAnsi="Arial" w:cs="Arial"/>
          <w:sz w:val="22"/>
          <w:szCs w:val="22"/>
        </w:rPr>
      </w:pPr>
      <w:r w:rsidRPr="009A4C3B">
        <w:rPr>
          <w:rFonts w:ascii="Arial" w:hAnsi="Arial" w:cs="Arial"/>
          <w:sz w:val="22"/>
          <w:szCs w:val="22"/>
        </w:rPr>
        <w:t xml:space="preserve">The accounts summarise the transactions and net assets for the Fund’s transactions for the </w:t>
      </w:r>
      <w:r>
        <w:rPr>
          <w:rFonts w:ascii="Arial" w:hAnsi="Arial" w:cs="Arial"/>
          <w:sz w:val="22"/>
          <w:szCs w:val="22"/>
        </w:rPr>
        <w:t>2021/22</w:t>
      </w:r>
      <w:r w:rsidRPr="009A4C3B">
        <w:rPr>
          <w:rFonts w:ascii="Arial" w:hAnsi="Arial" w:cs="Arial"/>
          <w:sz w:val="22"/>
          <w:szCs w:val="22"/>
        </w:rPr>
        <w:t xml:space="preserve"> financial year and its position as </w:t>
      </w:r>
      <w:proofErr w:type="gramStart"/>
      <w:r w:rsidRPr="009A4C3B">
        <w:rPr>
          <w:rFonts w:ascii="Arial" w:hAnsi="Arial" w:cs="Arial"/>
          <w:sz w:val="22"/>
          <w:szCs w:val="22"/>
        </w:rPr>
        <w:t>at</w:t>
      </w:r>
      <w:proofErr w:type="gramEnd"/>
      <w:r w:rsidRPr="009A4C3B">
        <w:rPr>
          <w:rFonts w:ascii="Arial" w:hAnsi="Arial" w:cs="Arial"/>
          <w:sz w:val="22"/>
          <w:szCs w:val="22"/>
        </w:rPr>
        <w:t xml:space="preserve"> 31 March 202</w:t>
      </w:r>
      <w:r>
        <w:rPr>
          <w:rFonts w:ascii="Arial" w:hAnsi="Arial" w:cs="Arial"/>
          <w:sz w:val="22"/>
          <w:szCs w:val="22"/>
        </w:rPr>
        <w:t>2</w:t>
      </w:r>
      <w:r w:rsidRPr="009A4C3B">
        <w:rPr>
          <w:rFonts w:ascii="Arial" w:hAnsi="Arial" w:cs="Arial"/>
          <w:sz w:val="22"/>
          <w:szCs w:val="22"/>
        </w:rPr>
        <w:t xml:space="preserve">. The accounts have been prepared in accordance with the Code of Practice for Local Authority Accounting in the United Kingdom </w:t>
      </w:r>
      <w:r>
        <w:rPr>
          <w:rFonts w:ascii="Arial" w:hAnsi="Arial" w:cs="Arial"/>
          <w:sz w:val="22"/>
          <w:szCs w:val="22"/>
        </w:rPr>
        <w:t>2021/22</w:t>
      </w:r>
      <w:r w:rsidRPr="009A4C3B">
        <w:rPr>
          <w:rFonts w:ascii="Arial" w:hAnsi="Arial" w:cs="Arial"/>
          <w:sz w:val="22"/>
          <w:szCs w:val="22"/>
        </w:rPr>
        <w:t>. The financial statements do not reflect any liabilities to pay pension or other benefits occurring after 31 March 202</w:t>
      </w:r>
      <w:r>
        <w:rPr>
          <w:rFonts w:ascii="Arial" w:hAnsi="Arial" w:cs="Arial"/>
          <w:sz w:val="22"/>
          <w:szCs w:val="22"/>
        </w:rPr>
        <w:t>2</w:t>
      </w:r>
      <w:r w:rsidRPr="009A4C3B">
        <w:rPr>
          <w:rFonts w:ascii="Arial" w:hAnsi="Arial" w:cs="Arial"/>
          <w:sz w:val="22"/>
          <w:szCs w:val="22"/>
        </w:rPr>
        <w:t>. Such items are reported separately in the Actuary’s Report provided in Note 20 to the Fund’s accounts.</w:t>
      </w:r>
    </w:p>
    <w:p w14:paraId="2374F584" w14:textId="77777777" w:rsidR="00F753E8" w:rsidRPr="008A0A4E" w:rsidRDefault="00F753E8" w:rsidP="00F753E8">
      <w:pPr>
        <w:tabs>
          <w:tab w:val="left" w:pos="284"/>
        </w:tabs>
        <w:ind w:left="284" w:hanging="425"/>
        <w:jc w:val="both"/>
        <w:rPr>
          <w:rFonts w:ascii="Arial" w:hAnsi="Arial" w:cs="Arial"/>
          <w:sz w:val="22"/>
          <w:szCs w:val="22"/>
        </w:rPr>
      </w:pPr>
    </w:p>
    <w:p w14:paraId="58FB8BF0" w14:textId="77777777" w:rsidR="00F753E8" w:rsidRPr="008A0A4E" w:rsidRDefault="00F753E8" w:rsidP="00F753E8">
      <w:pPr>
        <w:tabs>
          <w:tab w:val="left" w:pos="284"/>
        </w:tabs>
        <w:ind w:left="284"/>
        <w:jc w:val="both"/>
        <w:rPr>
          <w:rFonts w:ascii="Arial" w:hAnsi="Arial" w:cs="Arial"/>
          <w:sz w:val="22"/>
          <w:szCs w:val="22"/>
        </w:rPr>
      </w:pPr>
      <w:r w:rsidRPr="008A0A4E">
        <w:rPr>
          <w:rFonts w:ascii="Arial" w:hAnsi="Arial" w:cs="Arial"/>
          <w:sz w:val="22"/>
          <w:szCs w:val="22"/>
        </w:rPr>
        <w:t xml:space="preserve">The accounts have been prepared on an </w:t>
      </w:r>
      <w:proofErr w:type="gramStart"/>
      <w:r w:rsidRPr="008A0A4E">
        <w:rPr>
          <w:rFonts w:ascii="Arial" w:hAnsi="Arial" w:cs="Arial"/>
          <w:sz w:val="22"/>
          <w:szCs w:val="22"/>
        </w:rPr>
        <w:t>accruals</w:t>
      </w:r>
      <w:proofErr w:type="gramEnd"/>
      <w:r w:rsidRPr="008A0A4E">
        <w:rPr>
          <w:rFonts w:ascii="Arial" w:hAnsi="Arial" w:cs="Arial"/>
          <w:sz w:val="22"/>
          <w:szCs w:val="22"/>
        </w:rPr>
        <w:t xml:space="preserve"> basis (that is income and expenditure are recognised as earned or incurred, not as received and paid) except in the case of transfer values which are included in the accounts on a cash basis. The Pension Fund Accounts have been prepared on a going concern basis.</w:t>
      </w:r>
    </w:p>
    <w:p w14:paraId="45345EDD" w14:textId="77777777" w:rsidR="00F753E8" w:rsidRDefault="00F753E8" w:rsidP="00F753E8">
      <w:pPr>
        <w:tabs>
          <w:tab w:val="left" w:pos="284"/>
        </w:tabs>
        <w:jc w:val="both"/>
        <w:rPr>
          <w:rFonts w:ascii="Arial" w:hAnsi="Arial" w:cs="Arial"/>
          <w:b/>
          <w:sz w:val="22"/>
          <w:szCs w:val="22"/>
        </w:rPr>
      </w:pPr>
    </w:p>
    <w:p w14:paraId="0528149D" w14:textId="77777777" w:rsidR="00F753E8" w:rsidRDefault="00F753E8" w:rsidP="00F753E8">
      <w:pPr>
        <w:tabs>
          <w:tab w:val="left" w:pos="284"/>
        </w:tabs>
        <w:jc w:val="both"/>
        <w:rPr>
          <w:rFonts w:ascii="Arial" w:hAnsi="Arial" w:cs="Arial"/>
          <w:b/>
          <w:sz w:val="22"/>
          <w:szCs w:val="22"/>
        </w:rPr>
      </w:pPr>
    </w:p>
    <w:p w14:paraId="6DAB73B8" w14:textId="77777777" w:rsidR="00F753E8" w:rsidRDefault="00F753E8" w:rsidP="00F753E8">
      <w:pPr>
        <w:tabs>
          <w:tab w:val="left" w:pos="284"/>
        </w:tabs>
        <w:jc w:val="both"/>
        <w:rPr>
          <w:rFonts w:ascii="Arial" w:hAnsi="Arial" w:cs="Arial"/>
          <w:b/>
          <w:sz w:val="22"/>
          <w:szCs w:val="22"/>
        </w:rPr>
      </w:pPr>
    </w:p>
    <w:p w14:paraId="7903089F" w14:textId="77777777" w:rsidR="00F753E8" w:rsidRDefault="00F753E8" w:rsidP="00F753E8">
      <w:pPr>
        <w:tabs>
          <w:tab w:val="left" w:pos="284"/>
        </w:tabs>
        <w:jc w:val="both"/>
        <w:rPr>
          <w:rFonts w:ascii="Arial" w:hAnsi="Arial" w:cs="Arial"/>
          <w:b/>
          <w:sz w:val="22"/>
          <w:szCs w:val="22"/>
        </w:rPr>
      </w:pPr>
    </w:p>
    <w:p w14:paraId="2FFAED08" w14:textId="77777777" w:rsidR="006D12D2" w:rsidRPr="00B64150" w:rsidRDefault="006D12D2" w:rsidP="00F753E8">
      <w:pPr>
        <w:tabs>
          <w:tab w:val="left" w:pos="284"/>
        </w:tabs>
        <w:jc w:val="both"/>
        <w:rPr>
          <w:rFonts w:ascii="Arial" w:hAnsi="Arial" w:cs="Arial"/>
          <w:b/>
          <w:sz w:val="22"/>
          <w:szCs w:val="22"/>
        </w:rPr>
      </w:pPr>
    </w:p>
    <w:p w14:paraId="046EAEB5" w14:textId="77777777" w:rsidR="00F753E8" w:rsidRPr="008A0A4E" w:rsidRDefault="00F753E8" w:rsidP="00F753E8">
      <w:pPr>
        <w:tabs>
          <w:tab w:val="left" w:pos="284"/>
        </w:tabs>
        <w:jc w:val="both"/>
        <w:rPr>
          <w:rFonts w:ascii="Arial" w:hAnsi="Arial" w:cs="Arial"/>
          <w:b/>
          <w:sz w:val="22"/>
          <w:szCs w:val="22"/>
        </w:rPr>
      </w:pPr>
      <w:r w:rsidRPr="008A0A4E">
        <w:rPr>
          <w:rFonts w:ascii="Arial" w:hAnsi="Arial" w:cs="Arial"/>
          <w:b/>
          <w:sz w:val="22"/>
          <w:szCs w:val="22"/>
        </w:rPr>
        <w:t xml:space="preserve">3.1 Contributions </w:t>
      </w:r>
      <w:r w:rsidRPr="008A0A4E">
        <w:rPr>
          <w:rFonts w:ascii="Arial" w:hAnsi="Arial" w:cs="Arial"/>
          <w:b/>
          <w:sz w:val="22"/>
          <w:szCs w:val="22"/>
          <w:lang w:eastAsia="en-US"/>
        </w:rPr>
        <w:t>(see Note 8)</w:t>
      </w:r>
    </w:p>
    <w:p w14:paraId="2530FB72"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p>
    <w:p w14:paraId="632B05E6"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Primary contributions, both from the members and from the employer, are accounted for on an accruals basis at the percentage rate recommended by the actuary in the payroll period to which they relate.</w:t>
      </w:r>
    </w:p>
    <w:p w14:paraId="048E3F52"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p>
    <w:p w14:paraId="601FDC71"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Secondary contributions are accounted for on the due dates on which they are due under the schedule of contributions set by the actuary or on receipt if earlier than the due date.</w:t>
      </w:r>
    </w:p>
    <w:p w14:paraId="4158C8F9"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p>
    <w:p w14:paraId="0622BDD8"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Employer’s augmentation and pension strain contributions are accounted for in the period in which the liability arises. Any amount due in year but unpaid is classed as a current financial asset.</w:t>
      </w:r>
    </w:p>
    <w:p w14:paraId="7DD9C295" w14:textId="77777777" w:rsidR="00F753E8" w:rsidRPr="008A0A4E" w:rsidRDefault="00F753E8" w:rsidP="00F753E8">
      <w:pPr>
        <w:tabs>
          <w:tab w:val="left" w:pos="284"/>
          <w:tab w:val="left" w:pos="567"/>
        </w:tabs>
        <w:ind w:left="284" w:hanging="284"/>
        <w:jc w:val="both"/>
        <w:rPr>
          <w:rFonts w:ascii="Arial" w:hAnsi="Arial" w:cs="Arial"/>
          <w:b/>
          <w:sz w:val="22"/>
          <w:szCs w:val="22"/>
        </w:rPr>
      </w:pPr>
    </w:p>
    <w:p w14:paraId="260ADA66" w14:textId="77777777" w:rsidR="00F753E8" w:rsidRPr="008A0A4E" w:rsidRDefault="00F753E8" w:rsidP="00F753E8">
      <w:pPr>
        <w:tabs>
          <w:tab w:val="left" w:pos="284"/>
        </w:tabs>
        <w:ind w:left="284" w:hanging="284"/>
        <w:jc w:val="both"/>
        <w:rPr>
          <w:rFonts w:ascii="Arial" w:hAnsi="Arial" w:cs="Arial"/>
          <w:b/>
          <w:sz w:val="22"/>
          <w:szCs w:val="22"/>
        </w:rPr>
      </w:pPr>
      <w:r w:rsidRPr="008A0A4E">
        <w:rPr>
          <w:rFonts w:ascii="Arial" w:hAnsi="Arial" w:cs="Arial"/>
          <w:b/>
          <w:sz w:val="22"/>
          <w:szCs w:val="22"/>
        </w:rPr>
        <w:t xml:space="preserve">3.2 Transfers to and from other schemes </w:t>
      </w:r>
      <w:r w:rsidRPr="008A0A4E">
        <w:rPr>
          <w:rFonts w:ascii="Arial" w:hAnsi="Arial" w:cs="Arial"/>
          <w:b/>
          <w:sz w:val="22"/>
          <w:szCs w:val="22"/>
          <w:lang w:eastAsia="en-US"/>
        </w:rPr>
        <w:t>(see Note 9)</w:t>
      </w:r>
    </w:p>
    <w:p w14:paraId="09692FBC"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p>
    <w:p w14:paraId="2358E703" w14:textId="77777777" w:rsidR="00F753E8" w:rsidRPr="008A0A4E" w:rsidRDefault="00F753E8" w:rsidP="00F753E8">
      <w:pPr>
        <w:tabs>
          <w:tab w:val="left" w:pos="284"/>
          <w:tab w:val="left" w:pos="567"/>
        </w:tabs>
        <w:ind w:left="284" w:hanging="284"/>
        <w:jc w:val="both"/>
        <w:rPr>
          <w:rFonts w:ascii="Arial" w:eastAsia="Calibri" w:hAnsi="Arial" w:cs="Arial"/>
          <w:sz w:val="22"/>
          <w:szCs w:val="22"/>
        </w:rPr>
      </w:pPr>
      <w:r w:rsidRPr="008A0A4E">
        <w:rPr>
          <w:rFonts w:ascii="Arial" w:hAnsi="Arial" w:cs="Arial"/>
          <w:sz w:val="22"/>
          <w:szCs w:val="22"/>
          <w:lang w:eastAsia="en-US"/>
        </w:rPr>
        <w:tab/>
        <w:t xml:space="preserve">Transfer values represent the amounts received and paid during the year for members who have either joined or left the Fund during the financial year and are calculated in accordance with the LGPS Regulations. </w:t>
      </w:r>
      <w:r w:rsidRPr="008A0A4E">
        <w:rPr>
          <w:rFonts w:ascii="Arial" w:eastAsia="Calibri" w:hAnsi="Arial" w:cs="Arial"/>
          <w:sz w:val="22"/>
          <w:szCs w:val="22"/>
        </w:rPr>
        <w:t>Transfer Values to/from other funds, for individuals, are included in the accounts based on the actual amounts received and paid in the year.</w:t>
      </w:r>
    </w:p>
    <w:p w14:paraId="24A31BE8"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p>
    <w:p w14:paraId="20726781"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Transfers in from members wishing to use the proceeds of their additional voluntary contributions to purchase scheme benefits are accounted for on a receipts basis and are included in Transfers In.</w:t>
      </w:r>
    </w:p>
    <w:p w14:paraId="5FF979A2"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p>
    <w:p w14:paraId="00BC176B" w14:textId="77777777" w:rsidR="00F753E8" w:rsidRPr="008A0A4E" w:rsidRDefault="00F753E8" w:rsidP="00F753E8">
      <w:pPr>
        <w:tabs>
          <w:tab w:val="left" w:pos="284"/>
          <w:tab w:val="left" w:pos="567"/>
        </w:tabs>
        <w:ind w:left="284" w:hanging="284"/>
        <w:jc w:val="both"/>
        <w:rPr>
          <w:rFonts w:ascii="Arial" w:hAnsi="Arial" w:cs="Arial"/>
          <w:sz w:val="22"/>
          <w:szCs w:val="22"/>
          <w:lang w:eastAsia="en-US"/>
        </w:rPr>
      </w:pPr>
      <w:r w:rsidRPr="008A0A4E">
        <w:rPr>
          <w:rFonts w:ascii="Arial" w:hAnsi="Arial" w:cs="Arial"/>
          <w:sz w:val="22"/>
          <w:szCs w:val="22"/>
          <w:lang w:eastAsia="en-US"/>
        </w:rPr>
        <w:tab/>
        <w:t xml:space="preserve">Individual transfers in/out are accounted for when received/paid, which is normally when the member liability is accepted or discharged. Bulk (group) transfers are accounted for on an </w:t>
      </w:r>
      <w:proofErr w:type="gramStart"/>
      <w:r w:rsidRPr="008A0A4E">
        <w:rPr>
          <w:rFonts w:ascii="Arial" w:hAnsi="Arial" w:cs="Arial"/>
          <w:sz w:val="22"/>
          <w:szCs w:val="22"/>
          <w:lang w:eastAsia="en-US"/>
        </w:rPr>
        <w:t>accruals</w:t>
      </w:r>
      <w:proofErr w:type="gramEnd"/>
      <w:r w:rsidRPr="008A0A4E">
        <w:rPr>
          <w:rFonts w:ascii="Arial" w:hAnsi="Arial" w:cs="Arial"/>
          <w:sz w:val="22"/>
          <w:szCs w:val="22"/>
          <w:lang w:eastAsia="en-US"/>
        </w:rPr>
        <w:t xml:space="preserve"> basis in accordance with the terms of the transfer agreement.</w:t>
      </w:r>
    </w:p>
    <w:p w14:paraId="4ADB15FF" w14:textId="77777777" w:rsidR="00F753E8" w:rsidRPr="008A0A4E" w:rsidRDefault="00F753E8" w:rsidP="00F753E8">
      <w:pPr>
        <w:tabs>
          <w:tab w:val="left" w:pos="567"/>
        </w:tabs>
        <w:jc w:val="both"/>
        <w:rPr>
          <w:rFonts w:ascii="Arial" w:hAnsi="Arial" w:cs="Arial"/>
          <w:sz w:val="22"/>
          <w:szCs w:val="22"/>
        </w:rPr>
      </w:pPr>
    </w:p>
    <w:p w14:paraId="51E7C555" w14:textId="77777777" w:rsidR="00F753E8" w:rsidRPr="008A0A4E" w:rsidRDefault="00F753E8" w:rsidP="00F753E8">
      <w:pPr>
        <w:tabs>
          <w:tab w:val="left" w:pos="426"/>
        </w:tabs>
        <w:jc w:val="both"/>
        <w:rPr>
          <w:rFonts w:ascii="Arial" w:hAnsi="Arial" w:cs="Arial"/>
          <w:b/>
          <w:sz w:val="22"/>
          <w:szCs w:val="22"/>
        </w:rPr>
      </w:pPr>
      <w:r w:rsidRPr="008A0A4E">
        <w:rPr>
          <w:rFonts w:ascii="Arial" w:hAnsi="Arial" w:cs="Arial"/>
          <w:b/>
          <w:bCs/>
          <w:iCs/>
          <w:sz w:val="22"/>
          <w:szCs w:val="22"/>
        </w:rPr>
        <w:t>3.3</w:t>
      </w:r>
      <w:r w:rsidRPr="008A0A4E">
        <w:rPr>
          <w:rFonts w:ascii="Arial" w:hAnsi="Arial" w:cs="Arial"/>
          <w:b/>
          <w:bCs/>
          <w:iCs/>
          <w:sz w:val="22"/>
          <w:szCs w:val="22"/>
        </w:rPr>
        <w:tab/>
        <w:t xml:space="preserve">Investment income </w:t>
      </w:r>
      <w:r w:rsidRPr="008A0A4E">
        <w:rPr>
          <w:rFonts w:ascii="Arial" w:hAnsi="Arial" w:cs="Arial"/>
          <w:b/>
          <w:sz w:val="22"/>
          <w:szCs w:val="22"/>
          <w:lang w:eastAsia="en-US"/>
        </w:rPr>
        <w:t>(see Note 13)</w:t>
      </w:r>
    </w:p>
    <w:p w14:paraId="438A302F" w14:textId="77777777" w:rsidR="00F753E8" w:rsidRPr="008A0A4E" w:rsidRDefault="00F753E8" w:rsidP="00F753E8">
      <w:pPr>
        <w:pStyle w:val="Default"/>
        <w:ind w:left="851" w:hanging="284"/>
        <w:rPr>
          <w:iCs/>
          <w:sz w:val="22"/>
          <w:szCs w:val="22"/>
        </w:rPr>
      </w:pPr>
    </w:p>
    <w:p w14:paraId="276760E7" w14:textId="77777777" w:rsidR="00F753E8" w:rsidRPr="008A0A4E" w:rsidRDefault="00F753E8" w:rsidP="007337FE">
      <w:pPr>
        <w:pStyle w:val="Default"/>
        <w:numPr>
          <w:ilvl w:val="0"/>
          <w:numId w:val="55"/>
        </w:numPr>
        <w:ind w:left="851" w:hanging="284"/>
        <w:jc w:val="both"/>
        <w:rPr>
          <w:sz w:val="22"/>
          <w:szCs w:val="22"/>
        </w:rPr>
      </w:pPr>
      <w:r w:rsidRPr="008A0A4E">
        <w:rPr>
          <w:iCs/>
          <w:sz w:val="22"/>
          <w:szCs w:val="22"/>
        </w:rPr>
        <w:t xml:space="preserve">Interest income - </w:t>
      </w:r>
      <w:r w:rsidRPr="008A0A4E">
        <w:rPr>
          <w:sz w:val="22"/>
          <w:szCs w:val="22"/>
        </w:rPr>
        <w:t xml:space="preserve">Interest income is recognised in the Fund account as it accrues. Interest from financial assets that are not carried at fair value through profit and loss, </w:t>
      </w:r>
      <w:proofErr w:type="gramStart"/>
      <w:r w:rsidRPr="008A0A4E">
        <w:rPr>
          <w:sz w:val="22"/>
          <w:szCs w:val="22"/>
        </w:rPr>
        <w:t>i.e.</w:t>
      </w:r>
      <w:proofErr w:type="gramEnd"/>
      <w:r w:rsidRPr="008A0A4E">
        <w:rPr>
          <w:sz w:val="22"/>
          <w:szCs w:val="22"/>
        </w:rPr>
        <w:t xml:space="preserve"> loans and receivables, are calculated using the effective interest basis. </w:t>
      </w:r>
    </w:p>
    <w:p w14:paraId="43FD51FD" w14:textId="77777777" w:rsidR="00F753E8" w:rsidRPr="008A0A4E" w:rsidRDefault="00F753E8" w:rsidP="00F753E8">
      <w:pPr>
        <w:pStyle w:val="Default"/>
        <w:ind w:left="851" w:hanging="284"/>
        <w:jc w:val="both"/>
        <w:rPr>
          <w:sz w:val="22"/>
          <w:szCs w:val="22"/>
        </w:rPr>
      </w:pPr>
    </w:p>
    <w:p w14:paraId="683F291B" w14:textId="77777777" w:rsidR="00F753E8" w:rsidRPr="008A0A4E" w:rsidRDefault="00F753E8" w:rsidP="007337FE">
      <w:pPr>
        <w:pStyle w:val="Default"/>
        <w:numPr>
          <w:ilvl w:val="0"/>
          <w:numId w:val="55"/>
        </w:numPr>
        <w:ind w:left="851" w:hanging="284"/>
        <w:jc w:val="both"/>
        <w:rPr>
          <w:sz w:val="22"/>
          <w:szCs w:val="22"/>
        </w:rPr>
      </w:pPr>
      <w:r w:rsidRPr="008A0A4E">
        <w:rPr>
          <w:iCs/>
          <w:sz w:val="22"/>
          <w:szCs w:val="22"/>
        </w:rPr>
        <w:t xml:space="preserve">Dividend income - </w:t>
      </w:r>
      <w:r w:rsidRPr="008A0A4E">
        <w:rPr>
          <w:sz w:val="22"/>
          <w:szCs w:val="22"/>
        </w:rPr>
        <w:t xml:space="preserve">Dividend income is recognised on the date the shares are quoted ex-dividend. Any amount not received by the end of the reporting period is disclosed in the Net Assets Statement as a current financial asset. </w:t>
      </w:r>
    </w:p>
    <w:p w14:paraId="5A18D49D" w14:textId="77777777" w:rsidR="00F753E8" w:rsidRPr="008A0A4E" w:rsidRDefault="00F753E8" w:rsidP="00F753E8">
      <w:pPr>
        <w:pStyle w:val="Default"/>
        <w:ind w:left="851" w:hanging="284"/>
        <w:jc w:val="both"/>
        <w:rPr>
          <w:sz w:val="22"/>
          <w:szCs w:val="22"/>
        </w:rPr>
      </w:pPr>
    </w:p>
    <w:p w14:paraId="05A162C8" w14:textId="77777777" w:rsidR="00F753E8" w:rsidRPr="008A0A4E" w:rsidRDefault="00F753E8" w:rsidP="007337FE">
      <w:pPr>
        <w:pStyle w:val="Default"/>
        <w:numPr>
          <w:ilvl w:val="0"/>
          <w:numId w:val="55"/>
        </w:numPr>
        <w:ind w:left="851" w:hanging="284"/>
        <w:jc w:val="both"/>
        <w:rPr>
          <w:sz w:val="22"/>
          <w:szCs w:val="22"/>
        </w:rPr>
      </w:pPr>
      <w:r w:rsidRPr="008A0A4E">
        <w:rPr>
          <w:sz w:val="22"/>
          <w:szCs w:val="22"/>
        </w:rPr>
        <w:t>Movement in the net market value of investments - Changes in the net market value of investments are recognised as income and comprise all realised and unrealised profits/loss during the year.</w:t>
      </w:r>
    </w:p>
    <w:p w14:paraId="1B573AAC" w14:textId="77777777" w:rsidR="00F753E8" w:rsidRPr="008A0A4E" w:rsidRDefault="00F753E8" w:rsidP="00F753E8">
      <w:pPr>
        <w:pStyle w:val="Default"/>
        <w:ind w:left="709"/>
        <w:jc w:val="both"/>
        <w:rPr>
          <w:sz w:val="22"/>
          <w:szCs w:val="22"/>
        </w:rPr>
      </w:pPr>
    </w:p>
    <w:p w14:paraId="7C728BCF" w14:textId="77777777" w:rsidR="00F753E8" w:rsidRPr="008A0A4E" w:rsidRDefault="00F753E8" w:rsidP="00F753E8">
      <w:pPr>
        <w:tabs>
          <w:tab w:val="left" w:pos="567"/>
        </w:tabs>
        <w:ind w:left="425" w:hanging="425"/>
        <w:jc w:val="both"/>
        <w:rPr>
          <w:rFonts w:ascii="Arial" w:hAnsi="Arial" w:cs="Arial"/>
          <w:sz w:val="22"/>
          <w:szCs w:val="22"/>
        </w:rPr>
      </w:pPr>
      <w:r w:rsidRPr="008A0A4E">
        <w:rPr>
          <w:rFonts w:ascii="Arial" w:hAnsi="Arial" w:cs="Arial"/>
          <w:b/>
          <w:sz w:val="22"/>
          <w:szCs w:val="22"/>
        </w:rPr>
        <w:t>3.4</w:t>
      </w:r>
      <w:r w:rsidRPr="008A0A4E">
        <w:rPr>
          <w:rFonts w:ascii="Arial" w:hAnsi="Arial" w:cs="Arial"/>
          <w:sz w:val="22"/>
          <w:szCs w:val="22"/>
        </w:rPr>
        <w:tab/>
      </w:r>
      <w:r w:rsidRPr="008A0A4E">
        <w:rPr>
          <w:rFonts w:ascii="Arial" w:hAnsi="Arial" w:cs="Arial"/>
          <w:b/>
          <w:sz w:val="22"/>
          <w:szCs w:val="22"/>
        </w:rPr>
        <w:t>Net Assets Statement at market value is produced on the following basis (see note 14)</w:t>
      </w:r>
    </w:p>
    <w:p w14:paraId="516A6E4C" w14:textId="77777777" w:rsidR="00F753E8" w:rsidRPr="008A0A4E" w:rsidRDefault="00F753E8" w:rsidP="00F753E8">
      <w:pPr>
        <w:tabs>
          <w:tab w:val="left" w:pos="1134"/>
        </w:tabs>
        <w:ind w:left="1134"/>
        <w:jc w:val="both"/>
        <w:rPr>
          <w:rFonts w:ascii="Arial" w:hAnsi="Arial" w:cs="Arial"/>
          <w:sz w:val="22"/>
          <w:szCs w:val="22"/>
        </w:rPr>
      </w:pPr>
    </w:p>
    <w:p w14:paraId="7B163B3D" w14:textId="77777777" w:rsidR="00F753E8" w:rsidRPr="008A0A4E" w:rsidRDefault="00F753E8" w:rsidP="00F753E8">
      <w:pPr>
        <w:pStyle w:val="ListParagraph"/>
        <w:numPr>
          <w:ilvl w:val="0"/>
          <w:numId w:val="9"/>
        </w:numPr>
        <w:spacing w:after="120"/>
        <w:ind w:left="709" w:hanging="142"/>
        <w:jc w:val="both"/>
        <w:rPr>
          <w:rFonts w:ascii="Arial" w:hAnsi="Arial" w:cs="Arial"/>
        </w:rPr>
      </w:pPr>
      <w:r w:rsidRPr="008A0A4E">
        <w:rPr>
          <w:rFonts w:ascii="Arial" w:hAnsi="Arial" w:cs="Arial"/>
        </w:rPr>
        <w:t xml:space="preserve">Quoted investments are valued at bid price at the close of business on 31 March </w:t>
      </w:r>
      <w:proofErr w:type="gramStart"/>
      <w:r w:rsidRPr="008A0A4E">
        <w:rPr>
          <w:rFonts w:ascii="Arial" w:hAnsi="Arial" w:cs="Arial"/>
        </w:rPr>
        <w:t>202</w:t>
      </w:r>
      <w:r>
        <w:rPr>
          <w:rFonts w:ascii="Arial" w:hAnsi="Arial" w:cs="Arial"/>
        </w:rPr>
        <w:t>2</w:t>
      </w:r>
      <w:r w:rsidRPr="008A0A4E">
        <w:rPr>
          <w:rFonts w:ascii="Arial" w:hAnsi="Arial" w:cs="Arial"/>
        </w:rPr>
        <w:t>;</w:t>
      </w:r>
      <w:proofErr w:type="gramEnd"/>
      <w:r w:rsidRPr="008A0A4E">
        <w:rPr>
          <w:rFonts w:ascii="Arial" w:hAnsi="Arial" w:cs="Arial"/>
        </w:rPr>
        <w:t xml:space="preserve"> </w:t>
      </w:r>
    </w:p>
    <w:p w14:paraId="1EEB8700" w14:textId="77777777" w:rsidR="00F753E8" w:rsidRPr="008A0A4E" w:rsidRDefault="00F753E8" w:rsidP="00F753E8">
      <w:pPr>
        <w:pStyle w:val="ListParagraph"/>
        <w:spacing w:after="120"/>
        <w:ind w:left="709"/>
        <w:jc w:val="both"/>
        <w:rPr>
          <w:rFonts w:ascii="Arial" w:hAnsi="Arial" w:cs="Arial"/>
        </w:rPr>
      </w:pPr>
    </w:p>
    <w:p w14:paraId="4CA6DDF2" w14:textId="77777777" w:rsidR="00F753E8" w:rsidRPr="008A0A4E" w:rsidRDefault="00F753E8" w:rsidP="00F753E8">
      <w:pPr>
        <w:pStyle w:val="ListParagraph"/>
        <w:numPr>
          <w:ilvl w:val="0"/>
          <w:numId w:val="9"/>
        </w:numPr>
        <w:spacing w:after="120" w:line="240" w:lineRule="auto"/>
        <w:ind w:left="709" w:hanging="142"/>
        <w:jc w:val="both"/>
        <w:rPr>
          <w:rFonts w:ascii="Arial" w:hAnsi="Arial" w:cs="Arial"/>
        </w:rPr>
      </w:pPr>
      <w:r w:rsidRPr="008A0A4E">
        <w:rPr>
          <w:rFonts w:ascii="Arial" w:hAnsi="Arial" w:cs="Arial"/>
        </w:rPr>
        <w:t xml:space="preserve">Unquoted investments are based on market value by the fund managers at year end in accordance with accepted </w:t>
      </w:r>
      <w:proofErr w:type="gramStart"/>
      <w:r w:rsidRPr="008A0A4E">
        <w:rPr>
          <w:rFonts w:ascii="Arial" w:hAnsi="Arial" w:cs="Arial"/>
        </w:rPr>
        <w:t>guidelines;</w:t>
      </w:r>
      <w:proofErr w:type="gramEnd"/>
    </w:p>
    <w:p w14:paraId="389D69AD" w14:textId="77777777" w:rsidR="00F753E8" w:rsidRPr="008A0A4E" w:rsidRDefault="00F753E8" w:rsidP="00F753E8">
      <w:pPr>
        <w:pStyle w:val="ListParagraph"/>
        <w:spacing w:after="120" w:line="240" w:lineRule="auto"/>
        <w:ind w:left="709"/>
        <w:jc w:val="both"/>
        <w:rPr>
          <w:rFonts w:ascii="Arial" w:hAnsi="Arial" w:cs="Arial"/>
        </w:rPr>
      </w:pPr>
    </w:p>
    <w:p w14:paraId="09EBE6BF" w14:textId="77777777" w:rsidR="00F753E8" w:rsidRPr="0063372B" w:rsidRDefault="00F753E8" w:rsidP="00F753E8">
      <w:pPr>
        <w:pStyle w:val="ListParagraph"/>
        <w:numPr>
          <w:ilvl w:val="0"/>
          <w:numId w:val="9"/>
        </w:numPr>
        <w:spacing w:after="120" w:line="240" w:lineRule="auto"/>
        <w:ind w:left="709" w:hanging="142"/>
        <w:jc w:val="both"/>
        <w:rPr>
          <w:rFonts w:ascii="Arial" w:hAnsi="Arial" w:cs="Arial"/>
        </w:rPr>
      </w:pPr>
      <w:r w:rsidRPr="008A0A4E">
        <w:rPr>
          <w:rFonts w:ascii="Arial" w:hAnsi="Arial" w:cs="Arial"/>
        </w:rPr>
        <w:t xml:space="preserve">Pooled investment vehicles are valued at closing bid price if both bid and offer prices are published; or if single priced, at the closing single price. In the case of pooled investment vehicles that are accumulation funds, change in market value also includes </w:t>
      </w:r>
      <w:proofErr w:type="gramStart"/>
      <w:r w:rsidRPr="008A0A4E">
        <w:rPr>
          <w:rFonts w:ascii="Arial" w:hAnsi="Arial" w:cs="Arial"/>
        </w:rPr>
        <w:t>income</w:t>
      </w:r>
      <w:proofErr w:type="gramEnd"/>
      <w:r w:rsidRPr="008A0A4E">
        <w:rPr>
          <w:rFonts w:ascii="Arial" w:hAnsi="Arial" w:cs="Arial"/>
        </w:rPr>
        <w:t xml:space="preserve"> which is reinvested in the fund, net of applicable withholding tax;</w:t>
      </w:r>
      <w:r w:rsidRPr="008A0A4E" w:rsidDel="001A304D">
        <w:rPr>
          <w:rFonts w:ascii="Arial" w:hAnsi="Arial" w:cs="Arial"/>
        </w:rPr>
        <w:t xml:space="preserve"> </w:t>
      </w:r>
    </w:p>
    <w:p w14:paraId="39FFD925" w14:textId="77777777" w:rsidR="00F753E8" w:rsidRPr="008A0A4E" w:rsidRDefault="00F753E8" w:rsidP="00F753E8">
      <w:pPr>
        <w:pStyle w:val="ListParagraph"/>
        <w:numPr>
          <w:ilvl w:val="0"/>
          <w:numId w:val="9"/>
        </w:numPr>
        <w:spacing w:after="120" w:line="240" w:lineRule="auto"/>
        <w:ind w:left="709" w:hanging="142"/>
        <w:jc w:val="both"/>
        <w:rPr>
          <w:rFonts w:ascii="Arial" w:hAnsi="Arial" w:cs="Arial"/>
        </w:rPr>
      </w:pPr>
      <w:r w:rsidRPr="008A0A4E">
        <w:rPr>
          <w:rFonts w:ascii="Arial" w:hAnsi="Arial" w:cs="Arial"/>
        </w:rPr>
        <w:t>Investments held in foreign currencies have been valued in sterling at the closing rate ruling on 31 March 202</w:t>
      </w:r>
      <w:r>
        <w:rPr>
          <w:rFonts w:ascii="Arial" w:hAnsi="Arial" w:cs="Arial"/>
        </w:rPr>
        <w:t>1</w:t>
      </w:r>
      <w:r w:rsidRPr="008A0A4E">
        <w:rPr>
          <w:rFonts w:ascii="Arial" w:hAnsi="Arial" w:cs="Arial"/>
        </w:rPr>
        <w:t>. All foreign currency transactions are translated into sterling at exchange rates ruling at the closing rate of exchange; and</w:t>
      </w:r>
    </w:p>
    <w:p w14:paraId="273A3D48" w14:textId="77777777" w:rsidR="00F753E8" w:rsidRPr="008A0A4E" w:rsidRDefault="00F753E8" w:rsidP="00F753E8">
      <w:pPr>
        <w:pStyle w:val="ListParagraph"/>
        <w:spacing w:after="120" w:line="240" w:lineRule="auto"/>
        <w:ind w:left="709"/>
        <w:jc w:val="both"/>
        <w:rPr>
          <w:rFonts w:ascii="Arial" w:hAnsi="Arial" w:cs="Arial"/>
        </w:rPr>
      </w:pPr>
    </w:p>
    <w:p w14:paraId="004DA8A9" w14:textId="77777777" w:rsidR="00F753E8" w:rsidRPr="008A0A4E" w:rsidRDefault="00F753E8" w:rsidP="00F753E8">
      <w:pPr>
        <w:pStyle w:val="ListParagraph"/>
        <w:numPr>
          <w:ilvl w:val="0"/>
          <w:numId w:val="9"/>
        </w:numPr>
        <w:spacing w:after="120" w:line="240" w:lineRule="auto"/>
        <w:ind w:left="709" w:hanging="142"/>
        <w:jc w:val="both"/>
        <w:rPr>
          <w:rFonts w:ascii="Arial" w:hAnsi="Arial" w:cs="Arial"/>
        </w:rPr>
      </w:pPr>
      <w:r w:rsidRPr="008A0A4E">
        <w:rPr>
          <w:rFonts w:ascii="Arial" w:hAnsi="Arial" w:cs="Arial"/>
        </w:rPr>
        <w:t>Limited partnerships are valued at fair value on the net asset value ascertained from periodic valuations provided by those controlling the partnership.</w:t>
      </w:r>
    </w:p>
    <w:p w14:paraId="3E4C0308" w14:textId="77777777" w:rsidR="00F753E8" w:rsidRPr="008A0A4E" w:rsidRDefault="00F753E8" w:rsidP="00F753E8">
      <w:pPr>
        <w:pStyle w:val="ListParagraph"/>
        <w:spacing w:after="0" w:line="240" w:lineRule="auto"/>
        <w:ind w:left="709"/>
        <w:jc w:val="both"/>
        <w:rPr>
          <w:rFonts w:ascii="Arial" w:hAnsi="Arial" w:cs="Arial"/>
        </w:rPr>
      </w:pPr>
    </w:p>
    <w:p w14:paraId="051D271F" w14:textId="77777777" w:rsidR="00F753E8" w:rsidRPr="008A0A4E" w:rsidRDefault="00F753E8" w:rsidP="00F753E8">
      <w:pPr>
        <w:pStyle w:val="ListParagraph"/>
        <w:tabs>
          <w:tab w:val="left" w:pos="426"/>
          <w:tab w:val="left" w:pos="1134"/>
        </w:tabs>
        <w:spacing w:after="0" w:line="240" w:lineRule="auto"/>
        <w:ind w:left="426" w:hanging="426"/>
        <w:jc w:val="both"/>
        <w:rPr>
          <w:rFonts w:ascii="Arial" w:hAnsi="Arial" w:cs="Arial"/>
        </w:rPr>
      </w:pPr>
      <w:r w:rsidRPr="008A0A4E">
        <w:rPr>
          <w:rFonts w:ascii="Arial" w:hAnsi="Arial" w:cs="Arial"/>
          <w:b/>
        </w:rPr>
        <w:t>3.5</w:t>
      </w:r>
      <w:r w:rsidRPr="008A0A4E">
        <w:rPr>
          <w:rFonts w:ascii="Arial" w:hAnsi="Arial" w:cs="Arial"/>
          <w:b/>
        </w:rPr>
        <w:tab/>
        <w:t>Management expenses (see note 12)</w:t>
      </w:r>
    </w:p>
    <w:p w14:paraId="4A7290A0"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b/>
        </w:rPr>
      </w:pPr>
    </w:p>
    <w:p w14:paraId="28232517"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u w:val="single"/>
        </w:rPr>
      </w:pPr>
      <w:r w:rsidRPr="008A0A4E">
        <w:rPr>
          <w:rFonts w:ascii="Arial" w:hAnsi="Arial" w:cs="Arial"/>
          <w:b/>
        </w:rPr>
        <w:tab/>
      </w:r>
      <w:r w:rsidRPr="008A0A4E">
        <w:rPr>
          <w:rFonts w:ascii="Arial" w:hAnsi="Arial" w:cs="Arial"/>
          <w:u w:val="single"/>
        </w:rPr>
        <w:t>Administration Expenses</w:t>
      </w:r>
    </w:p>
    <w:p w14:paraId="6752AA76"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b/>
        </w:rPr>
      </w:pPr>
    </w:p>
    <w:p w14:paraId="6962592A"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 xml:space="preserve">All administration expenses are accounted for on an accrual basis.  Staff costs associated with the Fund are charged to the Fund, with management, accommodation and other overheads apportioned in accordance with LBBD’s policy. </w:t>
      </w:r>
    </w:p>
    <w:p w14:paraId="7D039A76" w14:textId="77777777" w:rsidR="00F753E8" w:rsidRPr="008A0A4E" w:rsidRDefault="00F753E8" w:rsidP="00F753E8">
      <w:pPr>
        <w:pStyle w:val="ListParagraph"/>
        <w:tabs>
          <w:tab w:val="left" w:pos="709"/>
          <w:tab w:val="left" w:pos="1134"/>
        </w:tabs>
        <w:spacing w:after="0" w:line="240" w:lineRule="auto"/>
        <w:ind w:left="0"/>
        <w:jc w:val="both"/>
        <w:rPr>
          <w:rFonts w:ascii="Arial" w:hAnsi="Arial" w:cs="Arial"/>
        </w:rPr>
      </w:pPr>
    </w:p>
    <w:p w14:paraId="0E49AAE3" w14:textId="77777777" w:rsidR="00F753E8" w:rsidRPr="008A0A4E" w:rsidRDefault="00F753E8" w:rsidP="00F753E8">
      <w:pPr>
        <w:tabs>
          <w:tab w:val="left" w:pos="426"/>
          <w:tab w:val="left" w:pos="1134"/>
        </w:tabs>
        <w:ind w:left="426" w:hanging="426"/>
        <w:jc w:val="both"/>
        <w:rPr>
          <w:rFonts w:ascii="Arial" w:hAnsi="Arial" w:cs="Arial"/>
          <w:sz w:val="22"/>
          <w:szCs w:val="22"/>
          <w:u w:val="single"/>
        </w:rPr>
      </w:pPr>
      <w:r w:rsidRPr="008A0A4E">
        <w:rPr>
          <w:rFonts w:ascii="Arial" w:hAnsi="Arial" w:cs="Arial"/>
          <w:b/>
          <w:sz w:val="22"/>
          <w:szCs w:val="22"/>
        </w:rPr>
        <w:tab/>
      </w:r>
      <w:r w:rsidRPr="008A0A4E">
        <w:rPr>
          <w:rFonts w:ascii="Arial" w:hAnsi="Arial" w:cs="Arial"/>
          <w:sz w:val="22"/>
          <w:szCs w:val="22"/>
          <w:u w:val="single"/>
        </w:rPr>
        <w:t>Investment management expenses</w:t>
      </w:r>
    </w:p>
    <w:p w14:paraId="3B2D906B" w14:textId="77777777" w:rsidR="00F753E8" w:rsidRPr="008A0A4E" w:rsidRDefault="00F753E8" w:rsidP="00F753E8">
      <w:pPr>
        <w:tabs>
          <w:tab w:val="left" w:pos="426"/>
          <w:tab w:val="left" w:pos="1134"/>
        </w:tabs>
        <w:ind w:left="426" w:hanging="426"/>
        <w:jc w:val="both"/>
        <w:rPr>
          <w:rFonts w:ascii="Arial" w:hAnsi="Arial" w:cs="Arial"/>
          <w:sz w:val="22"/>
          <w:szCs w:val="22"/>
        </w:rPr>
      </w:pPr>
    </w:p>
    <w:p w14:paraId="5E0A3D6C"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 xml:space="preserve">All investment management expenses are accounted for on an accrual basis. </w:t>
      </w:r>
    </w:p>
    <w:p w14:paraId="49E34F4C"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p>
    <w:p w14:paraId="3065E223"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External manager fees, including custodian fees, are agreed in the respective mandates governing their appointments, which are broadly based on the market value of the Fund’s investments under their management. Therefore, investment management fees increase / decrease as the value of these investments change.</w:t>
      </w:r>
    </w:p>
    <w:p w14:paraId="4FA13626"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p>
    <w:p w14:paraId="76A73D0C"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The Fund does not include a performance related fees element in any of their contracts.  Where it has not been possible to confirm the investment management fee owed by the balance sheet date, an estimate based on the market value has been used.</w:t>
      </w:r>
    </w:p>
    <w:p w14:paraId="08DDEF1F"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p>
    <w:p w14:paraId="452B322E"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 xml:space="preserve">Most the Fund’s holdings are invested in pooled funds which include investment management expenses, including actuarial, trading costs and fund manager fees, within the pricing mechanism. </w:t>
      </w:r>
    </w:p>
    <w:p w14:paraId="2530F836"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p>
    <w:p w14:paraId="62AEFFDD"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The Council has made a prepayment of employer pension contributions to the Fund</w:t>
      </w:r>
      <w:r>
        <w:rPr>
          <w:rFonts w:ascii="Arial" w:hAnsi="Arial" w:cs="Arial"/>
        </w:rPr>
        <w:t xml:space="preserve"> for two years </w:t>
      </w:r>
      <w:r w:rsidRPr="008A0A4E">
        <w:rPr>
          <w:rFonts w:ascii="Arial" w:hAnsi="Arial" w:cs="Arial"/>
        </w:rPr>
        <w:t>totalling £40m. The interest costs associated with this prepayment are included as an investment management expense.</w:t>
      </w:r>
    </w:p>
    <w:p w14:paraId="6E9AAFBA" w14:textId="77777777" w:rsidR="00F753E8" w:rsidRPr="008A0A4E" w:rsidRDefault="00F753E8" w:rsidP="00F753E8">
      <w:pPr>
        <w:pStyle w:val="ListParagraph"/>
        <w:tabs>
          <w:tab w:val="left" w:pos="709"/>
          <w:tab w:val="left" w:pos="1134"/>
        </w:tabs>
        <w:spacing w:after="0" w:line="240" w:lineRule="auto"/>
        <w:ind w:left="0"/>
        <w:jc w:val="both"/>
        <w:rPr>
          <w:rFonts w:ascii="Arial" w:hAnsi="Arial" w:cs="Arial"/>
        </w:rPr>
      </w:pPr>
    </w:p>
    <w:p w14:paraId="3F5468BC" w14:textId="77777777" w:rsidR="00F753E8" w:rsidRPr="008A0A4E" w:rsidRDefault="00F753E8" w:rsidP="00F753E8">
      <w:pPr>
        <w:pStyle w:val="ListParagraph"/>
        <w:tabs>
          <w:tab w:val="left" w:pos="426"/>
          <w:tab w:val="left" w:pos="1134"/>
        </w:tabs>
        <w:spacing w:after="0" w:line="240" w:lineRule="auto"/>
        <w:ind w:left="426" w:hanging="426"/>
        <w:jc w:val="both"/>
        <w:rPr>
          <w:rFonts w:ascii="Arial" w:hAnsi="Arial" w:cs="Arial"/>
          <w:b/>
        </w:rPr>
      </w:pPr>
      <w:r w:rsidRPr="008A0A4E">
        <w:rPr>
          <w:rFonts w:ascii="Arial" w:hAnsi="Arial" w:cs="Arial"/>
          <w:b/>
        </w:rPr>
        <w:t>3.6</w:t>
      </w:r>
      <w:r w:rsidRPr="008A0A4E">
        <w:rPr>
          <w:rFonts w:ascii="Arial" w:hAnsi="Arial" w:cs="Arial"/>
          <w:b/>
        </w:rPr>
        <w:tab/>
        <w:t xml:space="preserve">Taxation  </w:t>
      </w:r>
    </w:p>
    <w:p w14:paraId="2442B902"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b/>
        </w:rPr>
      </w:pPr>
    </w:p>
    <w:p w14:paraId="2EC04ADC"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The Fund is a registered public-sector service scheme under section 1(1) of schedule 36 of the Finance act 2004 and as such is exempt from UK income tax on interest received and from capital gains tax on the proceed of investments sold.</w:t>
      </w:r>
    </w:p>
    <w:p w14:paraId="22049830"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p>
    <w:p w14:paraId="254F411B"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 xml:space="preserve">Taxation agreements exist between Britain and other countries whereby all or a proportion of the tax deducted locally from investment income may be reclaimed.  Non-recoverable deductions are classified as withholding tax. </w:t>
      </w:r>
    </w:p>
    <w:p w14:paraId="6C817036"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p>
    <w:p w14:paraId="3CBACBCB" w14:textId="77777777" w:rsidR="00F753E8"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Value Added Tax is recoverable on all Fund activities by the administering authority.</w:t>
      </w:r>
    </w:p>
    <w:p w14:paraId="6528EE1B" w14:textId="77777777" w:rsidR="00F753E8" w:rsidRPr="008A0A4E" w:rsidRDefault="00F753E8" w:rsidP="00F753E8">
      <w:pPr>
        <w:tabs>
          <w:tab w:val="left" w:pos="709"/>
          <w:tab w:val="left" w:pos="1134"/>
        </w:tabs>
        <w:jc w:val="both"/>
        <w:rPr>
          <w:rFonts w:ascii="Arial" w:hAnsi="Arial" w:cs="Arial"/>
          <w:sz w:val="22"/>
          <w:szCs w:val="22"/>
        </w:rPr>
      </w:pPr>
    </w:p>
    <w:p w14:paraId="6E4366F6" w14:textId="77777777" w:rsidR="00F753E8" w:rsidRPr="008A0A4E" w:rsidRDefault="00F753E8" w:rsidP="00F753E8">
      <w:pPr>
        <w:pStyle w:val="ListParagraph"/>
        <w:tabs>
          <w:tab w:val="left" w:pos="426"/>
          <w:tab w:val="left" w:pos="1134"/>
        </w:tabs>
        <w:spacing w:after="0" w:line="240" w:lineRule="auto"/>
        <w:ind w:left="426" w:hanging="426"/>
        <w:jc w:val="both"/>
        <w:rPr>
          <w:rFonts w:ascii="Arial" w:hAnsi="Arial" w:cs="Arial"/>
          <w:b/>
        </w:rPr>
      </w:pPr>
      <w:r w:rsidRPr="008A0A4E">
        <w:rPr>
          <w:rFonts w:ascii="Arial" w:hAnsi="Arial" w:cs="Arial"/>
          <w:b/>
        </w:rPr>
        <w:t>3.7</w:t>
      </w:r>
      <w:r w:rsidRPr="008A0A4E">
        <w:rPr>
          <w:rFonts w:ascii="Arial" w:hAnsi="Arial" w:cs="Arial"/>
          <w:b/>
        </w:rPr>
        <w:tab/>
        <w:t>Foreign currency transactions</w:t>
      </w:r>
    </w:p>
    <w:p w14:paraId="2AD1CD73"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p>
    <w:p w14:paraId="4DC385C6" w14:textId="77777777" w:rsidR="00F753E8" w:rsidRPr="00C31FE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 xml:space="preserve">Dividends, interest, </w:t>
      </w:r>
      <w:proofErr w:type="gramStart"/>
      <w:r w:rsidRPr="008A0A4E">
        <w:rPr>
          <w:rFonts w:ascii="Arial" w:hAnsi="Arial" w:cs="Arial"/>
        </w:rPr>
        <w:t>purchases</w:t>
      </w:r>
      <w:proofErr w:type="gramEnd"/>
      <w:r w:rsidRPr="008A0A4E">
        <w:rPr>
          <w:rFonts w:ascii="Arial" w:hAnsi="Arial" w:cs="Arial"/>
        </w:rPr>
        <w:t xml:space="preserve"> and sales of investments in foreign currencies have been accounted for at the spot market rates at the date of transaction.  End-of-year spot market exchange rates are used to value cash balances held in foreign currency bank accounts.</w:t>
      </w:r>
    </w:p>
    <w:p w14:paraId="60EFE454" w14:textId="77777777" w:rsidR="00F753E8" w:rsidRDefault="00F753E8" w:rsidP="00F753E8">
      <w:pPr>
        <w:pStyle w:val="ListParagraph"/>
        <w:tabs>
          <w:tab w:val="left" w:pos="709"/>
          <w:tab w:val="left" w:pos="1134"/>
        </w:tabs>
        <w:spacing w:after="0" w:line="240" w:lineRule="auto"/>
        <w:ind w:left="0"/>
        <w:jc w:val="both"/>
        <w:rPr>
          <w:rFonts w:ascii="Arial" w:hAnsi="Arial" w:cs="Arial"/>
        </w:rPr>
      </w:pPr>
    </w:p>
    <w:p w14:paraId="6E175DD4" w14:textId="77777777" w:rsidR="00F753E8" w:rsidRDefault="00F753E8" w:rsidP="00F753E8">
      <w:pPr>
        <w:pStyle w:val="ListParagraph"/>
        <w:tabs>
          <w:tab w:val="left" w:pos="709"/>
          <w:tab w:val="left" w:pos="1134"/>
        </w:tabs>
        <w:spacing w:after="0" w:line="240" w:lineRule="auto"/>
        <w:ind w:left="0"/>
        <w:jc w:val="both"/>
        <w:rPr>
          <w:rFonts w:ascii="Arial" w:hAnsi="Arial" w:cs="Arial"/>
        </w:rPr>
      </w:pPr>
    </w:p>
    <w:p w14:paraId="11777CC3" w14:textId="77777777" w:rsidR="00F753E8" w:rsidRDefault="00F753E8" w:rsidP="00F753E8">
      <w:pPr>
        <w:pStyle w:val="ListParagraph"/>
        <w:tabs>
          <w:tab w:val="left" w:pos="709"/>
          <w:tab w:val="left" w:pos="1134"/>
        </w:tabs>
        <w:spacing w:after="0" w:line="240" w:lineRule="auto"/>
        <w:ind w:left="0"/>
        <w:jc w:val="both"/>
        <w:rPr>
          <w:rFonts w:ascii="Arial" w:hAnsi="Arial" w:cs="Arial"/>
        </w:rPr>
      </w:pPr>
    </w:p>
    <w:p w14:paraId="2FFA0A4D" w14:textId="77777777" w:rsidR="00F753E8" w:rsidRPr="008A0A4E" w:rsidRDefault="00F753E8" w:rsidP="00F753E8">
      <w:pPr>
        <w:pStyle w:val="ListParagraph"/>
        <w:tabs>
          <w:tab w:val="left" w:pos="426"/>
          <w:tab w:val="left" w:pos="1134"/>
        </w:tabs>
        <w:spacing w:after="0" w:line="240" w:lineRule="auto"/>
        <w:ind w:left="426" w:hanging="426"/>
        <w:jc w:val="both"/>
        <w:rPr>
          <w:rFonts w:ascii="Arial" w:hAnsi="Arial" w:cs="Arial"/>
          <w:b/>
        </w:rPr>
      </w:pPr>
      <w:r w:rsidRPr="008A0A4E">
        <w:rPr>
          <w:rFonts w:ascii="Arial" w:hAnsi="Arial" w:cs="Arial"/>
          <w:b/>
        </w:rPr>
        <w:t>3.8 Cash and cash equivalents</w:t>
      </w:r>
    </w:p>
    <w:p w14:paraId="2669EE10"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b/>
        </w:rPr>
      </w:pPr>
    </w:p>
    <w:p w14:paraId="48DE973B"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Cash comprises cash in-hand and on-demand deposits.</w:t>
      </w:r>
    </w:p>
    <w:p w14:paraId="1E5C8DD9"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p>
    <w:p w14:paraId="5FBA8862" w14:textId="77777777" w:rsidR="00F753E8" w:rsidRPr="008A0A4E" w:rsidRDefault="00F753E8" w:rsidP="00F753E8">
      <w:pPr>
        <w:pStyle w:val="ListParagraph"/>
        <w:tabs>
          <w:tab w:val="left" w:pos="709"/>
          <w:tab w:val="left" w:pos="1134"/>
        </w:tabs>
        <w:spacing w:after="0" w:line="240" w:lineRule="auto"/>
        <w:ind w:left="426" w:hanging="426"/>
        <w:jc w:val="both"/>
        <w:rPr>
          <w:rFonts w:ascii="Arial" w:hAnsi="Arial" w:cs="Arial"/>
        </w:rPr>
      </w:pPr>
      <w:r w:rsidRPr="008A0A4E">
        <w:rPr>
          <w:rFonts w:ascii="Arial" w:hAnsi="Arial" w:cs="Arial"/>
        </w:rPr>
        <w:tab/>
        <w:t>Cash equivalents are short-term, highly liquid investments that are readily convertible to known amounts of cash and that are subject to minimal risk of changes in value.</w:t>
      </w:r>
    </w:p>
    <w:p w14:paraId="120F0D8B" w14:textId="77777777" w:rsidR="00F753E8" w:rsidRPr="008A0A4E" w:rsidRDefault="00F753E8" w:rsidP="00F753E8">
      <w:pPr>
        <w:ind w:left="426" w:hanging="426"/>
        <w:jc w:val="both"/>
        <w:rPr>
          <w:rFonts w:ascii="Arial" w:hAnsi="Arial" w:cs="Arial"/>
          <w:sz w:val="22"/>
          <w:szCs w:val="22"/>
          <w:lang w:eastAsia="en-US"/>
        </w:rPr>
      </w:pPr>
    </w:p>
    <w:p w14:paraId="66873D39" w14:textId="77777777" w:rsidR="00F753E8" w:rsidRPr="008A0A4E" w:rsidRDefault="00F753E8" w:rsidP="00F753E8">
      <w:pPr>
        <w:pStyle w:val="ListParagraph"/>
        <w:tabs>
          <w:tab w:val="left" w:pos="0"/>
          <w:tab w:val="left" w:pos="567"/>
        </w:tabs>
        <w:spacing w:after="0" w:line="240" w:lineRule="auto"/>
        <w:ind w:left="426" w:hanging="426"/>
        <w:jc w:val="both"/>
        <w:rPr>
          <w:rFonts w:ascii="Arial" w:hAnsi="Arial" w:cs="Arial"/>
          <w:b/>
        </w:rPr>
      </w:pPr>
      <w:r w:rsidRPr="008A0A4E">
        <w:rPr>
          <w:rFonts w:ascii="Arial" w:hAnsi="Arial" w:cs="Arial"/>
          <w:b/>
        </w:rPr>
        <w:t>3.9</w:t>
      </w:r>
      <w:r w:rsidRPr="008A0A4E">
        <w:rPr>
          <w:rFonts w:ascii="Arial" w:hAnsi="Arial" w:cs="Arial"/>
          <w:b/>
        </w:rPr>
        <w:tab/>
        <w:t>Present Value of Liabilities</w:t>
      </w:r>
    </w:p>
    <w:p w14:paraId="6D44A898" w14:textId="77777777" w:rsidR="00F753E8" w:rsidRPr="008A0A4E" w:rsidRDefault="00F753E8" w:rsidP="00F753E8">
      <w:pPr>
        <w:autoSpaceDE w:val="0"/>
        <w:autoSpaceDN w:val="0"/>
        <w:adjustRightInd w:val="0"/>
        <w:ind w:left="426" w:hanging="426"/>
        <w:jc w:val="both"/>
        <w:rPr>
          <w:rFonts w:ascii="Arial" w:hAnsi="Arial" w:cs="Arial"/>
          <w:b/>
          <w:sz w:val="22"/>
          <w:szCs w:val="22"/>
        </w:rPr>
      </w:pPr>
    </w:p>
    <w:p w14:paraId="7E04B6D7" w14:textId="77777777" w:rsidR="00F753E8" w:rsidRPr="008A0A4E" w:rsidRDefault="00F753E8" w:rsidP="00F753E8">
      <w:pPr>
        <w:autoSpaceDE w:val="0"/>
        <w:autoSpaceDN w:val="0"/>
        <w:adjustRightInd w:val="0"/>
        <w:ind w:left="426"/>
        <w:jc w:val="both"/>
        <w:rPr>
          <w:rFonts w:ascii="Arial" w:eastAsia="Calibri" w:hAnsi="Arial" w:cs="Arial"/>
          <w:sz w:val="22"/>
          <w:szCs w:val="22"/>
        </w:rPr>
      </w:pPr>
      <w:r w:rsidRPr="008A0A4E">
        <w:rPr>
          <w:rFonts w:ascii="Arial" w:eastAsia="Calibri" w:hAnsi="Arial" w:cs="Arial"/>
          <w:sz w:val="22"/>
          <w:szCs w:val="22"/>
        </w:rPr>
        <w:t>These accounts do not include the Fund’s liabilities to pay pensions and other benefits, in the future, to all the present contributors to the Fund.  These liabilities are taken account of in the periodic actuarial valuations of the Fund and are reflected in the levels of employers’ contributions determined at these valuations.</w:t>
      </w:r>
    </w:p>
    <w:p w14:paraId="15E75E67" w14:textId="77777777" w:rsidR="00F753E8" w:rsidRPr="008A0A4E" w:rsidRDefault="00F753E8" w:rsidP="00F753E8">
      <w:pPr>
        <w:autoSpaceDE w:val="0"/>
        <w:autoSpaceDN w:val="0"/>
        <w:adjustRightInd w:val="0"/>
        <w:ind w:left="426"/>
        <w:jc w:val="both"/>
        <w:rPr>
          <w:rFonts w:ascii="Arial" w:eastAsia="Calibri" w:hAnsi="Arial" w:cs="Arial"/>
          <w:sz w:val="22"/>
          <w:szCs w:val="22"/>
        </w:rPr>
      </w:pPr>
    </w:p>
    <w:p w14:paraId="681D587A" w14:textId="77777777" w:rsidR="00F753E8" w:rsidRPr="008A0A4E" w:rsidRDefault="00F753E8" w:rsidP="00F753E8">
      <w:pPr>
        <w:tabs>
          <w:tab w:val="left" w:pos="567"/>
          <w:tab w:val="left" w:pos="1134"/>
        </w:tabs>
        <w:ind w:left="426" w:hanging="426"/>
        <w:jc w:val="both"/>
        <w:rPr>
          <w:rFonts w:ascii="Arial" w:hAnsi="Arial" w:cs="Arial"/>
          <w:b/>
          <w:sz w:val="22"/>
          <w:szCs w:val="22"/>
        </w:rPr>
      </w:pPr>
      <w:r w:rsidRPr="008A0A4E">
        <w:rPr>
          <w:rFonts w:ascii="Arial" w:hAnsi="Arial" w:cs="Arial"/>
          <w:b/>
          <w:bCs/>
          <w:sz w:val="22"/>
          <w:szCs w:val="22"/>
        </w:rPr>
        <w:t>3.10</w:t>
      </w:r>
      <w:r w:rsidRPr="008A0A4E">
        <w:rPr>
          <w:rFonts w:ascii="Arial" w:hAnsi="Arial" w:cs="Arial"/>
          <w:b/>
          <w:bCs/>
          <w:sz w:val="22"/>
          <w:szCs w:val="22"/>
        </w:rPr>
        <w:tab/>
        <w:t>Actuarial present value of promised retirement benefits (see note 20)</w:t>
      </w:r>
    </w:p>
    <w:p w14:paraId="48D82FF7" w14:textId="77777777" w:rsidR="00F753E8" w:rsidRPr="008A0A4E" w:rsidRDefault="00F753E8" w:rsidP="00F753E8">
      <w:pPr>
        <w:pStyle w:val="Default"/>
        <w:ind w:left="426" w:hanging="426"/>
        <w:rPr>
          <w:sz w:val="22"/>
          <w:szCs w:val="22"/>
        </w:rPr>
      </w:pPr>
    </w:p>
    <w:p w14:paraId="28B4E2EF" w14:textId="77777777" w:rsidR="00F753E8" w:rsidRPr="008A0A4E" w:rsidRDefault="00F753E8" w:rsidP="00F753E8">
      <w:pPr>
        <w:pStyle w:val="Default"/>
        <w:ind w:left="426"/>
        <w:jc w:val="both"/>
        <w:rPr>
          <w:sz w:val="22"/>
          <w:szCs w:val="22"/>
        </w:rPr>
      </w:pPr>
      <w:r w:rsidRPr="008A0A4E">
        <w:rPr>
          <w:sz w:val="22"/>
          <w:szCs w:val="22"/>
        </w:rPr>
        <w:t xml:space="preserve">The actuarial present value of promised retirement benefits is assessed on a triennial basis by the Scheme actuary in accordance with the requirements of IAS 19 and relevant actuarial standards. </w:t>
      </w:r>
    </w:p>
    <w:p w14:paraId="3E72BA40" w14:textId="77777777" w:rsidR="00F753E8" w:rsidRPr="008A0A4E" w:rsidRDefault="00F753E8" w:rsidP="00F753E8">
      <w:pPr>
        <w:pStyle w:val="Default"/>
        <w:ind w:left="426" w:hanging="426"/>
        <w:jc w:val="both"/>
        <w:rPr>
          <w:sz w:val="22"/>
          <w:szCs w:val="22"/>
        </w:rPr>
      </w:pPr>
    </w:p>
    <w:p w14:paraId="525FF168" w14:textId="77777777" w:rsidR="00F753E8" w:rsidRPr="008A0A4E" w:rsidRDefault="00F753E8" w:rsidP="00F753E8">
      <w:pPr>
        <w:autoSpaceDE w:val="0"/>
        <w:autoSpaceDN w:val="0"/>
        <w:adjustRightInd w:val="0"/>
        <w:ind w:left="426"/>
        <w:jc w:val="both"/>
        <w:rPr>
          <w:rFonts w:ascii="Arial" w:eastAsia="Calibri" w:hAnsi="Arial" w:cs="Arial"/>
          <w:sz w:val="22"/>
          <w:szCs w:val="22"/>
        </w:rPr>
      </w:pPr>
      <w:r w:rsidRPr="008A0A4E">
        <w:rPr>
          <w:rFonts w:ascii="Arial" w:hAnsi="Arial" w:cs="Arial"/>
          <w:sz w:val="22"/>
          <w:szCs w:val="22"/>
        </w:rPr>
        <w:t xml:space="preserve">As permitted under IAS 26, the Fund has opted to disclose the actuarial present value of promised retirement benefits by way of a note to the Net Assets Statement </w:t>
      </w:r>
    </w:p>
    <w:p w14:paraId="45BCF98C" w14:textId="77777777" w:rsidR="00F753E8" w:rsidRPr="008A0A4E" w:rsidRDefault="00F753E8" w:rsidP="00F753E8">
      <w:pPr>
        <w:autoSpaceDE w:val="0"/>
        <w:autoSpaceDN w:val="0"/>
        <w:adjustRightInd w:val="0"/>
        <w:ind w:left="426" w:hanging="426"/>
        <w:jc w:val="both"/>
        <w:rPr>
          <w:rFonts w:ascii="Arial" w:hAnsi="Arial" w:cs="Arial"/>
          <w:sz w:val="22"/>
          <w:szCs w:val="22"/>
        </w:rPr>
      </w:pPr>
    </w:p>
    <w:p w14:paraId="7DBE56BC" w14:textId="77777777" w:rsidR="00F753E8" w:rsidRPr="008A0A4E" w:rsidRDefault="00F753E8" w:rsidP="00F753E8">
      <w:pPr>
        <w:pStyle w:val="ListParagraph"/>
        <w:tabs>
          <w:tab w:val="left" w:pos="567"/>
        </w:tabs>
        <w:spacing w:after="0" w:line="240" w:lineRule="auto"/>
        <w:ind w:left="426" w:hanging="426"/>
        <w:jc w:val="both"/>
        <w:rPr>
          <w:rFonts w:ascii="Arial" w:hAnsi="Arial" w:cs="Arial"/>
          <w:b/>
          <w:color w:val="000000"/>
        </w:rPr>
      </w:pPr>
      <w:r w:rsidRPr="008A0A4E">
        <w:rPr>
          <w:rFonts w:ascii="Arial" w:hAnsi="Arial" w:cs="Arial"/>
          <w:b/>
          <w:color w:val="000000"/>
        </w:rPr>
        <w:t>3.11</w:t>
      </w:r>
      <w:r w:rsidRPr="008A0A4E">
        <w:rPr>
          <w:rFonts w:ascii="Arial" w:hAnsi="Arial" w:cs="Arial"/>
          <w:b/>
          <w:color w:val="000000"/>
        </w:rPr>
        <w:tab/>
        <w:t>Contingent assets and liabilities</w:t>
      </w:r>
    </w:p>
    <w:p w14:paraId="0A125333" w14:textId="77777777" w:rsidR="00F753E8" w:rsidRPr="008A0A4E" w:rsidRDefault="00F753E8" w:rsidP="00F753E8">
      <w:pPr>
        <w:ind w:left="426" w:right="-149" w:hanging="426"/>
        <w:rPr>
          <w:rFonts w:ascii="Arial" w:hAnsi="Arial" w:cs="Arial"/>
          <w:b/>
          <w:color w:val="9966FF"/>
          <w:sz w:val="22"/>
          <w:szCs w:val="22"/>
        </w:rPr>
      </w:pPr>
    </w:p>
    <w:p w14:paraId="7C0E8A64" w14:textId="77777777" w:rsidR="00F753E8" w:rsidRPr="008A0A4E" w:rsidRDefault="00F753E8" w:rsidP="00F753E8">
      <w:pPr>
        <w:tabs>
          <w:tab w:val="left" w:pos="1134"/>
        </w:tabs>
        <w:ind w:left="426" w:hanging="426"/>
        <w:jc w:val="both"/>
        <w:rPr>
          <w:rFonts w:ascii="Arial" w:hAnsi="Arial" w:cs="Arial"/>
          <w:sz w:val="22"/>
          <w:szCs w:val="22"/>
        </w:rPr>
      </w:pPr>
      <w:r w:rsidRPr="008A0A4E">
        <w:rPr>
          <w:rFonts w:ascii="Arial" w:hAnsi="Arial" w:cs="Arial"/>
          <w:sz w:val="22"/>
          <w:szCs w:val="22"/>
        </w:rPr>
        <w:tab/>
        <w:t xml:space="preserve">Contingent assets and liabilities are not recognised in the Fund’s Balance Sheet but are disclosed as a note to the accounts.  They arise </w:t>
      </w:r>
      <w:proofErr w:type="gramStart"/>
      <w:r w:rsidRPr="008A0A4E">
        <w:rPr>
          <w:rFonts w:ascii="Arial" w:hAnsi="Arial" w:cs="Arial"/>
          <w:sz w:val="22"/>
          <w:szCs w:val="22"/>
        </w:rPr>
        <w:t>as a result of</w:t>
      </w:r>
      <w:proofErr w:type="gramEnd"/>
      <w:r w:rsidRPr="008A0A4E">
        <w:rPr>
          <w:rFonts w:ascii="Arial" w:hAnsi="Arial" w:cs="Arial"/>
          <w:sz w:val="22"/>
          <w:szCs w:val="22"/>
        </w:rPr>
        <w:t xml:space="preserve"> past events but are only confirmed by the occurrence of one or more uncertain future events which are not entirely within the Fund’s control.</w:t>
      </w:r>
    </w:p>
    <w:p w14:paraId="54E00760" w14:textId="77777777" w:rsidR="00F753E8" w:rsidRPr="008A0A4E" w:rsidRDefault="00F753E8" w:rsidP="00F753E8">
      <w:pPr>
        <w:tabs>
          <w:tab w:val="left" w:pos="1134"/>
        </w:tabs>
        <w:ind w:left="426" w:hanging="426"/>
        <w:jc w:val="both"/>
        <w:rPr>
          <w:rFonts w:ascii="Arial" w:hAnsi="Arial" w:cs="Arial"/>
          <w:sz w:val="22"/>
          <w:szCs w:val="22"/>
        </w:rPr>
      </w:pPr>
    </w:p>
    <w:p w14:paraId="3187E131" w14:textId="77777777" w:rsidR="00F753E8" w:rsidRPr="008A0A4E" w:rsidRDefault="00F753E8" w:rsidP="00F753E8">
      <w:pPr>
        <w:tabs>
          <w:tab w:val="left" w:pos="1134"/>
        </w:tabs>
        <w:ind w:left="426" w:hanging="426"/>
        <w:jc w:val="both"/>
        <w:rPr>
          <w:rFonts w:ascii="Arial" w:hAnsi="Arial" w:cs="Arial"/>
          <w:sz w:val="22"/>
          <w:szCs w:val="22"/>
        </w:rPr>
      </w:pPr>
      <w:r w:rsidRPr="008A0A4E">
        <w:rPr>
          <w:rFonts w:ascii="Arial" w:hAnsi="Arial" w:cs="Arial"/>
          <w:sz w:val="22"/>
          <w:szCs w:val="22"/>
        </w:rPr>
        <w:tab/>
        <w:t>Contingent liabilities arise from a present obligation arising from past events but only where it is not probable that a transfer of economic benefits will be required to settle the obligation or where the amount of the obligation cannot be measured with sufficient reliability.</w:t>
      </w:r>
    </w:p>
    <w:p w14:paraId="44D6DD2E" w14:textId="77777777" w:rsidR="00F753E8" w:rsidRPr="008A0A4E" w:rsidRDefault="00F753E8" w:rsidP="00F753E8">
      <w:pPr>
        <w:pStyle w:val="ListParagraph"/>
        <w:ind w:left="360"/>
        <w:jc w:val="both"/>
        <w:rPr>
          <w:rFonts w:ascii="Arial" w:hAnsi="Arial" w:cs="Arial"/>
          <w:b/>
        </w:rPr>
      </w:pPr>
    </w:p>
    <w:p w14:paraId="01F01963" w14:textId="77777777" w:rsidR="00F753E8" w:rsidRPr="008A0A4E" w:rsidRDefault="00F753E8" w:rsidP="007337FE">
      <w:pPr>
        <w:pStyle w:val="ListParagraph"/>
        <w:numPr>
          <w:ilvl w:val="0"/>
          <w:numId w:val="90"/>
        </w:numPr>
        <w:ind w:left="502"/>
        <w:jc w:val="both"/>
        <w:rPr>
          <w:rFonts w:ascii="Arial" w:hAnsi="Arial" w:cs="Arial"/>
          <w:b/>
        </w:rPr>
      </w:pPr>
      <w:r w:rsidRPr="008A0A4E">
        <w:rPr>
          <w:rFonts w:ascii="Arial" w:hAnsi="Arial" w:cs="Arial"/>
          <w:b/>
        </w:rPr>
        <w:t xml:space="preserve">Critical Judgements in applying accounting </w:t>
      </w:r>
      <w:proofErr w:type="gramStart"/>
      <w:r w:rsidRPr="008A0A4E">
        <w:rPr>
          <w:rFonts w:ascii="Arial" w:hAnsi="Arial" w:cs="Arial"/>
          <w:b/>
        </w:rPr>
        <w:t>policies</w:t>
      </w:r>
      <w:proofErr w:type="gramEnd"/>
    </w:p>
    <w:p w14:paraId="730A9F1D" w14:textId="77777777" w:rsidR="00F753E8" w:rsidRPr="008A0A4E" w:rsidRDefault="00F753E8" w:rsidP="00F753E8">
      <w:pPr>
        <w:ind w:left="426" w:hanging="426"/>
        <w:jc w:val="both"/>
        <w:rPr>
          <w:rFonts w:ascii="Arial" w:hAnsi="Arial" w:cs="Arial"/>
          <w:sz w:val="22"/>
          <w:szCs w:val="22"/>
          <w:lang w:eastAsia="en-US"/>
        </w:rPr>
      </w:pPr>
      <w:r w:rsidRPr="008A0A4E">
        <w:rPr>
          <w:rFonts w:ascii="Arial" w:hAnsi="Arial" w:cs="Arial"/>
          <w:b/>
          <w:sz w:val="22"/>
          <w:szCs w:val="22"/>
          <w:lang w:eastAsia="en-US"/>
        </w:rPr>
        <w:tab/>
      </w:r>
      <w:r w:rsidRPr="008A0A4E">
        <w:rPr>
          <w:rFonts w:ascii="Arial" w:hAnsi="Arial" w:cs="Arial"/>
          <w:sz w:val="22"/>
          <w:szCs w:val="22"/>
          <w:lang w:eastAsia="en-US"/>
        </w:rPr>
        <w:t xml:space="preserve">In applying the accounting policies set out in </w:t>
      </w:r>
      <w:r w:rsidRPr="00105B8F">
        <w:rPr>
          <w:rFonts w:ascii="Arial" w:hAnsi="Arial" w:cs="Arial"/>
          <w:sz w:val="22"/>
          <w:szCs w:val="22"/>
          <w:lang w:eastAsia="en-US"/>
        </w:rPr>
        <w:t>Note 3,</w:t>
      </w:r>
      <w:r w:rsidRPr="008A0A4E">
        <w:rPr>
          <w:rFonts w:ascii="Arial" w:hAnsi="Arial" w:cs="Arial"/>
          <w:sz w:val="22"/>
          <w:szCs w:val="22"/>
          <w:lang w:eastAsia="en-US"/>
        </w:rPr>
        <w:t xml:space="preserve"> the Fund has had to make certain judgements about complex transactions or those involving uncertainty about future events.  </w:t>
      </w:r>
    </w:p>
    <w:p w14:paraId="7987058F" w14:textId="77777777" w:rsidR="00F753E8" w:rsidRPr="008A0A4E" w:rsidRDefault="00F753E8" w:rsidP="00F753E8">
      <w:pPr>
        <w:ind w:left="426" w:hanging="426"/>
        <w:jc w:val="both"/>
        <w:rPr>
          <w:rFonts w:ascii="Arial" w:hAnsi="Arial" w:cs="Arial"/>
          <w:sz w:val="22"/>
          <w:szCs w:val="22"/>
          <w:lang w:eastAsia="en-US"/>
        </w:rPr>
      </w:pPr>
      <w:r w:rsidRPr="008A0A4E">
        <w:rPr>
          <w:rFonts w:ascii="Arial" w:hAnsi="Arial" w:cs="Arial"/>
          <w:sz w:val="22"/>
          <w:szCs w:val="22"/>
          <w:lang w:eastAsia="en-US"/>
        </w:rPr>
        <w:tab/>
      </w:r>
    </w:p>
    <w:p w14:paraId="4BED309D" w14:textId="77777777" w:rsidR="00F753E8" w:rsidRDefault="00F753E8" w:rsidP="00F753E8">
      <w:pPr>
        <w:ind w:left="426" w:hanging="426"/>
        <w:jc w:val="both"/>
        <w:rPr>
          <w:rFonts w:ascii="Arial" w:hAnsi="Arial" w:cs="Arial"/>
          <w:sz w:val="22"/>
          <w:szCs w:val="22"/>
        </w:rPr>
      </w:pPr>
      <w:r w:rsidRPr="008A0A4E">
        <w:rPr>
          <w:rFonts w:ascii="Arial" w:hAnsi="Arial" w:cs="Arial"/>
          <w:sz w:val="22"/>
          <w:szCs w:val="22"/>
          <w:lang w:eastAsia="en-US"/>
        </w:rPr>
        <w:tab/>
        <w:t xml:space="preserve">A critical judgement made within the accounts is for the </w:t>
      </w:r>
      <w:r w:rsidRPr="008A0A4E">
        <w:rPr>
          <w:rFonts w:ascii="Arial" w:hAnsi="Arial" w:cs="Arial"/>
          <w:sz w:val="22"/>
          <w:szCs w:val="22"/>
        </w:rPr>
        <w:t xml:space="preserve">Pension Fund liability, which is calculated every three years by the appointed Actuary and is included in Note 20 but is not included in the net asset statement. The methodology used is in line with accepted guidelines. Assumptions underpinning the valuations are agreed with the Actuary and are summarised in Note </w:t>
      </w:r>
      <w:r w:rsidRPr="00F928FC">
        <w:rPr>
          <w:rFonts w:ascii="Arial" w:hAnsi="Arial" w:cs="Arial"/>
          <w:sz w:val="22"/>
          <w:szCs w:val="22"/>
        </w:rPr>
        <w:t>2</w:t>
      </w:r>
      <w:r>
        <w:rPr>
          <w:rFonts w:ascii="Arial" w:hAnsi="Arial" w:cs="Arial"/>
          <w:sz w:val="22"/>
          <w:szCs w:val="22"/>
        </w:rPr>
        <w:t>0</w:t>
      </w:r>
      <w:r w:rsidRPr="008A0A4E">
        <w:rPr>
          <w:rFonts w:ascii="Arial" w:hAnsi="Arial" w:cs="Arial"/>
          <w:sz w:val="22"/>
          <w:szCs w:val="22"/>
        </w:rPr>
        <w:t>. This estimate is subject to significant variances based on changes to the underlying assumptions.</w:t>
      </w:r>
    </w:p>
    <w:p w14:paraId="656EE601" w14:textId="77777777" w:rsidR="00F753E8" w:rsidRDefault="00F753E8" w:rsidP="00F753E8">
      <w:pPr>
        <w:ind w:left="426" w:hanging="426"/>
        <w:jc w:val="both"/>
        <w:rPr>
          <w:rFonts w:ascii="Arial" w:hAnsi="Arial" w:cs="Arial"/>
          <w:sz w:val="22"/>
          <w:szCs w:val="22"/>
        </w:rPr>
      </w:pPr>
    </w:p>
    <w:p w14:paraId="6A7A8E93" w14:textId="77777777" w:rsidR="00F753E8" w:rsidRPr="00CF601D" w:rsidRDefault="00F753E8" w:rsidP="00F753E8">
      <w:pPr>
        <w:ind w:left="852" w:hanging="426"/>
        <w:jc w:val="both"/>
        <w:rPr>
          <w:rFonts w:ascii="Arial" w:hAnsi="Arial" w:cs="Arial"/>
          <w:sz w:val="22"/>
          <w:szCs w:val="22"/>
          <w:u w:val="single"/>
        </w:rPr>
      </w:pPr>
      <w:r w:rsidRPr="00CF601D">
        <w:rPr>
          <w:rFonts w:ascii="Arial" w:hAnsi="Arial" w:cs="Arial"/>
          <w:sz w:val="22"/>
          <w:szCs w:val="22"/>
          <w:u w:val="single"/>
        </w:rPr>
        <w:t>Unquoted investments</w:t>
      </w:r>
    </w:p>
    <w:p w14:paraId="7ABC91EA" w14:textId="77777777" w:rsidR="00F753E8" w:rsidRDefault="00F753E8" w:rsidP="00F753E8">
      <w:pPr>
        <w:ind w:left="426" w:hanging="426"/>
        <w:jc w:val="both"/>
        <w:rPr>
          <w:rFonts w:ascii="Arial" w:hAnsi="Arial" w:cs="Arial"/>
          <w:sz w:val="22"/>
          <w:szCs w:val="22"/>
        </w:rPr>
      </w:pPr>
    </w:p>
    <w:p w14:paraId="2F36A928" w14:textId="77777777" w:rsidR="00F753E8" w:rsidRDefault="00F753E8" w:rsidP="00F753E8">
      <w:pPr>
        <w:ind w:left="426"/>
        <w:jc w:val="both"/>
        <w:rPr>
          <w:rFonts w:ascii="Arial" w:hAnsi="Arial" w:cs="Arial"/>
          <w:b/>
          <w:sz w:val="22"/>
          <w:szCs w:val="22"/>
        </w:rPr>
      </w:pPr>
      <w:r>
        <w:rPr>
          <w:rFonts w:ascii="Arial" w:hAnsi="Arial" w:cs="Arial"/>
          <w:sz w:val="22"/>
          <w:szCs w:val="22"/>
        </w:rPr>
        <w:t>Determining the fair value of unquoted investments (</w:t>
      </w:r>
      <w:r w:rsidRPr="008A0A4E">
        <w:rPr>
          <w:rFonts w:ascii="Arial" w:hAnsi="Arial" w:cs="Arial"/>
          <w:sz w:val="22"/>
          <w:szCs w:val="22"/>
        </w:rPr>
        <w:t>unquoted equity investments and hedge fund or funds</w:t>
      </w:r>
      <w:r>
        <w:rPr>
          <w:rFonts w:ascii="Arial" w:hAnsi="Arial" w:cs="Arial"/>
          <w:sz w:val="22"/>
          <w:szCs w:val="22"/>
        </w:rPr>
        <w:t>) can be</w:t>
      </w:r>
      <w:r w:rsidRPr="00CF601D">
        <w:rPr>
          <w:rFonts w:ascii="Arial" w:hAnsi="Arial" w:cs="Arial"/>
          <w:sz w:val="22"/>
          <w:szCs w:val="22"/>
        </w:rPr>
        <w:t xml:space="preserve"> subjective. They are inherently based on forward-looking estimates and judgements involving many factors including the impact of market volatility following the COVID-19 outbreak. Unquoted investments are valued by the investment managers</w:t>
      </w:r>
      <w:r>
        <w:rPr>
          <w:rFonts w:ascii="Arial" w:hAnsi="Arial" w:cs="Arial"/>
          <w:sz w:val="22"/>
          <w:szCs w:val="22"/>
        </w:rPr>
        <w:t>.</w:t>
      </w:r>
      <w:r w:rsidRPr="008A0A4E">
        <w:rPr>
          <w:rFonts w:ascii="Arial" w:hAnsi="Arial" w:cs="Arial"/>
          <w:color w:val="000000"/>
          <w:sz w:val="22"/>
          <w:szCs w:val="22"/>
        </w:rPr>
        <w:t xml:space="preserve"> </w:t>
      </w:r>
      <w:r w:rsidRPr="008A0A4E">
        <w:rPr>
          <w:rFonts w:ascii="Arial" w:hAnsi="Arial" w:cs="Arial"/>
          <w:sz w:val="22"/>
          <w:szCs w:val="22"/>
        </w:rPr>
        <w:t xml:space="preserve">The total financial instruments held by the </w:t>
      </w:r>
      <w:r w:rsidRPr="006077E8">
        <w:rPr>
          <w:rFonts w:ascii="Arial" w:hAnsi="Arial" w:cs="Arial"/>
          <w:sz w:val="22"/>
          <w:szCs w:val="22"/>
        </w:rPr>
        <w:t xml:space="preserve">Fund at </w:t>
      </w:r>
      <w:r w:rsidRPr="006077E8">
        <w:rPr>
          <w:rFonts w:ascii="Arial" w:hAnsi="Arial" w:cs="Arial"/>
          <w:b/>
          <w:sz w:val="22"/>
          <w:szCs w:val="22"/>
        </w:rPr>
        <w:t xml:space="preserve">Level 3 </w:t>
      </w:r>
      <w:r w:rsidRPr="00B36C5F">
        <w:rPr>
          <w:rFonts w:ascii="Arial" w:hAnsi="Arial" w:cs="Arial"/>
          <w:b/>
          <w:sz w:val="22"/>
          <w:szCs w:val="22"/>
        </w:rPr>
        <w:t>were £243.1m.</w:t>
      </w:r>
    </w:p>
    <w:p w14:paraId="5F0433C7" w14:textId="77777777" w:rsidR="00F753E8" w:rsidRDefault="00F753E8" w:rsidP="00F753E8">
      <w:pPr>
        <w:ind w:left="426"/>
        <w:jc w:val="both"/>
        <w:rPr>
          <w:rFonts w:ascii="Arial" w:hAnsi="Arial" w:cs="Arial"/>
          <w:b/>
          <w:sz w:val="22"/>
          <w:szCs w:val="22"/>
        </w:rPr>
      </w:pPr>
    </w:p>
    <w:p w14:paraId="3F4347BD" w14:textId="77777777" w:rsidR="00F753E8" w:rsidRPr="00C04BFC" w:rsidRDefault="00F753E8" w:rsidP="007337FE">
      <w:pPr>
        <w:pStyle w:val="ListParagraph"/>
        <w:numPr>
          <w:ilvl w:val="0"/>
          <w:numId w:val="90"/>
        </w:numPr>
        <w:spacing w:after="0" w:line="240" w:lineRule="auto"/>
        <w:ind w:left="426" w:hanging="426"/>
        <w:jc w:val="both"/>
        <w:rPr>
          <w:rFonts w:ascii="Arial" w:hAnsi="Arial" w:cs="Arial"/>
          <w:b/>
        </w:rPr>
      </w:pPr>
      <w:r w:rsidRPr="008A0A4E">
        <w:rPr>
          <w:rFonts w:ascii="Arial" w:hAnsi="Arial" w:cs="Arial"/>
          <w:b/>
          <w:bCs/>
        </w:rPr>
        <w:t xml:space="preserve">Assumptions made about the future and other major sources of estimation </w:t>
      </w:r>
      <w:proofErr w:type="gramStart"/>
      <w:r w:rsidRPr="008A0A4E">
        <w:rPr>
          <w:rFonts w:ascii="Arial" w:hAnsi="Arial" w:cs="Arial"/>
          <w:b/>
          <w:bCs/>
        </w:rPr>
        <w:t>uncertainty</w:t>
      </w:r>
      <w:proofErr w:type="gramEnd"/>
      <w:r w:rsidRPr="008A0A4E">
        <w:rPr>
          <w:rFonts w:ascii="Arial" w:hAnsi="Arial" w:cs="Arial"/>
          <w:b/>
          <w:bCs/>
        </w:rPr>
        <w:t xml:space="preserve"> </w:t>
      </w:r>
    </w:p>
    <w:p w14:paraId="1323ED76" w14:textId="77777777" w:rsidR="00F753E8" w:rsidRPr="00C76397" w:rsidRDefault="00F753E8" w:rsidP="00F753E8">
      <w:pPr>
        <w:pStyle w:val="ListParagraph"/>
        <w:spacing w:after="0" w:line="240" w:lineRule="auto"/>
        <w:ind w:left="426" w:hanging="426"/>
        <w:jc w:val="both"/>
        <w:rPr>
          <w:rFonts w:ascii="Arial" w:hAnsi="Arial" w:cs="Arial"/>
          <w:b/>
        </w:rPr>
      </w:pPr>
    </w:p>
    <w:p w14:paraId="64598C80" w14:textId="77777777" w:rsidR="00F753E8" w:rsidRPr="008A0A4E" w:rsidRDefault="00F753E8" w:rsidP="00F753E8">
      <w:pPr>
        <w:pStyle w:val="Default"/>
        <w:ind w:left="426" w:hanging="426"/>
        <w:jc w:val="both"/>
        <w:rPr>
          <w:sz w:val="22"/>
          <w:szCs w:val="22"/>
        </w:rPr>
      </w:pPr>
      <w:r w:rsidRPr="008A0A4E">
        <w:rPr>
          <w:sz w:val="22"/>
          <w:szCs w:val="22"/>
        </w:rPr>
        <w:tab/>
        <w:t xml:space="preserve">The Statement of Accounts contains estimated figures that are based on assumptions made by the Fund about the future or that are otherwise uncertain. Estimates are made taking into consideration historical experience, current </w:t>
      </w:r>
      <w:proofErr w:type="gramStart"/>
      <w:r w:rsidRPr="008A0A4E">
        <w:rPr>
          <w:sz w:val="22"/>
          <w:szCs w:val="22"/>
        </w:rPr>
        <w:t>trends</w:t>
      </w:r>
      <w:proofErr w:type="gramEnd"/>
      <w:r w:rsidRPr="008A0A4E">
        <w:rPr>
          <w:sz w:val="22"/>
          <w:szCs w:val="22"/>
        </w:rPr>
        <w:t xml:space="preserve"> and other relevant factors. However, as balances cannot be determined with certainty, actual results could be materially different from the assumptions and estimates. There were no items in the Statement of Accounts 20</w:t>
      </w:r>
      <w:r>
        <w:rPr>
          <w:sz w:val="22"/>
          <w:szCs w:val="22"/>
        </w:rPr>
        <w:t>20/21</w:t>
      </w:r>
      <w:r w:rsidRPr="008A0A4E">
        <w:rPr>
          <w:sz w:val="22"/>
          <w:szCs w:val="22"/>
        </w:rPr>
        <w:t xml:space="preserve"> for which there is a significant risk of material adjustment in the forthcoming financial years.</w:t>
      </w:r>
    </w:p>
    <w:p w14:paraId="5A6FF306" w14:textId="77777777" w:rsidR="00F753E8" w:rsidRPr="008A0A4E" w:rsidRDefault="00F753E8" w:rsidP="00F753E8">
      <w:pPr>
        <w:pStyle w:val="Default"/>
        <w:ind w:left="426" w:hanging="426"/>
        <w:jc w:val="both"/>
        <w:rPr>
          <w:sz w:val="22"/>
          <w:szCs w:val="22"/>
        </w:rPr>
      </w:pPr>
    </w:p>
    <w:p w14:paraId="13CB15EF" w14:textId="77777777" w:rsidR="00F753E8" w:rsidRPr="008A0A4E" w:rsidRDefault="00F753E8" w:rsidP="00F753E8">
      <w:pPr>
        <w:pStyle w:val="Default"/>
        <w:ind w:left="426" w:hanging="426"/>
        <w:jc w:val="both"/>
        <w:rPr>
          <w:sz w:val="22"/>
          <w:szCs w:val="22"/>
        </w:rPr>
      </w:pPr>
      <w:r w:rsidRPr="008A0A4E">
        <w:rPr>
          <w:sz w:val="22"/>
          <w:szCs w:val="22"/>
        </w:rPr>
        <w:tab/>
        <w:t>All</w:t>
      </w:r>
      <w:r w:rsidRPr="00F928FC">
        <w:rPr>
          <w:sz w:val="22"/>
          <w:szCs w:val="22"/>
        </w:rPr>
        <w:t xml:space="preserve"> investments are measured at fair value and by necessity</w:t>
      </w:r>
      <w:r>
        <w:rPr>
          <w:sz w:val="22"/>
          <w:szCs w:val="22"/>
        </w:rPr>
        <w:t>,</w:t>
      </w:r>
      <w:r w:rsidRPr="00F928FC">
        <w:rPr>
          <w:sz w:val="22"/>
          <w:szCs w:val="22"/>
        </w:rPr>
        <w:t xml:space="preserve"> unquoted investments involve a degree of estimation</w:t>
      </w:r>
      <w:r w:rsidRPr="0009167A">
        <w:rPr>
          <w:sz w:val="22"/>
          <w:szCs w:val="22"/>
        </w:rPr>
        <w:t>. Notes 14 and 21</w:t>
      </w:r>
      <w:r w:rsidRPr="00F928FC">
        <w:rPr>
          <w:sz w:val="22"/>
          <w:szCs w:val="22"/>
        </w:rPr>
        <w:t xml:space="preserve"> provide information about valuation methodology and the assumptions made in deriving the estimates.</w:t>
      </w:r>
    </w:p>
    <w:p w14:paraId="4B168E7B" w14:textId="77777777" w:rsidR="0077550B" w:rsidRDefault="0077550B" w:rsidP="00F753E8">
      <w:pPr>
        <w:pStyle w:val="ListParagraph"/>
        <w:spacing w:after="0" w:line="240" w:lineRule="auto"/>
        <w:ind w:left="426" w:hanging="426"/>
        <w:jc w:val="both"/>
        <w:rPr>
          <w:rFonts w:ascii="Arial" w:hAnsi="Arial" w:cs="Arial"/>
        </w:rPr>
      </w:pPr>
    </w:p>
    <w:p w14:paraId="25A5C447" w14:textId="77777777" w:rsidR="0077550B" w:rsidRPr="008A0A4E" w:rsidRDefault="0077550B" w:rsidP="00F753E8">
      <w:pPr>
        <w:pStyle w:val="ListParagraph"/>
        <w:spacing w:after="0" w:line="240" w:lineRule="auto"/>
        <w:ind w:left="426" w:hanging="426"/>
        <w:jc w:val="both"/>
        <w:rPr>
          <w:rFonts w:ascii="Arial" w:hAnsi="Arial" w:cs="Arial"/>
        </w:rPr>
      </w:pPr>
    </w:p>
    <w:p w14:paraId="52E3110A" w14:textId="77777777" w:rsidR="00F753E8" w:rsidRPr="008C2016" w:rsidRDefault="00F753E8" w:rsidP="007337FE">
      <w:pPr>
        <w:pStyle w:val="ListParagraph"/>
        <w:numPr>
          <w:ilvl w:val="0"/>
          <w:numId w:val="90"/>
        </w:numPr>
        <w:spacing w:after="0" w:line="240" w:lineRule="auto"/>
        <w:ind w:left="426" w:hanging="426"/>
        <w:jc w:val="both"/>
        <w:rPr>
          <w:rFonts w:ascii="Arial" w:hAnsi="Arial" w:cs="Arial"/>
          <w:b/>
        </w:rPr>
      </w:pPr>
      <w:r w:rsidRPr="008C2016">
        <w:rPr>
          <w:rFonts w:ascii="Arial" w:hAnsi="Arial" w:cs="Arial"/>
          <w:b/>
        </w:rPr>
        <w:t>Additional Voluntary Contributions (AVC)</w:t>
      </w:r>
    </w:p>
    <w:p w14:paraId="6C119F0C" w14:textId="77777777" w:rsidR="00F753E8" w:rsidRPr="008C2016" w:rsidRDefault="00F753E8" w:rsidP="00F753E8">
      <w:pPr>
        <w:pStyle w:val="ListParagraph"/>
        <w:spacing w:after="0" w:line="20" w:lineRule="atLeast"/>
        <w:ind w:left="426" w:hanging="426"/>
        <w:jc w:val="both"/>
        <w:rPr>
          <w:rFonts w:ascii="Arial" w:hAnsi="Arial" w:cs="Arial"/>
        </w:rPr>
      </w:pPr>
    </w:p>
    <w:p w14:paraId="7B0F7735" w14:textId="77777777" w:rsidR="00F753E8" w:rsidRPr="008C2016" w:rsidRDefault="00F753E8" w:rsidP="00F753E8">
      <w:pPr>
        <w:pStyle w:val="ListParagraph"/>
        <w:spacing w:after="0" w:line="20" w:lineRule="atLeast"/>
        <w:ind w:left="426" w:hanging="426"/>
        <w:jc w:val="both"/>
        <w:rPr>
          <w:rFonts w:ascii="Arial" w:hAnsi="Arial" w:cs="Arial"/>
        </w:rPr>
      </w:pPr>
      <w:r w:rsidRPr="008C2016">
        <w:rPr>
          <w:rFonts w:ascii="Arial" w:hAnsi="Arial" w:cs="Arial"/>
          <w:lang w:val="en-US"/>
        </w:rPr>
        <w:tab/>
        <w:t>Additional Voluntary Contributions (AVCs) administered by the Prudential</w:t>
      </w:r>
      <w:r>
        <w:rPr>
          <w:rFonts w:ascii="Arial" w:hAnsi="Arial" w:cs="Arial"/>
          <w:lang w:val="en-US"/>
        </w:rPr>
        <w:t xml:space="preserve"> were</w:t>
      </w:r>
      <w:r w:rsidRPr="008C2016">
        <w:rPr>
          <w:rFonts w:ascii="Arial" w:hAnsi="Arial" w:cs="Arial"/>
          <w:lang w:val="en-US"/>
        </w:rPr>
        <w:t xml:space="preserve"> made by LBBD employees during the year</w:t>
      </w:r>
      <w:r>
        <w:rPr>
          <w:rFonts w:ascii="Arial" w:hAnsi="Arial" w:cs="Arial"/>
          <w:lang w:val="en-US"/>
        </w:rPr>
        <w:t xml:space="preserve">. </w:t>
      </w:r>
      <w:r w:rsidRPr="008C2016">
        <w:rPr>
          <w:rFonts w:ascii="Arial" w:hAnsi="Arial" w:cs="Arial"/>
          <w:lang w:val="en-US"/>
        </w:rPr>
        <w:t>In</w:t>
      </w:r>
      <w:r w:rsidRPr="008C2016">
        <w:rPr>
          <w:rFonts w:ascii="Arial" w:hAnsi="Arial" w:cs="Arial"/>
        </w:rPr>
        <w:t xml:space="preserve"> accordance with Regulation 4(2) (b) of the Pension Scheme (Management and Investment of Funds) Regulations 2009 the contributions </w:t>
      </w:r>
      <w:proofErr w:type="gramStart"/>
      <w:r w:rsidRPr="008C2016">
        <w:rPr>
          <w:rFonts w:ascii="Arial" w:hAnsi="Arial" w:cs="Arial"/>
        </w:rPr>
        <w:t>paid</w:t>
      </w:r>
      <w:proofErr w:type="gramEnd"/>
      <w:r w:rsidRPr="008C2016">
        <w:rPr>
          <w:rFonts w:ascii="Arial" w:hAnsi="Arial" w:cs="Arial"/>
        </w:rPr>
        <w:t xml:space="preserve"> and the assets of these investments are not included in the Pension Fund Accounts. </w:t>
      </w:r>
    </w:p>
    <w:p w14:paraId="1B5D232B" w14:textId="77777777" w:rsidR="00F753E8" w:rsidRPr="008C2016" w:rsidRDefault="00F753E8" w:rsidP="00F753E8">
      <w:pPr>
        <w:pStyle w:val="ListParagraph"/>
        <w:spacing w:after="0" w:line="20" w:lineRule="atLeast"/>
        <w:ind w:left="426" w:hanging="426"/>
        <w:jc w:val="both"/>
        <w:rPr>
          <w:rFonts w:ascii="Arial" w:hAnsi="Arial" w:cs="Arial"/>
        </w:rPr>
      </w:pPr>
    </w:p>
    <w:p w14:paraId="5F1AE649" w14:textId="77777777" w:rsidR="00F753E8" w:rsidRPr="008A0A4E" w:rsidRDefault="00F753E8" w:rsidP="00F753E8">
      <w:pPr>
        <w:pStyle w:val="ListParagraph"/>
        <w:spacing w:after="0" w:line="20" w:lineRule="atLeast"/>
        <w:ind w:left="426"/>
        <w:jc w:val="both"/>
        <w:rPr>
          <w:rFonts w:ascii="Arial" w:hAnsi="Arial" w:cs="Arial"/>
          <w:lang w:val="en-US"/>
        </w:rPr>
      </w:pPr>
      <w:r w:rsidRPr="00907D9C">
        <w:rPr>
          <w:rFonts w:ascii="Arial" w:hAnsi="Arial" w:cs="Arial"/>
          <w:lang w:val="en-US"/>
        </w:rPr>
        <w:t xml:space="preserve">AVCs were valued by Prudential at a market value of </w:t>
      </w:r>
      <w:r w:rsidRPr="00907D9C">
        <w:rPr>
          <w:rFonts w:ascii="Arial" w:hAnsi="Arial" w:cs="Arial"/>
          <w:b/>
          <w:lang w:val="en-US"/>
        </w:rPr>
        <w:t>£3.</w:t>
      </w:r>
      <w:r>
        <w:rPr>
          <w:rFonts w:ascii="Arial" w:hAnsi="Arial" w:cs="Arial"/>
          <w:b/>
          <w:lang w:val="en-US"/>
        </w:rPr>
        <w:t>5</w:t>
      </w:r>
      <w:r w:rsidRPr="00907D9C">
        <w:rPr>
          <w:rFonts w:ascii="Arial" w:hAnsi="Arial" w:cs="Arial"/>
          <w:b/>
          <w:lang w:val="en-US"/>
        </w:rPr>
        <w:t>m</w:t>
      </w:r>
      <w:r w:rsidRPr="00907D9C">
        <w:rPr>
          <w:rFonts w:ascii="Arial" w:hAnsi="Arial" w:cs="Arial"/>
          <w:lang w:val="en-US"/>
        </w:rPr>
        <w:t xml:space="preserve"> (</w:t>
      </w:r>
      <w:r>
        <w:rPr>
          <w:rFonts w:ascii="Arial" w:hAnsi="Arial" w:cs="Arial"/>
          <w:lang w:val="en-US"/>
        </w:rPr>
        <w:t>2020/21</w:t>
      </w:r>
      <w:r w:rsidRPr="00907D9C">
        <w:rPr>
          <w:rFonts w:ascii="Arial" w:hAnsi="Arial" w:cs="Arial"/>
          <w:lang w:val="en-US"/>
        </w:rPr>
        <w:t xml:space="preserve"> £</w:t>
      </w:r>
      <w:r>
        <w:rPr>
          <w:rFonts w:ascii="Arial" w:hAnsi="Arial" w:cs="Arial"/>
          <w:lang w:val="en-US"/>
        </w:rPr>
        <w:t>3.7</w:t>
      </w:r>
      <w:r w:rsidRPr="00907D9C">
        <w:rPr>
          <w:rFonts w:ascii="Arial" w:hAnsi="Arial" w:cs="Arial"/>
          <w:lang w:val="en-US"/>
        </w:rPr>
        <w:t>m).</w:t>
      </w:r>
      <w:r w:rsidRPr="008A0A4E">
        <w:rPr>
          <w:rFonts w:ascii="Arial" w:hAnsi="Arial" w:cs="Arial"/>
          <w:lang w:val="en-US"/>
        </w:rPr>
        <w:t xml:space="preserve"> </w:t>
      </w:r>
    </w:p>
    <w:p w14:paraId="26016B2B" w14:textId="77777777" w:rsidR="00F753E8" w:rsidRPr="008A0A4E" w:rsidRDefault="00F753E8" w:rsidP="00F753E8">
      <w:pPr>
        <w:pStyle w:val="ListParagraph"/>
        <w:spacing w:line="20" w:lineRule="atLeast"/>
        <w:ind w:left="426" w:hanging="426"/>
        <w:jc w:val="both"/>
        <w:rPr>
          <w:rFonts w:ascii="Arial" w:hAnsi="Arial" w:cs="Arial"/>
          <w:b/>
        </w:rPr>
      </w:pPr>
    </w:p>
    <w:p w14:paraId="1F7912A3" w14:textId="77777777" w:rsidR="00F753E8" w:rsidRPr="008A0A4E" w:rsidRDefault="00F753E8" w:rsidP="007337FE">
      <w:pPr>
        <w:pStyle w:val="ListParagraph"/>
        <w:numPr>
          <w:ilvl w:val="0"/>
          <w:numId w:val="90"/>
        </w:numPr>
        <w:spacing w:line="20" w:lineRule="atLeast"/>
        <w:ind w:left="426" w:hanging="426"/>
        <w:jc w:val="both"/>
        <w:rPr>
          <w:rFonts w:ascii="Arial" w:hAnsi="Arial" w:cs="Arial"/>
          <w:b/>
        </w:rPr>
      </w:pPr>
      <w:r w:rsidRPr="008A0A4E">
        <w:rPr>
          <w:rFonts w:ascii="Arial" w:hAnsi="Arial" w:cs="Arial"/>
          <w:b/>
        </w:rPr>
        <w:t>Recharges from the General Fund</w:t>
      </w:r>
    </w:p>
    <w:p w14:paraId="02CCABAB" w14:textId="77777777" w:rsidR="00F753E8" w:rsidRPr="008A0A4E" w:rsidRDefault="00F753E8" w:rsidP="00F753E8">
      <w:pPr>
        <w:pStyle w:val="ListParagraph"/>
        <w:spacing w:after="0" w:line="20" w:lineRule="atLeast"/>
        <w:ind w:left="426" w:hanging="426"/>
        <w:jc w:val="both"/>
        <w:rPr>
          <w:rFonts w:ascii="Arial" w:hAnsi="Arial" w:cs="Arial"/>
          <w:b/>
        </w:rPr>
      </w:pPr>
    </w:p>
    <w:p w14:paraId="00E2784C" w14:textId="77777777" w:rsidR="00F753E8" w:rsidRPr="008A0A4E" w:rsidRDefault="00F753E8" w:rsidP="00F753E8">
      <w:pPr>
        <w:pStyle w:val="ListParagraph"/>
        <w:spacing w:after="0" w:line="20" w:lineRule="atLeast"/>
        <w:ind w:left="426"/>
        <w:jc w:val="both"/>
        <w:rPr>
          <w:rFonts w:ascii="Arial" w:hAnsi="Arial" w:cs="Arial"/>
        </w:rPr>
      </w:pPr>
      <w:r w:rsidRPr="008A0A4E">
        <w:rPr>
          <w:rFonts w:ascii="Arial" w:hAnsi="Arial" w:cs="Arial"/>
        </w:rPr>
        <w:t xml:space="preserve">The LGPS (Management and Investment of Funds) Regulations 2016 permit the Council to charge administration costs to the Fund. A proportion of the relevant Council costs have been charged to the Fund </w:t>
      </w:r>
      <w:proofErr w:type="gramStart"/>
      <w:r w:rsidRPr="008A0A4E">
        <w:rPr>
          <w:rFonts w:ascii="Arial" w:hAnsi="Arial" w:cs="Arial"/>
        </w:rPr>
        <w:t>on the basis of</w:t>
      </w:r>
      <w:proofErr w:type="gramEnd"/>
      <w:r w:rsidRPr="008A0A4E">
        <w:rPr>
          <w:rFonts w:ascii="Arial" w:hAnsi="Arial" w:cs="Arial"/>
        </w:rPr>
        <w:t xml:space="preserve"> actual time spent on Pension Fund business. Costs incurred in the administration and the oversight and governance of the Fund are included in Note 12.</w:t>
      </w:r>
    </w:p>
    <w:p w14:paraId="0B2D9F6E" w14:textId="77777777" w:rsidR="00F753E8" w:rsidRPr="008A0A4E" w:rsidRDefault="00F753E8" w:rsidP="00F753E8">
      <w:pPr>
        <w:pStyle w:val="ListParagraph"/>
        <w:spacing w:after="0" w:line="20" w:lineRule="atLeast"/>
        <w:ind w:left="426" w:hanging="426"/>
        <w:jc w:val="both"/>
        <w:rPr>
          <w:rFonts w:ascii="Arial" w:hAnsi="Arial" w:cs="Arial"/>
        </w:rPr>
      </w:pPr>
    </w:p>
    <w:p w14:paraId="704A02B0" w14:textId="77777777" w:rsidR="00F753E8" w:rsidRPr="008A0A4E" w:rsidRDefault="00F753E8" w:rsidP="007337FE">
      <w:pPr>
        <w:pStyle w:val="ListParagraph"/>
        <w:numPr>
          <w:ilvl w:val="0"/>
          <w:numId w:val="90"/>
        </w:numPr>
        <w:ind w:left="426" w:hanging="426"/>
        <w:jc w:val="both"/>
        <w:rPr>
          <w:rFonts w:ascii="Arial" w:hAnsi="Arial" w:cs="Arial"/>
          <w:b/>
        </w:rPr>
      </w:pPr>
      <w:r w:rsidRPr="008A0A4E">
        <w:rPr>
          <w:rFonts w:ascii="Arial" w:hAnsi="Arial" w:cs="Arial"/>
          <w:b/>
        </w:rPr>
        <w:t>Contributions</w:t>
      </w:r>
    </w:p>
    <w:p w14:paraId="62560ECE" w14:textId="77777777" w:rsidR="00F753E8" w:rsidRDefault="00F753E8" w:rsidP="00F753E8">
      <w:pPr>
        <w:ind w:left="426" w:hanging="426"/>
        <w:jc w:val="both"/>
        <w:rPr>
          <w:rFonts w:ascii="Arial" w:hAnsi="Arial" w:cs="Arial"/>
          <w:sz w:val="22"/>
          <w:szCs w:val="22"/>
        </w:rPr>
      </w:pPr>
      <w:r w:rsidRPr="008A0A4E">
        <w:rPr>
          <w:rFonts w:ascii="Arial" w:hAnsi="Arial" w:cs="Arial"/>
          <w:sz w:val="22"/>
          <w:szCs w:val="22"/>
        </w:rPr>
        <w:tab/>
        <w:t xml:space="preserve">Benefits are funded by contributions and investment earnings. Contributions are made by active members of the Fund in accordance with the LGPS (Benefits, Membership and Contributions) Regulations 2007, </w:t>
      </w:r>
      <w:r w:rsidRPr="00C561FD">
        <w:rPr>
          <w:rFonts w:ascii="Arial" w:hAnsi="Arial" w:cs="Arial"/>
          <w:sz w:val="22"/>
          <w:szCs w:val="22"/>
        </w:rPr>
        <w:t>ranging from 5.5% to 12.5% of pensionable pay</w:t>
      </w:r>
      <w:r w:rsidRPr="008A0A4E">
        <w:rPr>
          <w:rFonts w:ascii="Arial" w:hAnsi="Arial" w:cs="Arial"/>
          <w:sz w:val="22"/>
          <w:szCs w:val="22"/>
        </w:rPr>
        <w:t xml:space="preserve"> for the financial year ending 31 March 202</w:t>
      </w:r>
      <w:r>
        <w:rPr>
          <w:rFonts w:ascii="Arial" w:hAnsi="Arial" w:cs="Arial"/>
          <w:sz w:val="22"/>
          <w:szCs w:val="22"/>
        </w:rPr>
        <w:t>1</w:t>
      </w:r>
      <w:r w:rsidRPr="008A0A4E">
        <w:rPr>
          <w:rFonts w:ascii="Arial" w:hAnsi="Arial" w:cs="Arial"/>
          <w:sz w:val="22"/>
          <w:szCs w:val="22"/>
        </w:rPr>
        <w:t xml:space="preserve">. Employee contributions are matched by employer contributions, which are set based on triennial actuarial funding valuations. </w:t>
      </w:r>
    </w:p>
    <w:p w14:paraId="1A82E468" w14:textId="77777777" w:rsidR="00F753E8" w:rsidRDefault="00F753E8" w:rsidP="00F753E8">
      <w:pPr>
        <w:ind w:left="426" w:hanging="426"/>
        <w:jc w:val="both"/>
        <w:rPr>
          <w:rFonts w:ascii="Arial" w:hAnsi="Arial" w:cs="Arial"/>
          <w:sz w:val="22"/>
          <w:szCs w:val="22"/>
        </w:rPr>
      </w:pPr>
    </w:p>
    <w:p w14:paraId="2A812F04" w14:textId="77777777" w:rsidR="00F753E8" w:rsidRPr="008A0A4E" w:rsidRDefault="00F753E8" w:rsidP="00F753E8">
      <w:pPr>
        <w:ind w:left="426"/>
        <w:jc w:val="both"/>
        <w:rPr>
          <w:rFonts w:ascii="Arial" w:hAnsi="Arial" w:cs="Arial"/>
          <w:sz w:val="22"/>
          <w:szCs w:val="22"/>
        </w:rPr>
      </w:pPr>
      <w:r w:rsidRPr="004A5D5D">
        <w:rPr>
          <w:rFonts w:ascii="Arial" w:hAnsi="Arial" w:cs="Arial"/>
          <w:sz w:val="22"/>
          <w:szCs w:val="22"/>
        </w:rPr>
        <w:t>Currently employer contribution rates range from 18.1% to 43.0%.</w:t>
      </w:r>
      <w:r w:rsidRPr="008A0A4E">
        <w:rPr>
          <w:rFonts w:ascii="Arial" w:hAnsi="Arial" w:cs="Arial"/>
          <w:sz w:val="22"/>
          <w:szCs w:val="22"/>
        </w:rPr>
        <w:t xml:space="preserve"> </w:t>
      </w:r>
    </w:p>
    <w:p w14:paraId="38F58000" w14:textId="77777777" w:rsidR="00F753E8" w:rsidRPr="008A0A4E" w:rsidRDefault="00F753E8" w:rsidP="00F753E8">
      <w:pPr>
        <w:ind w:left="426" w:hanging="426"/>
        <w:jc w:val="both"/>
        <w:rPr>
          <w:rFonts w:ascii="Arial" w:hAnsi="Arial" w:cs="Arial"/>
          <w:sz w:val="22"/>
          <w:szCs w:val="22"/>
        </w:rPr>
      </w:pPr>
    </w:p>
    <w:p w14:paraId="3D3C47C8" w14:textId="77777777" w:rsidR="00F753E8" w:rsidRPr="008A0A4E" w:rsidRDefault="00F753E8" w:rsidP="00F753E8">
      <w:pPr>
        <w:ind w:left="426" w:hanging="426"/>
        <w:jc w:val="both"/>
        <w:rPr>
          <w:rFonts w:ascii="Arial" w:hAnsi="Arial" w:cs="Arial"/>
          <w:sz w:val="22"/>
          <w:szCs w:val="22"/>
        </w:rPr>
      </w:pPr>
      <w:r w:rsidRPr="008A0A4E">
        <w:rPr>
          <w:rFonts w:ascii="Arial" w:hAnsi="Arial" w:cs="Arial"/>
          <w:sz w:val="22"/>
          <w:szCs w:val="22"/>
        </w:rPr>
        <w:tab/>
        <w:t>Pension strain contributions are accounted for in the period in which the liability arises.  Any amounts due in year but unpaid will be classed as a current financial asset.</w:t>
      </w:r>
    </w:p>
    <w:p w14:paraId="4C9A9DF2" w14:textId="77777777" w:rsidR="00F753E8" w:rsidRPr="008A0A4E" w:rsidRDefault="00F753E8" w:rsidP="00F753E8">
      <w:pPr>
        <w:ind w:left="426" w:hanging="426"/>
        <w:jc w:val="both"/>
        <w:rPr>
          <w:rFonts w:ascii="Arial" w:hAnsi="Arial" w:cs="Arial"/>
          <w:sz w:val="22"/>
          <w:szCs w:val="22"/>
        </w:rPr>
      </w:pPr>
    </w:p>
    <w:p w14:paraId="62AA2208" w14:textId="77777777" w:rsidR="00F753E8" w:rsidRPr="00F928FC" w:rsidRDefault="00F753E8" w:rsidP="00F753E8">
      <w:pPr>
        <w:ind w:left="426" w:hanging="426"/>
        <w:jc w:val="both"/>
        <w:rPr>
          <w:rFonts w:ascii="Arial" w:hAnsi="Arial" w:cs="Arial"/>
          <w:sz w:val="22"/>
          <w:szCs w:val="22"/>
        </w:rPr>
      </w:pPr>
      <w:r w:rsidRPr="008A0A4E">
        <w:rPr>
          <w:rFonts w:ascii="Arial" w:hAnsi="Arial" w:cs="Arial"/>
          <w:sz w:val="22"/>
          <w:szCs w:val="22"/>
        </w:rPr>
        <w:tab/>
        <w:t>The Council uses</w:t>
      </w:r>
      <w:r w:rsidRPr="008A0A4E">
        <w:rPr>
          <w:rFonts w:ascii="Arial" w:hAnsi="Arial" w:cs="Arial"/>
          <w:color w:val="000000"/>
          <w:sz w:val="22"/>
          <w:szCs w:val="22"/>
        </w:rPr>
        <w:t xml:space="preserve"> a mechanism to stabilise the contribution rates</w:t>
      </w:r>
      <w:r w:rsidRPr="008A0A4E">
        <w:rPr>
          <w:rFonts w:ascii="Arial" w:hAnsi="Arial" w:cs="Arial"/>
          <w:sz w:val="22"/>
          <w:szCs w:val="22"/>
        </w:rPr>
        <w:t xml:space="preserve">. This was agreed following the actuary, Hymans Robertson, completing a </w:t>
      </w:r>
      <w:r w:rsidRPr="008A0A4E">
        <w:rPr>
          <w:rFonts w:ascii="Arial" w:hAnsi="Arial" w:cs="Arial"/>
          <w:color w:val="000000"/>
          <w:sz w:val="22"/>
          <w:szCs w:val="22"/>
        </w:rPr>
        <w:t xml:space="preserve">stochastic modelling of the long-term funding position. </w:t>
      </w:r>
      <w:r w:rsidRPr="00EA7193">
        <w:rPr>
          <w:rFonts w:ascii="Arial" w:hAnsi="Arial" w:cs="Arial"/>
          <w:color w:val="000000"/>
          <w:sz w:val="22"/>
          <w:szCs w:val="22"/>
        </w:rPr>
        <w:t xml:space="preserve">Eligibility for stabilisation is dependent on reasonable consistency in an employer’s membership profile. </w:t>
      </w:r>
      <w:r w:rsidRPr="00EA7193">
        <w:rPr>
          <w:rFonts w:ascii="Arial" w:hAnsi="Arial" w:cs="Arial"/>
          <w:sz w:val="22"/>
          <w:szCs w:val="22"/>
        </w:rPr>
        <w:t>The primary contribution rate for the financial year ending 31 March 202</w:t>
      </w:r>
      <w:r>
        <w:rPr>
          <w:rFonts w:ascii="Arial" w:hAnsi="Arial" w:cs="Arial"/>
          <w:sz w:val="22"/>
          <w:szCs w:val="22"/>
        </w:rPr>
        <w:t>2</w:t>
      </w:r>
      <w:r w:rsidRPr="00EA7193">
        <w:rPr>
          <w:rFonts w:ascii="Arial" w:hAnsi="Arial" w:cs="Arial"/>
          <w:sz w:val="22"/>
          <w:szCs w:val="22"/>
        </w:rPr>
        <w:t xml:space="preserve"> was 2</w:t>
      </w:r>
      <w:r>
        <w:rPr>
          <w:rFonts w:ascii="Arial" w:hAnsi="Arial" w:cs="Arial"/>
          <w:sz w:val="22"/>
          <w:szCs w:val="22"/>
        </w:rPr>
        <w:t>2</w:t>
      </w:r>
      <w:r w:rsidRPr="00EA7193">
        <w:rPr>
          <w:rFonts w:ascii="Arial" w:hAnsi="Arial" w:cs="Arial"/>
          <w:sz w:val="22"/>
          <w:szCs w:val="22"/>
        </w:rPr>
        <w:t>%.</w:t>
      </w:r>
      <w:r w:rsidRPr="008A0A4E">
        <w:rPr>
          <w:rFonts w:ascii="Arial" w:hAnsi="Arial" w:cs="Arial"/>
          <w:sz w:val="22"/>
          <w:szCs w:val="22"/>
        </w:rPr>
        <w:t xml:space="preserve"> </w:t>
      </w:r>
    </w:p>
    <w:p w14:paraId="33E873EF" w14:textId="77777777" w:rsidR="00F753E8" w:rsidRDefault="00F753E8" w:rsidP="00F753E8">
      <w:pPr>
        <w:ind w:left="426" w:hanging="426"/>
        <w:jc w:val="both"/>
        <w:rPr>
          <w:rFonts w:ascii="Arial" w:hAnsi="Arial" w:cs="Arial"/>
          <w:sz w:val="22"/>
          <w:szCs w:val="22"/>
        </w:rPr>
      </w:pPr>
    </w:p>
    <w:p w14:paraId="77B4684B" w14:textId="77777777" w:rsidR="00F753E8" w:rsidRDefault="00F753E8" w:rsidP="00F753E8">
      <w:pPr>
        <w:ind w:left="426"/>
        <w:jc w:val="both"/>
        <w:rPr>
          <w:rFonts w:ascii="Arial" w:hAnsi="Arial" w:cs="Arial"/>
          <w:sz w:val="22"/>
          <w:szCs w:val="22"/>
        </w:rPr>
      </w:pPr>
      <w:r w:rsidRPr="008A0A4E">
        <w:rPr>
          <w:rFonts w:ascii="Arial" w:hAnsi="Arial" w:cs="Arial"/>
          <w:sz w:val="22"/>
          <w:szCs w:val="22"/>
        </w:rPr>
        <w:t>Contributions shown in the revenue statement may be categorised as follows:</w:t>
      </w:r>
    </w:p>
    <w:p w14:paraId="5F120898" w14:textId="77777777" w:rsidR="00F753E8" w:rsidRDefault="00F753E8" w:rsidP="00F753E8">
      <w:pPr>
        <w:ind w:firstLine="360"/>
        <w:jc w:val="both"/>
        <w:rPr>
          <w:rFonts w:ascii="Arial" w:hAnsi="Arial" w:cs="Arial"/>
          <w:sz w:val="22"/>
          <w:szCs w:val="22"/>
        </w:rPr>
      </w:pPr>
    </w:p>
    <w:p w14:paraId="51E09917" w14:textId="77777777" w:rsidR="00F753E8" w:rsidRDefault="00F753E8" w:rsidP="00F753E8">
      <w:pPr>
        <w:ind w:firstLine="360"/>
        <w:jc w:val="both"/>
        <w:rPr>
          <w:rFonts w:ascii="Arial" w:hAnsi="Arial" w:cs="Arial"/>
          <w:sz w:val="22"/>
          <w:szCs w:val="22"/>
        </w:rPr>
      </w:pPr>
    </w:p>
    <w:p w14:paraId="205DC141" w14:textId="77777777" w:rsidR="00F753E8" w:rsidRDefault="00F753E8" w:rsidP="00F753E8">
      <w:pPr>
        <w:jc w:val="both"/>
        <w:rPr>
          <w:rFonts w:ascii="Arial" w:hAnsi="Arial" w:cs="Arial"/>
          <w:sz w:val="22"/>
          <w:szCs w:val="22"/>
        </w:rPr>
      </w:pPr>
    </w:p>
    <w:tbl>
      <w:tblPr>
        <w:tblW w:w="9621" w:type="dxa"/>
        <w:jc w:val="center"/>
        <w:tblLayout w:type="fixed"/>
        <w:tblLook w:val="00A0" w:firstRow="1" w:lastRow="0" w:firstColumn="1" w:lastColumn="0" w:noHBand="0" w:noVBand="0"/>
      </w:tblPr>
      <w:tblGrid>
        <w:gridCol w:w="343"/>
        <w:gridCol w:w="5528"/>
        <w:gridCol w:w="279"/>
        <w:gridCol w:w="1534"/>
        <w:gridCol w:w="462"/>
        <w:gridCol w:w="19"/>
        <w:gridCol w:w="1456"/>
      </w:tblGrid>
      <w:tr w:rsidR="00F753E8" w:rsidRPr="00B64150" w14:paraId="34C4B798" w14:textId="77777777" w:rsidTr="006E1769">
        <w:trPr>
          <w:trHeight w:val="82"/>
          <w:jc w:val="center"/>
        </w:trPr>
        <w:tc>
          <w:tcPr>
            <w:tcW w:w="5871" w:type="dxa"/>
            <w:gridSpan w:val="2"/>
            <w:tcBorders>
              <w:top w:val="nil"/>
              <w:left w:val="nil"/>
              <w:bottom w:val="nil"/>
              <w:right w:val="nil"/>
            </w:tcBorders>
            <w:shd w:val="clear" w:color="000000" w:fill="FFFFFF"/>
            <w:noWrap/>
            <w:vAlign w:val="bottom"/>
          </w:tcPr>
          <w:p w14:paraId="47CBAC49" w14:textId="77777777" w:rsidR="00F753E8" w:rsidRPr="008A0A4E" w:rsidRDefault="00F753E8" w:rsidP="006E1769">
            <w:pPr>
              <w:rPr>
                <w:rFonts w:ascii="Arial" w:hAnsi="Arial" w:cs="Arial"/>
                <w:color w:val="000000"/>
                <w:sz w:val="22"/>
                <w:szCs w:val="22"/>
              </w:rPr>
            </w:pPr>
            <w:r w:rsidRPr="008A0A4E">
              <w:rPr>
                <w:rFonts w:ascii="Arial" w:hAnsi="Arial" w:cs="Arial"/>
                <w:b/>
                <w:bCs/>
                <w:color w:val="000000"/>
                <w:sz w:val="22"/>
                <w:szCs w:val="22"/>
              </w:rPr>
              <w:t>Contributions</w:t>
            </w:r>
          </w:p>
        </w:tc>
        <w:tc>
          <w:tcPr>
            <w:tcW w:w="279" w:type="dxa"/>
            <w:tcBorders>
              <w:top w:val="nil"/>
              <w:left w:val="nil"/>
              <w:bottom w:val="nil"/>
              <w:right w:val="nil"/>
            </w:tcBorders>
            <w:shd w:val="clear" w:color="000000" w:fill="FFFFFF"/>
            <w:noWrap/>
            <w:vAlign w:val="bottom"/>
          </w:tcPr>
          <w:p w14:paraId="6B9D45E8"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c>
          <w:tcPr>
            <w:tcW w:w="1534" w:type="dxa"/>
            <w:tcBorders>
              <w:top w:val="nil"/>
              <w:left w:val="nil"/>
              <w:bottom w:val="nil"/>
              <w:right w:val="nil"/>
            </w:tcBorders>
            <w:shd w:val="clear" w:color="000000" w:fill="FFFFFF"/>
            <w:vAlign w:val="bottom"/>
          </w:tcPr>
          <w:p w14:paraId="0B8FC9E0" w14:textId="77777777" w:rsidR="00F753E8" w:rsidRPr="008A0A4E" w:rsidRDefault="00F753E8" w:rsidP="006E1769">
            <w:pPr>
              <w:jc w:val="center"/>
              <w:rPr>
                <w:rFonts w:ascii="Arial" w:hAnsi="Arial" w:cs="Arial"/>
                <w:bCs/>
                <w:color w:val="000000"/>
                <w:sz w:val="22"/>
                <w:szCs w:val="22"/>
              </w:rPr>
            </w:pPr>
            <w:r w:rsidRPr="008A0A4E">
              <w:rPr>
                <w:rFonts w:ascii="Arial" w:hAnsi="Arial" w:cs="Arial"/>
                <w:b/>
                <w:bCs/>
                <w:color w:val="000000"/>
                <w:sz w:val="22"/>
                <w:szCs w:val="22"/>
              </w:rPr>
              <w:t>20</w:t>
            </w:r>
            <w:r>
              <w:rPr>
                <w:rFonts w:ascii="Arial" w:hAnsi="Arial" w:cs="Arial"/>
                <w:b/>
                <w:bCs/>
                <w:color w:val="000000"/>
                <w:sz w:val="22"/>
                <w:szCs w:val="22"/>
              </w:rPr>
              <w:t>20/21</w:t>
            </w:r>
          </w:p>
        </w:tc>
        <w:tc>
          <w:tcPr>
            <w:tcW w:w="462" w:type="dxa"/>
            <w:tcBorders>
              <w:top w:val="nil"/>
              <w:left w:val="nil"/>
              <w:bottom w:val="nil"/>
              <w:right w:val="nil"/>
            </w:tcBorders>
            <w:shd w:val="clear" w:color="000000" w:fill="FFFFFF"/>
            <w:noWrap/>
            <w:vAlign w:val="bottom"/>
          </w:tcPr>
          <w:p w14:paraId="26403BC4"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475" w:type="dxa"/>
            <w:gridSpan w:val="2"/>
            <w:tcBorders>
              <w:top w:val="nil"/>
              <w:left w:val="nil"/>
              <w:bottom w:val="nil"/>
              <w:right w:val="nil"/>
            </w:tcBorders>
            <w:vAlign w:val="bottom"/>
          </w:tcPr>
          <w:p w14:paraId="09419A2F" w14:textId="77777777" w:rsidR="00F753E8" w:rsidRPr="008A0A4E" w:rsidRDefault="00F753E8" w:rsidP="006E1769">
            <w:pPr>
              <w:jc w:val="center"/>
              <w:rPr>
                <w:rFonts w:ascii="Arial" w:hAnsi="Arial" w:cs="Arial"/>
                <w:b/>
                <w:bCs/>
                <w:color w:val="000000"/>
                <w:sz w:val="22"/>
                <w:szCs w:val="22"/>
              </w:rPr>
            </w:pPr>
            <w:r>
              <w:rPr>
                <w:rFonts w:ascii="Arial" w:hAnsi="Arial" w:cs="Arial"/>
                <w:b/>
                <w:bCs/>
                <w:color w:val="000000"/>
                <w:sz w:val="22"/>
                <w:szCs w:val="22"/>
              </w:rPr>
              <w:t>2021/22</w:t>
            </w:r>
          </w:p>
        </w:tc>
      </w:tr>
      <w:tr w:rsidR="00F753E8" w:rsidRPr="00B64150" w14:paraId="5AED1EA0" w14:textId="77777777" w:rsidTr="006E1769">
        <w:trPr>
          <w:trHeight w:val="80"/>
          <w:jc w:val="center"/>
        </w:trPr>
        <w:tc>
          <w:tcPr>
            <w:tcW w:w="5871" w:type="dxa"/>
            <w:gridSpan w:val="2"/>
            <w:tcBorders>
              <w:top w:val="nil"/>
              <w:left w:val="nil"/>
              <w:bottom w:val="nil"/>
              <w:right w:val="nil"/>
            </w:tcBorders>
            <w:shd w:val="clear" w:color="000000" w:fill="FFFFFF"/>
            <w:noWrap/>
            <w:vAlign w:val="bottom"/>
          </w:tcPr>
          <w:p w14:paraId="79C416BC" w14:textId="77777777" w:rsidR="00F753E8" w:rsidRPr="008A0A4E" w:rsidRDefault="00F753E8" w:rsidP="006E1769">
            <w:pPr>
              <w:rPr>
                <w:rFonts w:ascii="Arial" w:hAnsi="Arial" w:cs="Arial"/>
                <w:color w:val="000000"/>
                <w:sz w:val="22"/>
                <w:szCs w:val="22"/>
              </w:rPr>
            </w:pPr>
            <w:r w:rsidRPr="008A0A4E">
              <w:rPr>
                <w:rFonts w:ascii="Arial" w:hAnsi="Arial" w:cs="Arial"/>
                <w:b/>
                <w:bCs/>
                <w:color w:val="000000"/>
                <w:sz w:val="22"/>
                <w:szCs w:val="22"/>
              </w:rPr>
              <w:t>Members normal contributions</w:t>
            </w:r>
          </w:p>
        </w:tc>
        <w:tc>
          <w:tcPr>
            <w:tcW w:w="279" w:type="dxa"/>
            <w:tcBorders>
              <w:top w:val="nil"/>
              <w:left w:val="nil"/>
              <w:bottom w:val="nil"/>
              <w:right w:val="nil"/>
            </w:tcBorders>
            <w:shd w:val="clear" w:color="000000" w:fill="FFFFFF"/>
            <w:noWrap/>
            <w:vAlign w:val="bottom"/>
          </w:tcPr>
          <w:p w14:paraId="72A9264D" w14:textId="77777777" w:rsidR="00F753E8" w:rsidRPr="008A0A4E" w:rsidRDefault="00F753E8" w:rsidP="006E1769">
            <w:pPr>
              <w:jc w:val="center"/>
              <w:rPr>
                <w:rFonts w:ascii="Arial" w:hAnsi="Arial" w:cs="Arial"/>
                <w:b/>
                <w:bCs/>
                <w:color w:val="000000"/>
                <w:sz w:val="22"/>
                <w:szCs w:val="22"/>
              </w:rPr>
            </w:pPr>
          </w:p>
        </w:tc>
        <w:tc>
          <w:tcPr>
            <w:tcW w:w="1534" w:type="dxa"/>
            <w:tcBorders>
              <w:top w:val="nil"/>
              <w:left w:val="nil"/>
              <w:bottom w:val="nil"/>
              <w:right w:val="nil"/>
            </w:tcBorders>
            <w:shd w:val="clear" w:color="000000" w:fill="FFFFFF"/>
            <w:vAlign w:val="bottom"/>
          </w:tcPr>
          <w:p w14:paraId="5E2F497D" w14:textId="77777777" w:rsidR="00F753E8" w:rsidRPr="008A0A4E" w:rsidRDefault="00F753E8" w:rsidP="006E1769">
            <w:pPr>
              <w:jc w:val="center"/>
              <w:rPr>
                <w:rFonts w:ascii="Arial" w:hAnsi="Arial" w:cs="Arial"/>
                <w:bCs/>
                <w:color w:val="000000"/>
                <w:sz w:val="22"/>
                <w:szCs w:val="22"/>
              </w:rPr>
            </w:pPr>
            <w:r w:rsidRPr="008A0A4E">
              <w:rPr>
                <w:rFonts w:ascii="Arial" w:hAnsi="Arial" w:cs="Arial"/>
                <w:b/>
                <w:bCs/>
                <w:color w:val="000000"/>
                <w:sz w:val="22"/>
                <w:szCs w:val="22"/>
              </w:rPr>
              <w:t>£000</w:t>
            </w:r>
          </w:p>
        </w:tc>
        <w:tc>
          <w:tcPr>
            <w:tcW w:w="462" w:type="dxa"/>
            <w:tcBorders>
              <w:top w:val="nil"/>
              <w:left w:val="nil"/>
              <w:bottom w:val="nil"/>
              <w:right w:val="nil"/>
            </w:tcBorders>
            <w:shd w:val="clear" w:color="000000" w:fill="FFFFFF"/>
            <w:noWrap/>
            <w:vAlign w:val="bottom"/>
          </w:tcPr>
          <w:p w14:paraId="57232171"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475" w:type="dxa"/>
            <w:gridSpan w:val="2"/>
            <w:tcBorders>
              <w:top w:val="nil"/>
              <w:left w:val="nil"/>
              <w:bottom w:val="nil"/>
              <w:right w:val="nil"/>
            </w:tcBorders>
            <w:shd w:val="clear" w:color="000000" w:fill="FFFFFF"/>
            <w:noWrap/>
            <w:vAlign w:val="bottom"/>
          </w:tcPr>
          <w:p w14:paraId="79C6CE81"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w:t>
            </w:r>
          </w:p>
        </w:tc>
      </w:tr>
      <w:tr w:rsidR="00F753E8" w:rsidRPr="005A20FD" w14:paraId="6CA67E80" w14:textId="77777777" w:rsidTr="006E1769">
        <w:trPr>
          <w:trHeight w:val="96"/>
          <w:jc w:val="center"/>
        </w:trPr>
        <w:tc>
          <w:tcPr>
            <w:tcW w:w="343" w:type="dxa"/>
            <w:tcBorders>
              <w:top w:val="nil"/>
              <w:left w:val="nil"/>
              <w:bottom w:val="nil"/>
              <w:right w:val="nil"/>
            </w:tcBorders>
            <w:shd w:val="clear" w:color="000000" w:fill="FFFFFF"/>
            <w:noWrap/>
            <w:vAlign w:val="bottom"/>
          </w:tcPr>
          <w:p w14:paraId="55BCD264"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bottom"/>
          </w:tcPr>
          <w:p w14:paraId="47E0203E"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Council</w:t>
            </w:r>
          </w:p>
        </w:tc>
        <w:tc>
          <w:tcPr>
            <w:tcW w:w="279" w:type="dxa"/>
            <w:tcBorders>
              <w:top w:val="nil"/>
              <w:left w:val="nil"/>
              <w:bottom w:val="nil"/>
              <w:right w:val="nil"/>
            </w:tcBorders>
            <w:shd w:val="clear" w:color="000000" w:fill="FFFFFF"/>
            <w:noWrap/>
            <w:vAlign w:val="bottom"/>
          </w:tcPr>
          <w:p w14:paraId="7C41C329"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01E8F788" w14:textId="77777777" w:rsidR="00F753E8" w:rsidRPr="00F745E6" w:rsidRDefault="00F753E8" w:rsidP="006E1769">
            <w:pPr>
              <w:jc w:val="right"/>
              <w:rPr>
                <w:rFonts w:ascii="Arial" w:hAnsi="Arial" w:cs="Arial"/>
                <w:color w:val="000000" w:themeColor="text1"/>
                <w:sz w:val="22"/>
                <w:szCs w:val="22"/>
              </w:rPr>
            </w:pPr>
            <w:r w:rsidRPr="004D3F70">
              <w:rPr>
                <w:rFonts w:ascii="Arial" w:hAnsi="Arial" w:cs="Arial"/>
                <w:b/>
                <w:bCs/>
                <w:color w:val="000000"/>
                <w:sz w:val="22"/>
                <w:szCs w:val="22"/>
              </w:rPr>
              <w:t>7,831</w:t>
            </w:r>
          </w:p>
        </w:tc>
        <w:tc>
          <w:tcPr>
            <w:tcW w:w="481" w:type="dxa"/>
            <w:gridSpan w:val="2"/>
            <w:tcBorders>
              <w:top w:val="nil"/>
              <w:left w:val="nil"/>
              <w:bottom w:val="nil"/>
              <w:right w:val="nil"/>
            </w:tcBorders>
            <w:shd w:val="clear" w:color="000000" w:fill="FFFFFF"/>
            <w:noWrap/>
            <w:vAlign w:val="bottom"/>
          </w:tcPr>
          <w:p w14:paraId="616CC4CA" w14:textId="77777777" w:rsidR="00F753E8" w:rsidRPr="005A20FD" w:rsidRDefault="00F753E8" w:rsidP="006E1769">
            <w:pPr>
              <w:jc w:val="right"/>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456" w:type="dxa"/>
            <w:tcBorders>
              <w:top w:val="nil"/>
              <w:left w:val="nil"/>
              <w:bottom w:val="nil"/>
              <w:right w:val="nil"/>
            </w:tcBorders>
            <w:shd w:val="clear" w:color="000000" w:fill="FFFFFF"/>
            <w:noWrap/>
          </w:tcPr>
          <w:p w14:paraId="24C675EB"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8,342 </w:t>
            </w:r>
          </w:p>
        </w:tc>
      </w:tr>
      <w:tr w:rsidR="00F753E8" w:rsidRPr="005A20FD" w14:paraId="1D9D1273" w14:textId="77777777" w:rsidTr="006E1769">
        <w:trPr>
          <w:trHeight w:val="96"/>
          <w:jc w:val="center"/>
        </w:trPr>
        <w:tc>
          <w:tcPr>
            <w:tcW w:w="343" w:type="dxa"/>
            <w:tcBorders>
              <w:top w:val="nil"/>
              <w:left w:val="nil"/>
              <w:bottom w:val="nil"/>
              <w:right w:val="nil"/>
            </w:tcBorders>
            <w:shd w:val="clear" w:color="000000" w:fill="FFFFFF"/>
            <w:noWrap/>
            <w:vAlign w:val="bottom"/>
          </w:tcPr>
          <w:p w14:paraId="4A4FF54D"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bottom"/>
          </w:tcPr>
          <w:p w14:paraId="78826E1A"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Admitted bodies</w:t>
            </w:r>
          </w:p>
        </w:tc>
        <w:tc>
          <w:tcPr>
            <w:tcW w:w="279" w:type="dxa"/>
            <w:tcBorders>
              <w:top w:val="nil"/>
              <w:left w:val="nil"/>
              <w:bottom w:val="nil"/>
              <w:right w:val="nil"/>
            </w:tcBorders>
            <w:shd w:val="clear" w:color="000000" w:fill="FFFFFF"/>
            <w:noWrap/>
            <w:vAlign w:val="bottom"/>
          </w:tcPr>
          <w:p w14:paraId="3EC6C133"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69EE8EC7" w14:textId="77777777" w:rsidR="00F753E8" w:rsidRPr="00F745E6" w:rsidRDefault="00F753E8" w:rsidP="006E1769">
            <w:pPr>
              <w:jc w:val="right"/>
              <w:rPr>
                <w:rFonts w:ascii="Arial" w:hAnsi="Arial" w:cs="Arial"/>
                <w:color w:val="000000" w:themeColor="text1"/>
                <w:sz w:val="22"/>
                <w:szCs w:val="22"/>
              </w:rPr>
            </w:pPr>
            <w:r w:rsidRPr="004D3F70">
              <w:rPr>
                <w:rFonts w:ascii="Arial" w:hAnsi="Arial" w:cs="Arial"/>
                <w:b/>
                <w:bCs/>
                <w:color w:val="000000"/>
                <w:sz w:val="22"/>
                <w:szCs w:val="22"/>
              </w:rPr>
              <w:t>539</w:t>
            </w:r>
          </w:p>
        </w:tc>
        <w:tc>
          <w:tcPr>
            <w:tcW w:w="481" w:type="dxa"/>
            <w:gridSpan w:val="2"/>
            <w:tcBorders>
              <w:top w:val="nil"/>
              <w:left w:val="nil"/>
              <w:bottom w:val="nil"/>
              <w:right w:val="nil"/>
            </w:tcBorders>
            <w:shd w:val="clear" w:color="000000" w:fill="FFFFFF"/>
            <w:noWrap/>
            <w:vAlign w:val="bottom"/>
          </w:tcPr>
          <w:p w14:paraId="7FE84C8B" w14:textId="77777777" w:rsidR="00F753E8" w:rsidRPr="005A20FD" w:rsidRDefault="00F753E8" w:rsidP="006E1769">
            <w:pPr>
              <w:jc w:val="right"/>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456" w:type="dxa"/>
            <w:tcBorders>
              <w:top w:val="nil"/>
              <w:left w:val="nil"/>
              <w:bottom w:val="nil"/>
              <w:right w:val="nil"/>
            </w:tcBorders>
            <w:shd w:val="clear" w:color="000000" w:fill="FFFFFF"/>
            <w:noWrap/>
          </w:tcPr>
          <w:p w14:paraId="0DCD720D"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482 </w:t>
            </w:r>
          </w:p>
        </w:tc>
      </w:tr>
      <w:tr w:rsidR="00F753E8" w:rsidRPr="005A20FD" w14:paraId="50288248" w14:textId="77777777" w:rsidTr="006E1769">
        <w:trPr>
          <w:trHeight w:val="96"/>
          <w:jc w:val="center"/>
        </w:trPr>
        <w:tc>
          <w:tcPr>
            <w:tcW w:w="343" w:type="dxa"/>
            <w:tcBorders>
              <w:top w:val="nil"/>
              <w:left w:val="nil"/>
              <w:bottom w:val="nil"/>
              <w:right w:val="nil"/>
            </w:tcBorders>
            <w:shd w:val="clear" w:color="000000" w:fill="FFFFFF"/>
            <w:noWrap/>
            <w:vAlign w:val="bottom"/>
          </w:tcPr>
          <w:p w14:paraId="2DD98252"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bottom"/>
          </w:tcPr>
          <w:p w14:paraId="0C6954A4"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Scheduled bodies</w:t>
            </w:r>
          </w:p>
        </w:tc>
        <w:tc>
          <w:tcPr>
            <w:tcW w:w="279" w:type="dxa"/>
            <w:tcBorders>
              <w:top w:val="nil"/>
              <w:left w:val="nil"/>
              <w:bottom w:val="nil"/>
              <w:right w:val="nil"/>
            </w:tcBorders>
            <w:shd w:val="clear" w:color="000000" w:fill="FFFFFF"/>
            <w:noWrap/>
            <w:vAlign w:val="bottom"/>
          </w:tcPr>
          <w:p w14:paraId="3FE0CAAE"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vAlign w:val="center"/>
          </w:tcPr>
          <w:p w14:paraId="2DCC4A68" w14:textId="77777777" w:rsidR="00F753E8" w:rsidRPr="00F745E6" w:rsidRDefault="00F753E8" w:rsidP="006E1769">
            <w:pPr>
              <w:jc w:val="right"/>
              <w:rPr>
                <w:rFonts w:ascii="Arial" w:hAnsi="Arial" w:cs="Arial"/>
                <w:color w:val="000000" w:themeColor="text1"/>
                <w:sz w:val="22"/>
                <w:szCs w:val="22"/>
              </w:rPr>
            </w:pPr>
            <w:r w:rsidRPr="004D3F70">
              <w:rPr>
                <w:rFonts w:ascii="Arial" w:hAnsi="Arial" w:cs="Arial"/>
                <w:b/>
                <w:bCs/>
                <w:color w:val="000000"/>
                <w:sz w:val="22"/>
                <w:szCs w:val="22"/>
              </w:rPr>
              <w:t>1,938</w:t>
            </w:r>
          </w:p>
        </w:tc>
        <w:tc>
          <w:tcPr>
            <w:tcW w:w="481" w:type="dxa"/>
            <w:gridSpan w:val="2"/>
            <w:tcBorders>
              <w:top w:val="nil"/>
              <w:left w:val="nil"/>
              <w:bottom w:val="nil"/>
              <w:right w:val="nil"/>
            </w:tcBorders>
            <w:shd w:val="clear" w:color="000000" w:fill="FFFFFF"/>
            <w:noWrap/>
            <w:vAlign w:val="bottom"/>
          </w:tcPr>
          <w:p w14:paraId="114F3F6A" w14:textId="77777777" w:rsidR="00F753E8" w:rsidRPr="005A20FD" w:rsidRDefault="00F753E8" w:rsidP="006E1769">
            <w:pPr>
              <w:jc w:val="right"/>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456" w:type="dxa"/>
            <w:tcBorders>
              <w:top w:val="nil"/>
              <w:left w:val="nil"/>
              <w:bottom w:val="nil"/>
              <w:right w:val="nil"/>
            </w:tcBorders>
            <w:shd w:val="clear" w:color="000000" w:fill="FFFFFF"/>
            <w:noWrap/>
          </w:tcPr>
          <w:p w14:paraId="284091DD"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1,909 </w:t>
            </w:r>
          </w:p>
        </w:tc>
      </w:tr>
      <w:tr w:rsidR="00F753E8" w:rsidRPr="005A20FD" w14:paraId="50C17FC9" w14:textId="77777777" w:rsidTr="006E1769">
        <w:trPr>
          <w:trHeight w:val="96"/>
          <w:jc w:val="center"/>
        </w:trPr>
        <w:tc>
          <w:tcPr>
            <w:tcW w:w="343" w:type="dxa"/>
            <w:tcBorders>
              <w:top w:val="nil"/>
              <w:left w:val="nil"/>
              <w:bottom w:val="nil"/>
              <w:right w:val="nil"/>
            </w:tcBorders>
            <w:shd w:val="clear" w:color="000000" w:fill="FFFFFF"/>
            <w:noWrap/>
            <w:vAlign w:val="bottom"/>
          </w:tcPr>
          <w:p w14:paraId="3D1AEA6F"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bottom"/>
          </w:tcPr>
          <w:p w14:paraId="4CA07BD7"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Total contributions from members</w:t>
            </w:r>
          </w:p>
        </w:tc>
        <w:tc>
          <w:tcPr>
            <w:tcW w:w="279" w:type="dxa"/>
            <w:tcBorders>
              <w:top w:val="nil"/>
              <w:left w:val="nil"/>
              <w:bottom w:val="nil"/>
              <w:right w:val="nil"/>
            </w:tcBorders>
            <w:shd w:val="clear" w:color="000000" w:fill="FFFFFF"/>
            <w:noWrap/>
            <w:vAlign w:val="bottom"/>
          </w:tcPr>
          <w:p w14:paraId="43BBC6F0"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single" w:sz="4" w:space="0" w:color="auto"/>
              <w:left w:val="nil"/>
              <w:bottom w:val="single" w:sz="8" w:space="0" w:color="auto"/>
              <w:right w:val="nil"/>
            </w:tcBorders>
            <w:shd w:val="clear" w:color="000000" w:fill="FFFFFF"/>
            <w:vAlign w:val="center"/>
          </w:tcPr>
          <w:p w14:paraId="15CBCB3E" w14:textId="77777777" w:rsidR="00F753E8" w:rsidRPr="00F745E6" w:rsidRDefault="00F753E8" w:rsidP="006E1769">
            <w:pPr>
              <w:jc w:val="right"/>
              <w:rPr>
                <w:rFonts w:ascii="Arial" w:hAnsi="Arial" w:cs="Arial"/>
                <w:color w:val="000000" w:themeColor="text1"/>
                <w:sz w:val="22"/>
                <w:szCs w:val="22"/>
              </w:rPr>
            </w:pPr>
            <w:r w:rsidRPr="00772B5C">
              <w:rPr>
                <w:rFonts w:ascii="Arial" w:hAnsi="Arial" w:cs="Arial"/>
                <w:b/>
                <w:color w:val="000000"/>
                <w:sz w:val="22"/>
                <w:szCs w:val="22"/>
              </w:rPr>
              <w:t>10,308</w:t>
            </w:r>
          </w:p>
        </w:tc>
        <w:tc>
          <w:tcPr>
            <w:tcW w:w="481" w:type="dxa"/>
            <w:gridSpan w:val="2"/>
            <w:tcBorders>
              <w:top w:val="nil"/>
              <w:left w:val="nil"/>
              <w:bottom w:val="nil"/>
              <w:right w:val="nil"/>
            </w:tcBorders>
            <w:shd w:val="clear" w:color="000000" w:fill="FFFFFF"/>
            <w:noWrap/>
            <w:vAlign w:val="bottom"/>
          </w:tcPr>
          <w:p w14:paraId="4640CC22" w14:textId="77777777" w:rsidR="00F753E8" w:rsidRPr="005A20FD" w:rsidRDefault="00F753E8" w:rsidP="006E1769">
            <w:pPr>
              <w:jc w:val="right"/>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456" w:type="dxa"/>
            <w:tcBorders>
              <w:top w:val="single" w:sz="4" w:space="0" w:color="auto"/>
              <w:left w:val="nil"/>
              <w:bottom w:val="single" w:sz="8" w:space="0" w:color="auto"/>
              <w:right w:val="nil"/>
            </w:tcBorders>
            <w:shd w:val="clear" w:color="000000" w:fill="FFFFFF"/>
            <w:noWrap/>
          </w:tcPr>
          <w:p w14:paraId="3EE4208C"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10,733 </w:t>
            </w:r>
          </w:p>
        </w:tc>
      </w:tr>
      <w:tr w:rsidR="00F753E8" w:rsidRPr="00F63CB7" w14:paraId="71151C71" w14:textId="77777777" w:rsidTr="006E1769">
        <w:trPr>
          <w:gridAfter w:val="3"/>
          <w:wAfter w:w="1937" w:type="dxa"/>
          <w:trHeight w:val="96"/>
          <w:jc w:val="center"/>
        </w:trPr>
        <w:tc>
          <w:tcPr>
            <w:tcW w:w="5871" w:type="dxa"/>
            <w:gridSpan w:val="2"/>
            <w:tcBorders>
              <w:top w:val="nil"/>
              <w:left w:val="nil"/>
              <w:bottom w:val="nil"/>
              <w:right w:val="nil"/>
            </w:tcBorders>
            <w:shd w:val="clear" w:color="000000" w:fill="FFFFFF"/>
            <w:noWrap/>
            <w:vAlign w:val="bottom"/>
          </w:tcPr>
          <w:p w14:paraId="2A503590" w14:textId="77777777" w:rsidR="00F753E8" w:rsidRPr="005A20FD" w:rsidRDefault="00F753E8" w:rsidP="006E1769">
            <w:pPr>
              <w:rPr>
                <w:rFonts w:ascii="Arial" w:hAnsi="Arial" w:cs="Arial"/>
                <w:b/>
                <w:bCs/>
                <w:color w:val="000000" w:themeColor="text1"/>
                <w:sz w:val="22"/>
                <w:szCs w:val="22"/>
              </w:rPr>
            </w:pPr>
          </w:p>
        </w:tc>
        <w:tc>
          <w:tcPr>
            <w:tcW w:w="279" w:type="dxa"/>
            <w:tcBorders>
              <w:top w:val="nil"/>
              <w:left w:val="nil"/>
              <w:bottom w:val="nil"/>
              <w:right w:val="nil"/>
            </w:tcBorders>
            <w:shd w:val="clear" w:color="000000" w:fill="FFFFFF"/>
            <w:noWrap/>
            <w:vAlign w:val="bottom"/>
          </w:tcPr>
          <w:p w14:paraId="62238C3C" w14:textId="77777777" w:rsidR="00F753E8" w:rsidRPr="005A20FD" w:rsidRDefault="00F753E8" w:rsidP="006E1769">
            <w:pPr>
              <w:jc w:val="center"/>
              <w:rPr>
                <w:rFonts w:ascii="Arial" w:hAnsi="Arial" w:cs="Arial"/>
                <w:color w:val="000000" w:themeColor="text1"/>
                <w:sz w:val="22"/>
                <w:szCs w:val="22"/>
              </w:rPr>
            </w:pPr>
          </w:p>
        </w:tc>
        <w:tc>
          <w:tcPr>
            <w:tcW w:w="1534" w:type="dxa"/>
            <w:tcBorders>
              <w:top w:val="nil"/>
              <w:left w:val="nil"/>
              <w:bottom w:val="nil"/>
              <w:right w:val="nil"/>
            </w:tcBorders>
            <w:shd w:val="clear" w:color="000000" w:fill="FFFFFF"/>
            <w:noWrap/>
            <w:vAlign w:val="bottom"/>
          </w:tcPr>
          <w:p w14:paraId="08C7B91C" w14:textId="77777777" w:rsidR="00F753E8" w:rsidRPr="005A20FD" w:rsidRDefault="00F753E8" w:rsidP="006E1769">
            <w:pPr>
              <w:jc w:val="right"/>
              <w:rPr>
                <w:rFonts w:ascii="Arial" w:hAnsi="Arial" w:cs="Arial"/>
                <w:color w:val="000000" w:themeColor="text1"/>
                <w:sz w:val="22"/>
                <w:szCs w:val="22"/>
              </w:rPr>
            </w:pPr>
          </w:p>
        </w:tc>
      </w:tr>
      <w:tr w:rsidR="00F753E8" w:rsidRPr="00F63CB7" w14:paraId="23A8DEDC" w14:textId="77777777" w:rsidTr="006E1769">
        <w:trPr>
          <w:gridAfter w:val="3"/>
          <w:wAfter w:w="1937" w:type="dxa"/>
          <w:trHeight w:val="96"/>
          <w:jc w:val="center"/>
        </w:trPr>
        <w:tc>
          <w:tcPr>
            <w:tcW w:w="5871" w:type="dxa"/>
            <w:gridSpan w:val="2"/>
            <w:tcBorders>
              <w:top w:val="nil"/>
              <w:left w:val="nil"/>
              <w:bottom w:val="nil"/>
              <w:right w:val="nil"/>
            </w:tcBorders>
            <w:shd w:val="clear" w:color="000000" w:fill="FFFFFF"/>
            <w:noWrap/>
            <w:vAlign w:val="bottom"/>
          </w:tcPr>
          <w:p w14:paraId="51F120DF" w14:textId="77777777" w:rsidR="00F753E8" w:rsidRPr="005A20FD" w:rsidRDefault="00F753E8" w:rsidP="006E1769">
            <w:pPr>
              <w:rPr>
                <w:rFonts w:ascii="Arial" w:hAnsi="Arial" w:cs="Arial"/>
                <w:b/>
                <w:bCs/>
                <w:color w:val="000000" w:themeColor="text1"/>
                <w:sz w:val="22"/>
                <w:szCs w:val="22"/>
              </w:rPr>
            </w:pPr>
            <w:proofErr w:type="gramStart"/>
            <w:r w:rsidRPr="005A20FD">
              <w:rPr>
                <w:rFonts w:ascii="Arial" w:hAnsi="Arial" w:cs="Arial"/>
                <w:b/>
                <w:bCs/>
                <w:color w:val="000000" w:themeColor="text1"/>
                <w:sz w:val="22"/>
                <w:szCs w:val="22"/>
              </w:rPr>
              <w:t>Employers</w:t>
            </w:r>
            <w:proofErr w:type="gramEnd"/>
            <w:r w:rsidRPr="005A20FD">
              <w:rPr>
                <w:rFonts w:ascii="Arial" w:hAnsi="Arial" w:cs="Arial"/>
                <w:b/>
                <w:bCs/>
                <w:color w:val="000000" w:themeColor="text1"/>
                <w:sz w:val="22"/>
                <w:szCs w:val="22"/>
              </w:rPr>
              <w:t xml:space="preserve"> contributions</w:t>
            </w:r>
          </w:p>
        </w:tc>
        <w:tc>
          <w:tcPr>
            <w:tcW w:w="279" w:type="dxa"/>
            <w:tcBorders>
              <w:top w:val="nil"/>
              <w:left w:val="nil"/>
              <w:bottom w:val="nil"/>
              <w:right w:val="nil"/>
            </w:tcBorders>
            <w:shd w:val="clear" w:color="000000" w:fill="FFFFFF"/>
            <w:noWrap/>
            <w:vAlign w:val="bottom"/>
          </w:tcPr>
          <w:p w14:paraId="2A86F4BD"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clear" w:color="000000" w:fill="FFFFFF"/>
            <w:noWrap/>
            <w:vAlign w:val="bottom"/>
          </w:tcPr>
          <w:p w14:paraId="1667B574" w14:textId="77777777" w:rsidR="00F753E8" w:rsidRPr="005A20FD" w:rsidRDefault="00F753E8" w:rsidP="006E1769">
            <w:pPr>
              <w:jc w:val="right"/>
              <w:rPr>
                <w:rFonts w:ascii="Arial" w:hAnsi="Arial" w:cs="Arial"/>
                <w:color w:val="000000" w:themeColor="text1"/>
                <w:sz w:val="22"/>
                <w:szCs w:val="22"/>
              </w:rPr>
            </w:pPr>
          </w:p>
        </w:tc>
      </w:tr>
      <w:tr w:rsidR="00F753E8" w:rsidRPr="005A20FD" w14:paraId="3EC0D7FC" w14:textId="77777777" w:rsidTr="006E1769">
        <w:trPr>
          <w:trHeight w:val="96"/>
          <w:jc w:val="center"/>
        </w:trPr>
        <w:tc>
          <w:tcPr>
            <w:tcW w:w="343" w:type="dxa"/>
            <w:tcBorders>
              <w:top w:val="nil"/>
              <w:left w:val="nil"/>
              <w:bottom w:val="nil"/>
              <w:right w:val="nil"/>
            </w:tcBorders>
            <w:shd w:val="clear" w:color="000000" w:fill="FFFFFF"/>
            <w:noWrap/>
            <w:vAlign w:val="bottom"/>
          </w:tcPr>
          <w:p w14:paraId="207A6ED9" w14:textId="77777777" w:rsidR="00F753E8" w:rsidRPr="005A20FD" w:rsidRDefault="00F753E8" w:rsidP="006E1769">
            <w:pPr>
              <w:rPr>
                <w:rFonts w:ascii="Arial" w:hAnsi="Arial" w:cs="Arial"/>
                <w:b/>
                <w:bCs/>
                <w:color w:val="000000" w:themeColor="text1"/>
                <w:sz w:val="22"/>
                <w:szCs w:val="22"/>
              </w:rPr>
            </w:pPr>
          </w:p>
        </w:tc>
        <w:tc>
          <w:tcPr>
            <w:tcW w:w="5528" w:type="dxa"/>
            <w:tcBorders>
              <w:top w:val="nil"/>
              <w:left w:val="nil"/>
              <w:bottom w:val="nil"/>
              <w:right w:val="nil"/>
            </w:tcBorders>
            <w:shd w:val="clear" w:color="000000" w:fill="FFFFFF"/>
            <w:noWrap/>
            <w:vAlign w:val="center"/>
          </w:tcPr>
          <w:p w14:paraId="13FB34E8" w14:textId="77777777" w:rsidR="00F753E8" w:rsidRPr="005A20FD" w:rsidRDefault="00F753E8" w:rsidP="006E1769">
            <w:pPr>
              <w:ind w:left="-318" w:firstLine="318"/>
              <w:rPr>
                <w:rFonts w:ascii="Arial" w:hAnsi="Arial" w:cs="Arial"/>
                <w:color w:val="000000" w:themeColor="text1"/>
                <w:sz w:val="22"/>
                <w:szCs w:val="22"/>
              </w:rPr>
            </w:pPr>
            <w:r w:rsidRPr="005A20FD">
              <w:rPr>
                <w:rFonts w:ascii="Arial" w:hAnsi="Arial" w:cs="Arial"/>
                <w:color w:val="000000" w:themeColor="text1"/>
                <w:sz w:val="22"/>
                <w:szCs w:val="22"/>
              </w:rPr>
              <w:t>Council - Normal</w:t>
            </w:r>
          </w:p>
        </w:tc>
        <w:tc>
          <w:tcPr>
            <w:tcW w:w="279" w:type="dxa"/>
            <w:tcBorders>
              <w:top w:val="nil"/>
              <w:left w:val="nil"/>
              <w:bottom w:val="nil"/>
              <w:right w:val="nil"/>
            </w:tcBorders>
            <w:shd w:val="clear" w:color="000000" w:fill="FFFFFF"/>
            <w:noWrap/>
            <w:vAlign w:val="bottom"/>
          </w:tcPr>
          <w:p w14:paraId="272952FE" w14:textId="77777777" w:rsidR="00F753E8" w:rsidRPr="005A20FD" w:rsidRDefault="00F753E8" w:rsidP="006E1769">
            <w:pPr>
              <w:jc w:val="center"/>
              <w:rPr>
                <w:rFonts w:ascii="Arial" w:hAnsi="Arial" w:cs="Arial"/>
                <w:color w:val="000000" w:themeColor="text1"/>
                <w:sz w:val="22"/>
                <w:szCs w:val="22"/>
              </w:rPr>
            </w:pPr>
          </w:p>
        </w:tc>
        <w:tc>
          <w:tcPr>
            <w:tcW w:w="1534" w:type="dxa"/>
            <w:tcBorders>
              <w:top w:val="nil"/>
              <w:left w:val="nil"/>
              <w:bottom w:val="nil"/>
              <w:right w:val="nil"/>
            </w:tcBorders>
            <w:shd w:val="solid" w:color="FFFFFF" w:fill="auto"/>
            <w:vAlign w:val="center"/>
          </w:tcPr>
          <w:p w14:paraId="7761A247" w14:textId="77777777" w:rsidR="00F753E8" w:rsidRPr="00F745E6" w:rsidRDefault="00F753E8" w:rsidP="006E1769">
            <w:pPr>
              <w:jc w:val="right"/>
              <w:rPr>
                <w:rFonts w:ascii="Arial" w:hAnsi="Arial" w:cs="Arial"/>
                <w:bCs/>
                <w:color w:val="000000" w:themeColor="text1"/>
                <w:sz w:val="22"/>
                <w:szCs w:val="22"/>
              </w:rPr>
            </w:pPr>
            <w:r w:rsidRPr="00C7072A">
              <w:rPr>
                <w:rFonts w:ascii="Arial" w:hAnsi="Arial" w:cs="Arial"/>
                <w:b/>
                <w:bCs/>
                <w:color w:val="000000"/>
                <w:sz w:val="22"/>
                <w:szCs w:val="22"/>
              </w:rPr>
              <w:t>21,601</w:t>
            </w:r>
          </w:p>
        </w:tc>
        <w:tc>
          <w:tcPr>
            <w:tcW w:w="481" w:type="dxa"/>
            <w:gridSpan w:val="2"/>
            <w:tcBorders>
              <w:top w:val="nil"/>
              <w:left w:val="nil"/>
              <w:bottom w:val="nil"/>
              <w:right w:val="nil"/>
            </w:tcBorders>
            <w:shd w:val="clear" w:color="000000" w:fill="FFFFFF"/>
            <w:noWrap/>
            <w:vAlign w:val="bottom"/>
          </w:tcPr>
          <w:p w14:paraId="779B6CFC" w14:textId="77777777" w:rsidR="00F753E8" w:rsidRPr="005A20FD" w:rsidRDefault="00F753E8" w:rsidP="006E1769">
            <w:pPr>
              <w:jc w:val="right"/>
              <w:rPr>
                <w:rFonts w:ascii="Arial" w:hAnsi="Arial" w:cs="Arial"/>
                <w:color w:val="000000" w:themeColor="text1"/>
                <w:sz w:val="22"/>
                <w:szCs w:val="22"/>
              </w:rPr>
            </w:pPr>
          </w:p>
        </w:tc>
        <w:tc>
          <w:tcPr>
            <w:tcW w:w="1456" w:type="dxa"/>
            <w:tcBorders>
              <w:top w:val="nil"/>
              <w:left w:val="nil"/>
              <w:bottom w:val="nil"/>
              <w:right w:val="nil"/>
            </w:tcBorders>
            <w:shd w:val="clear" w:color="000000" w:fill="FFFFFF"/>
            <w:noWrap/>
          </w:tcPr>
          <w:p w14:paraId="20B0EEAB"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23,784 </w:t>
            </w:r>
          </w:p>
        </w:tc>
      </w:tr>
      <w:tr w:rsidR="00F753E8" w:rsidRPr="005A20FD" w14:paraId="057F0916" w14:textId="77777777" w:rsidTr="006E1769">
        <w:trPr>
          <w:trHeight w:val="96"/>
          <w:jc w:val="center"/>
        </w:trPr>
        <w:tc>
          <w:tcPr>
            <w:tcW w:w="343" w:type="dxa"/>
            <w:tcBorders>
              <w:top w:val="nil"/>
              <w:left w:val="nil"/>
              <w:bottom w:val="nil"/>
              <w:right w:val="nil"/>
            </w:tcBorders>
            <w:shd w:val="clear" w:color="000000" w:fill="FFFFFF"/>
            <w:noWrap/>
            <w:vAlign w:val="bottom"/>
          </w:tcPr>
          <w:p w14:paraId="072AAB6D" w14:textId="77777777" w:rsidR="00F753E8" w:rsidRPr="005A20FD" w:rsidRDefault="00F753E8" w:rsidP="006E1769">
            <w:pPr>
              <w:rPr>
                <w:rFonts w:ascii="Arial" w:hAnsi="Arial" w:cs="Arial"/>
                <w:b/>
                <w:bCs/>
                <w:color w:val="000000" w:themeColor="text1"/>
                <w:sz w:val="22"/>
                <w:szCs w:val="22"/>
              </w:rPr>
            </w:pPr>
          </w:p>
        </w:tc>
        <w:tc>
          <w:tcPr>
            <w:tcW w:w="5528" w:type="dxa"/>
            <w:tcBorders>
              <w:top w:val="nil"/>
              <w:left w:val="nil"/>
              <w:bottom w:val="nil"/>
              <w:right w:val="nil"/>
            </w:tcBorders>
            <w:shd w:val="clear" w:color="000000" w:fill="FFFFFF"/>
            <w:noWrap/>
            <w:vAlign w:val="center"/>
          </w:tcPr>
          <w:p w14:paraId="0AFF3603"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Council - Deficit Recovery</w:t>
            </w:r>
          </w:p>
        </w:tc>
        <w:tc>
          <w:tcPr>
            <w:tcW w:w="279" w:type="dxa"/>
            <w:tcBorders>
              <w:top w:val="nil"/>
              <w:left w:val="nil"/>
              <w:bottom w:val="nil"/>
              <w:right w:val="nil"/>
            </w:tcBorders>
            <w:shd w:val="clear" w:color="000000" w:fill="FFFFFF"/>
            <w:noWrap/>
            <w:vAlign w:val="bottom"/>
          </w:tcPr>
          <w:p w14:paraId="7BC7DA84" w14:textId="77777777" w:rsidR="00F753E8" w:rsidRPr="005A20FD" w:rsidRDefault="00F753E8" w:rsidP="006E1769">
            <w:pPr>
              <w:jc w:val="center"/>
              <w:rPr>
                <w:rFonts w:ascii="Arial" w:hAnsi="Arial" w:cs="Arial"/>
                <w:color w:val="000000" w:themeColor="text1"/>
                <w:sz w:val="22"/>
                <w:szCs w:val="22"/>
              </w:rPr>
            </w:pPr>
          </w:p>
        </w:tc>
        <w:tc>
          <w:tcPr>
            <w:tcW w:w="1534" w:type="dxa"/>
            <w:tcBorders>
              <w:top w:val="nil"/>
              <w:left w:val="nil"/>
              <w:bottom w:val="nil"/>
              <w:right w:val="nil"/>
            </w:tcBorders>
            <w:shd w:val="solid" w:color="FFFFFF" w:fill="auto"/>
            <w:vAlign w:val="center"/>
          </w:tcPr>
          <w:p w14:paraId="3D16FA75" w14:textId="77777777" w:rsidR="00F753E8" w:rsidRPr="00F745E6" w:rsidRDefault="00F753E8" w:rsidP="006E1769">
            <w:pPr>
              <w:jc w:val="right"/>
              <w:rPr>
                <w:rFonts w:ascii="Arial" w:hAnsi="Arial" w:cs="Arial"/>
                <w:bCs/>
                <w:color w:val="000000" w:themeColor="text1"/>
                <w:sz w:val="22"/>
                <w:szCs w:val="22"/>
              </w:rPr>
            </w:pPr>
            <w:r w:rsidRPr="00C7072A">
              <w:rPr>
                <w:rFonts w:ascii="Arial" w:hAnsi="Arial" w:cs="Arial"/>
                <w:b/>
                <w:bCs/>
                <w:color w:val="000000"/>
                <w:sz w:val="22"/>
                <w:szCs w:val="22"/>
              </w:rPr>
              <w:t>3,052</w:t>
            </w:r>
          </w:p>
        </w:tc>
        <w:tc>
          <w:tcPr>
            <w:tcW w:w="481" w:type="dxa"/>
            <w:gridSpan w:val="2"/>
            <w:tcBorders>
              <w:top w:val="nil"/>
              <w:left w:val="nil"/>
              <w:bottom w:val="nil"/>
              <w:right w:val="nil"/>
            </w:tcBorders>
            <w:shd w:val="clear" w:color="000000" w:fill="FFFFFF"/>
            <w:noWrap/>
            <w:vAlign w:val="bottom"/>
          </w:tcPr>
          <w:p w14:paraId="359321C3" w14:textId="77777777" w:rsidR="00F753E8" w:rsidRPr="005A20FD" w:rsidRDefault="00F753E8" w:rsidP="006E1769">
            <w:pPr>
              <w:jc w:val="right"/>
              <w:rPr>
                <w:rFonts w:ascii="Arial" w:hAnsi="Arial" w:cs="Arial"/>
                <w:color w:val="000000" w:themeColor="text1"/>
                <w:sz w:val="22"/>
                <w:szCs w:val="22"/>
              </w:rPr>
            </w:pPr>
          </w:p>
        </w:tc>
        <w:tc>
          <w:tcPr>
            <w:tcW w:w="1456" w:type="dxa"/>
            <w:tcBorders>
              <w:top w:val="nil"/>
              <w:left w:val="nil"/>
              <w:bottom w:val="nil"/>
              <w:right w:val="nil"/>
            </w:tcBorders>
            <w:shd w:val="clear" w:color="000000" w:fill="FFFFFF"/>
            <w:noWrap/>
          </w:tcPr>
          <w:p w14:paraId="688305B6"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3,36</w:t>
            </w:r>
            <w:r>
              <w:rPr>
                <w:rFonts w:ascii="Arial" w:hAnsi="Arial" w:cs="Arial"/>
                <w:b/>
                <w:bCs/>
                <w:sz w:val="22"/>
                <w:szCs w:val="22"/>
              </w:rPr>
              <w:t>1</w:t>
            </w:r>
            <w:r w:rsidRPr="00F63CB7">
              <w:rPr>
                <w:rFonts w:ascii="Arial" w:hAnsi="Arial" w:cs="Arial"/>
                <w:b/>
                <w:bCs/>
                <w:sz w:val="22"/>
                <w:szCs w:val="22"/>
              </w:rPr>
              <w:t xml:space="preserve"> </w:t>
            </w:r>
          </w:p>
        </w:tc>
      </w:tr>
      <w:tr w:rsidR="00F753E8" w:rsidRPr="005A20FD" w14:paraId="218DE51D" w14:textId="77777777" w:rsidTr="006E1769">
        <w:trPr>
          <w:trHeight w:val="96"/>
          <w:jc w:val="center"/>
        </w:trPr>
        <w:tc>
          <w:tcPr>
            <w:tcW w:w="343" w:type="dxa"/>
            <w:tcBorders>
              <w:top w:val="nil"/>
              <w:left w:val="nil"/>
              <w:bottom w:val="nil"/>
              <w:right w:val="nil"/>
            </w:tcBorders>
            <w:shd w:val="clear" w:color="000000" w:fill="FFFFFF"/>
            <w:noWrap/>
            <w:vAlign w:val="bottom"/>
          </w:tcPr>
          <w:p w14:paraId="758C4F08" w14:textId="77777777" w:rsidR="00F753E8" w:rsidRPr="005A20FD" w:rsidRDefault="00F753E8" w:rsidP="006E1769">
            <w:pPr>
              <w:rPr>
                <w:rFonts w:ascii="Arial" w:hAnsi="Arial" w:cs="Arial"/>
                <w:b/>
                <w:bCs/>
                <w:color w:val="000000" w:themeColor="text1"/>
                <w:sz w:val="22"/>
                <w:szCs w:val="22"/>
              </w:rPr>
            </w:pPr>
          </w:p>
        </w:tc>
        <w:tc>
          <w:tcPr>
            <w:tcW w:w="5528" w:type="dxa"/>
            <w:tcBorders>
              <w:top w:val="nil"/>
              <w:left w:val="nil"/>
              <w:bottom w:val="nil"/>
              <w:right w:val="nil"/>
            </w:tcBorders>
            <w:shd w:val="clear" w:color="000000" w:fill="FFFFFF"/>
            <w:noWrap/>
            <w:vAlign w:val="center"/>
          </w:tcPr>
          <w:p w14:paraId="22C0CF08"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Admitted bodies - Normal</w:t>
            </w:r>
          </w:p>
        </w:tc>
        <w:tc>
          <w:tcPr>
            <w:tcW w:w="279" w:type="dxa"/>
            <w:tcBorders>
              <w:top w:val="nil"/>
              <w:left w:val="nil"/>
              <w:bottom w:val="nil"/>
              <w:right w:val="nil"/>
            </w:tcBorders>
            <w:shd w:val="clear" w:color="000000" w:fill="FFFFFF"/>
            <w:noWrap/>
            <w:vAlign w:val="bottom"/>
          </w:tcPr>
          <w:p w14:paraId="59D339C0" w14:textId="77777777" w:rsidR="00F753E8" w:rsidRPr="005A20FD" w:rsidRDefault="00F753E8" w:rsidP="006E1769">
            <w:pPr>
              <w:jc w:val="center"/>
              <w:rPr>
                <w:rFonts w:ascii="Arial" w:hAnsi="Arial" w:cs="Arial"/>
                <w:color w:val="000000" w:themeColor="text1"/>
                <w:sz w:val="22"/>
                <w:szCs w:val="22"/>
              </w:rPr>
            </w:pPr>
          </w:p>
        </w:tc>
        <w:tc>
          <w:tcPr>
            <w:tcW w:w="1534" w:type="dxa"/>
            <w:tcBorders>
              <w:top w:val="nil"/>
              <w:left w:val="nil"/>
              <w:bottom w:val="nil"/>
              <w:right w:val="nil"/>
            </w:tcBorders>
            <w:shd w:val="solid" w:color="FFFFFF" w:fill="auto"/>
            <w:vAlign w:val="center"/>
          </w:tcPr>
          <w:p w14:paraId="175B5E68" w14:textId="77777777" w:rsidR="00F753E8" w:rsidRPr="00F745E6" w:rsidRDefault="00F753E8" w:rsidP="006E1769">
            <w:pPr>
              <w:jc w:val="right"/>
              <w:rPr>
                <w:rFonts w:ascii="Arial" w:hAnsi="Arial" w:cs="Arial"/>
                <w:bCs/>
                <w:color w:val="000000" w:themeColor="text1"/>
                <w:sz w:val="22"/>
                <w:szCs w:val="22"/>
              </w:rPr>
            </w:pPr>
            <w:r w:rsidRPr="00C7072A">
              <w:rPr>
                <w:rFonts w:ascii="Arial" w:hAnsi="Arial" w:cs="Arial"/>
                <w:b/>
                <w:bCs/>
                <w:color w:val="000000"/>
                <w:sz w:val="22"/>
                <w:szCs w:val="22"/>
              </w:rPr>
              <w:t>2,193</w:t>
            </w:r>
          </w:p>
        </w:tc>
        <w:tc>
          <w:tcPr>
            <w:tcW w:w="481" w:type="dxa"/>
            <w:gridSpan w:val="2"/>
            <w:tcBorders>
              <w:top w:val="nil"/>
              <w:left w:val="nil"/>
              <w:bottom w:val="nil"/>
              <w:right w:val="nil"/>
            </w:tcBorders>
            <w:shd w:val="clear" w:color="000000" w:fill="FFFFFF"/>
            <w:noWrap/>
            <w:vAlign w:val="bottom"/>
          </w:tcPr>
          <w:p w14:paraId="27418596" w14:textId="77777777" w:rsidR="00F753E8" w:rsidRPr="005A20FD" w:rsidRDefault="00F753E8" w:rsidP="006E1769">
            <w:pPr>
              <w:jc w:val="right"/>
              <w:rPr>
                <w:rFonts w:ascii="Arial" w:hAnsi="Arial" w:cs="Arial"/>
                <w:color w:val="000000" w:themeColor="text1"/>
                <w:sz w:val="22"/>
                <w:szCs w:val="22"/>
              </w:rPr>
            </w:pPr>
          </w:p>
        </w:tc>
        <w:tc>
          <w:tcPr>
            <w:tcW w:w="1456" w:type="dxa"/>
            <w:tcBorders>
              <w:top w:val="nil"/>
              <w:left w:val="nil"/>
              <w:bottom w:val="nil"/>
              <w:right w:val="nil"/>
            </w:tcBorders>
            <w:shd w:val="clear" w:color="000000" w:fill="FFFFFF"/>
            <w:noWrap/>
          </w:tcPr>
          <w:p w14:paraId="17AEA21D"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1,94</w:t>
            </w:r>
            <w:r>
              <w:rPr>
                <w:rFonts w:ascii="Arial" w:hAnsi="Arial" w:cs="Arial"/>
                <w:b/>
                <w:bCs/>
                <w:sz w:val="22"/>
                <w:szCs w:val="22"/>
              </w:rPr>
              <w:t>1</w:t>
            </w:r>
            <w:r w:rsidRPr="00F63CB7">
              <w:rPr>
                <w:rFonts w:ascii="Arial" w:hAnsi="Arial" w:cs="Arial"/>
                <w:b/>
                <w:bCs/>
                <w:sz w:val="22"/>
                <w:szCs w:val="22"/>
              </w:rPr>
              <w:t xml:space="preserve"> </w:t>
            </w:r>
          </w:p>
        </w:tc>
      </w:tr>
      <w:tr w:rsidR="00F753E8" w:rsidRPr="005A20FD" w14:paraId="5C52DD93" w14:textId="77777777" w:rsidTr="006E1769">
        <w:trPr>
          <w:trHeight w:val="96"/>
          <w:jc w:val="center"/>
        </w:trPr>
        <w:tc>
          <w:tcPr>
            <w:tcW w:w="343" w:type="dxa"/>
            <w:tcBorders>
              <w:top w:val="nil"/>
              <w:left w:val="nil"/>
              <w:bottom w:val="nil"/>
              <w:right w:val="nil"/>
            </w:tcBorders>
            <w:shd w:val="clear" w:color="000000" w:fill="FFFFFF"/>
            <w:noWrap/>
            <w:vAlign w:val="bottom"/>
          </w:tcPr>
          <w:p w14:paraId="5B9B5450"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center"/>
          </w:tcPr>
          <w:p w14:paraId="70FE658A"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Admitted bodies- Deficit Recovery</w:t>
            </w:r>
          </w:p>
        </w:tc>
        <w:tc>
          <w:tcPr>
            <w:tcW w:w="279" w:type="dxa"/>
            <w:tcBorders>
              <w:top w:val="nil"/>
              <w:left w:val="nil"/>
              <w:bottom w:val="nil"/>
              <w:right w:val="nil"/>
            </w:tcBorders>
            <w:shd w:val="clear" w:color="000000" w:fill="FFFFFF"/>
            <w:noWrap/>
            <w:vAlign w:val="bottom"/>
          </w:tcPr>
          <w:p w14:paraId="6A8A4F39"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solid" w:color="FFFFFF" w:fill="auto"/>
            <w:vAlign w:val="center"/>
          </w:tcPr>
          <w:p w14:paraId="570E33B8" w14:textId="77777777" w:rsidR="00F753E8" w:rsidRPr="00F745E6" w:rsidRDefault="00F753E8" w:rsidP="006E1769">
            <w:pPr>
              <w:jc w:val="right"/>
              <w:rPr>
                <w:rFonts w:ascii="Arial" w:hAnsi="Arial" w:cs="Arial"/>
                <w:bCs/>
                <w:color w:val="000000" w:themeColor="text1"/>
                <w:sz w:val="22"/>
                <w:szCs w:val="22"/>
              </w:rPr>
            </w:pPr>
            <w:r w:rsidRPr="00C7072A">
              <w:rPr>
                <w:rFonts w:ascii="Arial" w:hAnsi="Arial" w:cs="Arial"/>
                <w:b/>
                <w:bCs/>
                <w:color w:val="000000"/>
                <w:sz w:val="22"/>
                <w:szCs w:val="22"/>
              </w:rPr>
              <w:t>107</w:t>
            </w:r>
          </w:p>
        </w:tc>
        <w:tc>
          <w:tcPr>
            <w:tcW w:w="481" w:type="dxa"/>
            <w:gridSpan w:val="2"/>
            <w:tcBorders>
              <w:top w:val="nil"/>
              <w:left w:val="nil"/>
              <w:bottom w:val="nil"/>
              <w:right w:val="nil"/>
            </w:tcBorders>
            <w:shd w:val="clear" w:color="000000" w:fill="FFFFFF"/>
            <w:noWrap/>
            <w:vAlign w:val="bottom"/>
          </w:tcPr>
          <w:p w14:paraId="56E2F6E7" w14:textId="77777777" w:rsidR="00F753E8" w:rsidRPr="005A20FD" w:rsidRDefault="00F753E8" w:rsidP="006E1769">
            <w:pPr>
              <w:jc w:val="right"/>
              <w:rPr>
                <w:rFonts w:ascii="Arial" w:hAnsi="Arial" w:cs="Arial"/>
                <w:color w:val="000000" w:themeColor="text1"/>
                <w:sz w:val="22"/>
                <w:szCs w:val="22"/>
              </w:rPr>
            </w:pPr>
          </w:p>
        </w:tc>
        <w:tc>
          <w:tcPr>
            <w:tcW w:w="1456" w:type="dxa"/>
            <w:tcBorders>
              <w:top w:val="nil"/>
              <w:left w:val="nil"/>
              <w:bottom w:val="nil"/>
              <w:right w:val="nil"/>
            </w:tcBorders>
            <w:shd w:val="clear" w:color="000000" w:fill="FFFFFF"/>
            <w:noWrap/>
          </w:tcPr>
          <w:p w14:paraId="5C26ECAF"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9</w:t>
            </w:r>
            <w:r>
              <w:rPr>
                <w:rFonts w:ascii="Arial" w:hAnsi="Arial" w:cs="Arial"/>
                <w:b/>
                <w:bCs/>
                <w:sz w:val="22"/>
                <w:szCs w:val="22"/>
              </w:rPr>
              <w:t>9</w:t>
            </w:r>
            <w:r w:rsidRPr="00F63CB7">
              <w:rPr>
                <w:rFonts w:ascii="Arial" w:hAnsi="Arial" w:cs="Arial"/>
                <w:b/>
                <w:bCs/>
                <w:sz w:val="22"/>
                <w:szCs w:val="22"/>
              </w:rPr>
              <w:t xml:space="preserve"> </w:t>
            </w:r>
          </w:p>
        </w:tc>
      </w:tr>
      <w:tr w:rsidR="00F753E8" w:rsidRPr="005A20FD" w14:paraId="2191404F" w14:textId="77777777" w:rsidTr="006E1769">
        <w:trPr>
          <w:trHeight w:val="96"/>
          <w:jc w:val="center"/>
        </w:trPr>
        <w:tc>
          <w:tcPr>
            <w:tcW w:w="343" w:type="dxa"/>
            <w:tcBorders>
              <w:top w:val="nil"/>
              <w:left w:val="nil"/>
              <w:bottom w:val="nil"/>
              <w:right w:val="nil"/>
            </w:tcBorders>
            <w:shd w:val="clear" w:color="000000" w:fill="FFFFFF"/>
            <w:noWrap/>
            <w:vAlign w:val="bottom"/>
          </w:tcPr>
          <w:p w14:paraId="720B2EBC"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center"/>
          </w:tcPr>
          <w:p w14:paraId="320CD670"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Scheduled bodies - Normal</w:t>
            </w:r>
          </w:p>
        </w:tc>
        <w:tc>
          <w:tcPr>
            <w:tcW w:w="279" w:type="dxa"/>
            <w:tcBorders>
              <w:top w:val="nil"/>
              <w:left w:val="nil"/>
              <w:bottom w:val="nil"/>
              <w:right w:val="nil"/>
            </w:tcBorders>
            <w:shd w:val="clear" w:color="000000" w:fill="FFFFFF"/>
            <w:noWrap/>
            <w:vAlign w:val="bottom"/>
          </w:tcPr>
          <w:p w14:paraId="318B4F25"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solid" w:color="FFFFFF" w:fill="auto"/>
            <w:vAlign w:val="center"/>
          </w:tcPr>
          <w:p w14:paraId="48680AB8" w14:textId="77777777" w:rsidR="00F753E8" w:rsidRPr="00F745E6" w:rsidRDefault="00F753E8" w:rsidP="006E1769">
            <w:pPr>
              <w:jc w:val="right"/>
              <w:rPr>
                <w:rFonts w:ascii="Arial" w:hAnsi="Arial" w:cs="Arial"/>
                <w:bCs/>
                <w:color w:val="000000" w:themeColor="text1"/>
                <w:sz w:val="22"/>
                <w:szCs w:val="22"/>
              </w:rPr>
            </w:pPr>
            <w:r w:rsidRPr="00C7072A">
              <w:rPr>
                <w:rFonts w:ascii="Arial" w:hAnsi="Arial" w:cs="Arial"/>
                <w:b/>
                <w:bCs/>
                <w:color w:val="000000"/>
                <w:sz w:val="22"/>
                <w:szCs w:val="22"/>
              </w:rPr>
              <w:t>5,851</w:t>
            </w:r>
          </w:p>
        </w:tc>
        <w:tc>
          <w:tcPr>
            <w:tcW w:w="481" w:type="dxa"/>
            <w:gridSpan w:val="2"/>
            <w:tcBorders>
              <w:top w:val="nil"/>
              <w:left w:val="nil"/>
              <w:bottom w:val="nil"/>
              <w:right w:val="nil"/>
            </w:tcBorders>
            <w:shd w:val="clear" w:color="000000" w:fill="FFFFFF"/>
            <w:noWrap/>
            <w:vAlign w:val="bottom"/>
          </w:tcPr>
          <w:p w14:paraId="5A700B3C" w14:textId="77777777" w:rsidR="00F753E8" w:rsidRPr="005A20FD" w:rsidRDefault="00F753E8" w:rsidP="006E1769">
            <w:pPr>
              <w:jc w:val="right"/>
              <w:rPr>
                <w:rFonts w:ascii="Arial" w:hAnsi="Arial" w:cs="Arial"/>
                <w:color w:val="000000" w:themeColor="text1"/>
                <w:sz w:val="22"/>
                <w:szCs w:val="22"/>
              </w:rPr>
            </w:pPr>
          </w:p>
        </w:tc>
        <w:tc>
          <w:tcPr>
            <w:tcW w:w="1456" w:type="dxa"/>
            <w:tcBorders>
              <w:top w:val="nil"/>
              <w:left w:val="nil"/>
              <w:bottom w:val="nil"/>
              <w:right w:val="nil"/>
            </w:tcBorders>
            <w:shd w:val="clear" w:color="000000" w:fill="FFFFFF"/>
            <w:noWrap/>
          </w:tcPr>
          <w:p w14:paraId="176BE733"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5,</w:t>
            </w:r>
            <w:r>
              <w:rPr>
                <w:rFonts w:ascii="Arial" w:hAnsi="Arial" w:cs="Arial"/>
                <w:b/>
                <w:bCs/>
                <w:sz w:val="22"/>
                <w:szCs w:val="22"/>
              </w:rPr>
              <w:t>732</w:t>
            </w:r>
            <w:r w:rsidRPr="00F63CB7">
              <w:rPr>
                <w:rFonts w:ascii="Arial" w:hAnsi="Arial" w:cs="Arial"/>
                <w:b/>
                <w:bCs/>
                <w:sz w:val="22"/>
                <w:szCs w:val="22"/>
              </w:rPr>
              <w:t xml:space="preserve"> </w:t>
            </w:r>
          </w:p>
        </w:tc>
      </w:tr>
      <w:tr w:rsidR="00F753E8" w:rsidRPr="005A20FD" w14:paraId="09D3AA43" w14:textId="77777777" w:rsidTr="006E1769">
        <w:trPr>
          <w:trHeight w:val="96"/>
          <w:jc w:val="center"/>
        </w:trPr>
        <w:tc>
          <w:tcPr>
            <w:tcW w:w="343" w:type="dxa"/>
            <w:tcBorders>
              <w:top w:val="nil"/>
              <w:left w:val="nil"/>
              <w:bottom w:val="nil"/>
              <w:right w:val="nil"/>
            </w:tcBorders>
            <w:shd w:val="clear" w:color="000000" w:fill="FFFFFF"/>
            <w:noWrap/>
            <w:vAlign w:val="bottom"/>
          </w:tcPr>
          <w:p w14:paraId="5C5CD3B0"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center"/>
          </w:tcPr>
          <w:p w14:paraId="70320198"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Scheduled bodies- Deficit Recovery</w:t>
            </w:r>
          </w:p>
        </w:tc>
        <w:tc>
          <w:tcPr>
            <w:tcW w:w="279" w:type="dxa"/>
            <w:tcBorders>
              <w:top w:val="nil"/>
              <w:left w:val="nil"/>
              <w:bottom w:val="nil"/>
              <w:right w:val="nil"/>
            </w:tcBorders>
            <w:shd w:val="clear" w:color="000000" w:fill="FFFFFF"/>
            <w:noWrap/>
            <w:vAlign w:val="bottom"/>
          </w:tcPr>
          <w:p w14:paraId="49740B52"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solid" w:color="FFFFFF" w:fill="auto"/>
            <w:vAlign w:val="center"/>
          </w:tcPr>
          <w:p w14:paraId="03E3203C" w14:textId="77777777" w:rsidR="00F753E8" w:rsidRPr="00F745E6" w:rsidRDefault="00F753E8" w:rsidP="006E1769">
            <w:pPr>
              <w:jc w:val="right"/>
              <w:rPr>
                <w:rFonts w:ascii="Arial" w:hAnsi="Arial" w:cs="Arial"/>
                <w:bCs/>
                <w:color w:val="000000" w:themeColor="text1"/>
                <w:sz w:val="22"/>
                <w:szCs w:val="22"/>
              </w:rPr>
            </w:pPr>
            <w:r w:rsidRPr="00C7072A">
              <w:rPr>
                <w:rFonts w:ascii="Arial" w:hAnsi="Arial" w:cs="Arial"/>
                <w:b/>
                <w:bCs/>
                <w:color w:val="000000"/>
                <w:sz w:val="22"/>
                <w:szCs w:val="22"/>
              </w:rPr>
              <w:t>1,805</w:t>
            </w:r>
          </w:p>
        </w:tc>
        <w:tc>
          <w:tcPr>
            <w:tcW w:w="481" w:type="dxa"/>
            <w:gridSpan w:val="2"/>
            <w:tcBorders>
              <w:top w:val="nil"/>
              <w:left w:val="nil"/>
              <w:bottom w:val="nil"/>
              <w:right w:val="nil"/>
            </w:tcBorders>
            <w:shd w:val="clear" w:color="000000" w:fill="FFFFFF"/>
            <w:noWrap/>
            <w:vAlign w:val="bottom"/>
          </w:tcPr>
          <w:p w14:paraId="3B58504D" w14:textId="77777777" w:rsidR="00F753E8" w:rsidRPr="005A20FD" w:rsidRDefault="00F753E8" w:rsidP="006E1769">
            <w:pPr>
              <w:jc w:val="right"/>
              <w:rPr>
                <w:rFonts w:ascii="Arial" w:hAnsi="Arial" w:cs="Arial"/>
                <w:color w:val="000000" w:themeColor="text1"/>
                <w:sz w:val="22"/>
                <w:szCs w:val="22"/>
              </w:rPr>
            </w:pPr>
          </w:p>
        </w:tc>
        <w:tc>
          <w:tcPr>
            <w:tcW w:w="1456" w:type="dxa"/>
            <w:tcBorders>
              <w:top w:val="nil"/>
              <w:left w:val="nil"/>
              <w:bottom w:val="nil"/>
              <w:right w:val="nil"/>
            </w:tcBorders>
            <w:shd w:val="clear" w:color="000000" w:fill="FFFFFF"/>
            <w:noWrap/>
          </w:tcPr>
          <w:p w14:paraId="460D5DC8"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1,</w:t>
            </w:r>
            <w:r>
              <w:rPr>
                <w:rFonts w:ascii="Arial" w:hAnsi="Arial" w:cs="Arial"/>
                <w:b/>
                <w:bCs/>
                <w:sz w:val="22"/>
                <w:szCs w:val="22"/>
              </w:rPr>
              <w:t>674</w:t>
            </w:r>
            <w:r w:rsidRPr="00F63CB7">
              <w:rPr>
                <w:rFonts w:ascii="Arial" w:hAnsi="Arial" w:cs="Arial"/>
                <w:b/>
                <w:bCs/>
                <w:sz w:val="22"/>
                <w:szCs w:val="22"/>
              </w:rPr>
              <w:t xml:space="preserve"> </w:t>
            </w:r>
          </w:p>
        </w:tc>
      </w:tr>
      <w:tr w:rsidR="00F753E8" w:rsidRPr="005A20FD" w14:paraId="5102F8B8" w14:textId="77777777" w:rsidTr="006E1769">
        <w:trPr>
          <w:trHeight w:val="96"/>
          <w:jc w:val="center"/>
        </w:trPr>
        <w:tc>
          <w:tcPr>
            <w:tcW w:w="343" w:type="dxa"/>
            <w:tcBorders>
              <w:top w:val="nil"/>
              <w:left w:val="nil"/>
              <w:bottom w:val="nil"/>
              <w:right w:val="nil"/>
            </w:tcBorders>
            <w:shd w:val="clear" w:color="000000" w:fill="FFFFFF"/>
            <w:noWrap/>
            <w:vAlign w:val="bottom"/>
          </w:tcPr>
          <w:p w14:paraId="18376F56"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 </w:t>
            </w:r>
          </w:p>
        </w:tc>
        <w:tc>
          <w:tcPr>
            <w:tcW w:w="5528" w:type="dxa"/>
            <w:tcBorders>
              <w:top w:val="nil"/>
              <w:left w:val="nil"/>
              <w:bottom w:val="nil"/>
              <w:right w:val="nil"/>
            </w:tcBorders>
            <w:shd w:val="clear" w:color="000000" w:fill="FFFFFF"/>
            <w:noWrap/>
            <w:vAlign w:val="center"/>
          </w:tcPr>
          <w:p w14:paraId="21B6E30D"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Pension Strain</w:t>
            </w:r>
          </w:p>
        </w:tc>
        <w:tc>
          <w:tcPr>
            <w:tcW w:w="279" w:type="dxa"/>
            <w:tcBorders>
              <w:top w:val="nil"/>
              <w:left w:val="nil"/>
              <w:bottom w:val="nil"/>
              <w:right w:val="nil"/>
            </w:tcBorders>
            <w:shd w:val="clear" w:color="000000" w:fill="FFFFFF"/>
            <w:noWrap/>
            <w:vAlign w:val="bottom"/>
          </w:tcPr>
          <w:p w14:paraId="00313508"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nil"/>
              <w:left w:val="nil"/>
              <w:bottom w:val="nil"/>
              <w:right w:val="nil"/>
            </w:tcBorders>
            <w:shd w:val="solid" w:color="FFFFFF" w:fill="auto"/>
            <w:vAlign w:val="center"/>
          </w:tcPr>
          <w:p w14:paraId="7ACC1612" w14:textId="77777777" w:rsidR="00F753E8" w:rsidRPr="00F745E6" w:rsidRDefault="00F753E8" w:rsidP="006E1769">
            <w:pPr>
              <w:jc w:val="right"/>
              <w:rPr>
                <w:rFonts w:ascii="Arial" w:hAnsi="Arial" w:cs="Arial"/>
                <w:bCs/>
                <w:color w:val="000000" w:themeColor="text1"/>
                <w:sz w:val="22"/>
                <w:szCs w:val="22"/>
                <w:highlight w:val="yellow"/>
              </w:rPr>
            </w:pPr>
            <w:r w:rsidRPr="00C7072A">
              <w:rPr>
                <w:rFonts w:ascii="Arial" w:hAnsi="Arial" w:cs="Arial"/>
                <w:b/>
                <w:bCs/>
                <w:color w:val="000000"/>
                <w:sz w:val="22"/>
                <w:szCs w:val="22"/>
              </w:rPr>
              <w:t>1,244</w:t>
            </w:r>
          </w:p>
        </w:tc>
        <w:tc>
          <w:tcPr>
            <w:tcW w:w="481" w:type="dxa"/>
            <w:gridSpan w:val="2"/>
            <w:tcBorders>
              <w:top w:val="nil"/>
              <w:left w:val="nil"/>
              <w:bottom w:val="nil"/>
              <w:right w:val="nil"/>
            </w:tcBorders>
            <w:shd w:val="clear" w:color="000000" w:fill="FFFFFF"/>
            <w:noWrap/>
            <w:vAlign w:val="bottom"/>
          </w:tcPr>
          <w:p w14:paraId="0277AA27" w14:textId="77777777" w:rsidR="00F753E8" w:rsidRPr="005A20FD" w:rsidRDefault="00F753E8" w:rsidP="006E1769">
            <w:pPr>
              <w:jc w:val="right"/>
              <w:rPr>
                <w:rFonts w:ascii="Arial" w:hAnsi="Arial" w:cs="Arial"/>
                <w:color w:val="000000" w:themeColor="text1"/>
                <w:sz w:val="22"/>
                <w:szCs w:val="22"/>
                <w:highlight w:val="yellow"/>
              </w:rPr>
            </w:pPr>
          </w:p>
        </w:tc>
        <w:tc>
          <w:tcPr>
            <w:tcW w:w="1456" w:type="dxa"/>
            <w:tcBorders>
              <w:top w:val="nil"/>
              <w:left w:val="nil"/>
              <w:bottom w:val="nil"/>
              <w:right w:val="nil"/>
            </w:tcBorders>
            <w:shd w:val="clear" w:color="000000" w:fill="FFFFFF"/>
            <w:noWrap/>
          </w:tcPr>
          <w:p w14:paraId="43C7548A" w14:textId="77777777" w:rsidR="00F753E8" w:rsidRPr="00F63CB7" w:rsidRDefault="00F753E8" w:rsidP="006E1769">
            <w:pPr>
              <w:jc w:val="right"/>
              <w:rPr>
                <w:rFonts w:ascii="Arial" w:hAnsi="Arial" w:cs="Arial"/>
                <w:b/>
                <w:bCs/>
                <w:color w:val="000000" w:themeColor="text1"/>
                <w:sz w:val="22"/>
                <w:szCs w:val="22"/>
                <w:highlight w:val="yellow"/>
              </w:rPr>
            </w:pPr>
            <w:r w:rsidRPr="00F63CB7">
              <w:rPr>
                <w:rFonts w:ascii="Arial" w:hAnsi="Arial" w:cs="Arial"/>
                <w:b/>
                <w:bCs/>
                <w:sz w:val="22"/>
                <w:szCs w:val="22"/>
              </w:rPr>
              <w:t>235</w:t>
            </w:r>
          </w:p>
        </w:tc>
      </w:tr>
      <w:tr w:rsidR="00F753E8" w:rsidRPr="005A20FD" w14:paraId="1328AD62" w14:textId="77777777" w:rsidTr="006E1769">
        <w:trPr>
          <w:trHeight w:val="96"/>
          <w:jc w:val="center"/>
        </w:trPr>
        <w:tc>
          <w:tcPr>
            <w:tcW w:w="343" w:type="dxa"/>
            <w:tcBorders>
              <w:top w:val="nil"/>
              <w:left w:val="nil"/>
              <w:bottom w:val="nil"/>
              <w:right w:val="nil"/>
            </w:tcBorders>
            <w:shd w:val="clear" w:color="000000" w:fill="FFFFFF"/>
            <w:noWrap/>
            <w:vAlign w:val="bottom"/>
          </w:tcPr>
          <w:p w14:paraId="7A0C795E"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5528" w:type="dxa"/>
            <w:tcBorders>
              <w:top w:val="nil"/>
              <w:left w:val="nil"/>
              <w:bottom w:val="nil"/>
              <w:right w:val="nil"/>
            </w:tcBorders>
            <w:shd w:val="clear" w:color="000000" w:fill="FFFFFF"/>
            <w:noWrap/>
            <w:vAlign w:val="center"/>
          </w:tcPr>
          <w:p w14:paraId="4B98F2C6"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Total contributions from employers</w:t>
            </w:r>
          </w:p>
        </w:tc>
        <w:tc>
          <w:tcPr>
            <w:tcW w:w="279" w:type="dxa"/>
            <w:tcBorders>
              <w:top w:val="nil"/>
              <w:left w:val="nil"/>
              <w:bottom w:val="nil"/>
              <w:right w:val="nil"/>
            </w:tcBorders>
            <w:shd w:val="clear" w:color="000000" w:fill="FFFFFF"/>
            <w:noWrap/>
            <w:vAlign w:val="bottom"/>
          </w:tcPr>
          <w:p w14:paraId="45A677DC" w14:textId="77777777" w:rsidR="00F753E8" w:rsidRPr="005A20FD" w:rsidRDefault="00F753E8" w:rsidP="006E1769">
            <w:pPr>
              <w:jc w:val="cente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single" w:sz="4" w:space="0" w:color="auto"/>
              <w:left w:val="nil"/>
              <w:bottom w:val="single" w:sz="8" w:space="0" w:color="auto"/>
              <w:right w:val="nil"/>
            </w:tcBorders>
            <w:shd w:val="clear" w:color="000000" w:fill="FFFFFF"/>
            <w:vAlign w:val="center"/>
          </w:tcPr>
          <w:p w14:paraId="1E511C46" w14:textId="77777777" w:rsidR="00F753E8" w:rsidRPr="00F745E6" w:rsidRDefault="00F753E8" w:rsidP="006E1769">
            <w:pPr>
              <w:jc w:val="right"/>
              <w:rPr>
                <w:rFonts w:ascii="Arial" w:hAnsi="Arial" w:cs="Arial"/>
                <w:bCs/>
                <w:color w:val="000000" w:themeColor="text1"/>
                <w:sz w:val="22"/>
                <w:szCs w:val="22"/>
              </w:rPr>
            </w:pPr>
            <w:r w:rsidRPr="00772B5C">
              <w:rPr>
                <w:rFonts w:ascii="Arial" w:hAnsi="Arial" w:cs="Arial"/>
                <w:b/>
                <w:color w:val="000000"/>
                <w:sz w:val="22"/>
                <w:szCs w:val="22"/>
              </w:rPr>
              <w:t>35,853</w:t>
            </w:r>
          </w:p>
        </w:tc>
        <w:tc>
          <w:tcPr>
            <w:tcW w:w="481" w:type="dxa"/>
            <w:gridSpan w:val="2"/>
            <w:tcBorders>
              <w:top w:val="nil"/>
              <w:left w:val="nil"/>
              <w:bottom w:val="nil"/>
              <w:right w:val="nil"/>
            </w:tcBorders>
            <w:shd w:val="clear" w:color="000000" w:fill="FFFFFF"/>
            <w:noWrap/>
            <w:vAlign w:val="bottom"/>
          </w:tcPr>
          <w:p w14:paraId="28B66BBE" w14:textId="77777777" w:rsidR="00F753E8" w:rsidRPr="005A20FD" w:rsidRDefault="00F753E8" w:rsidP="006E1769">
            <w:pPr>
              <w:rPr>
                <w:rFonts w:ascii="Arial" w:hAnsi="Arial" w:cs="Arial"/>
                <w:color w:val="000000" w:themeColor="text1"/>
                <w:sz w:val="22"/>
                <w:szCs w:val="22"/>
              </w:rPr>
            </w:pPr>
          </w:p>
        </w:tc>
        <w:tc>
          <w:tcPr>
            <w:tcW w:w="1456" w:type="dxa"/>
            <w:tcBorders>
              <w:top w:val="single" w:sz="4" w:space="0" w:color="auto"/>
              <w:left w:val="nil"/>
              <w:bottom w:val="single" w:sz="8" w:space="0" w:color="auto"/>
              <w:right w:val="nil"/>
            </w:tcBorders>
            <w:shd w:val="clear" w:color="000000" w:fill="FFFFFF"/>
            <w:noWrap/>
          </w:tcPr>
          <w:p w14:paraId="79502858"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sz w:val="22"/>
                <w:szCs w:val="22"/>
              </w:rPr>
              <w:t xml:space="preserve"> 36,825 </w:t>
            </w:r>
          </w:p>
        </w:tc>
      </w:tr>
      <w:tr w:rsidR="00F753E8" w:rsidRPr="005A20FD" w14:paraId="6160583E" w14:textId="77777777" w:rsidTr="006E1769">
        <w:trPr>
          <w:trHeight w:val="100"/>
          <w:jc w:val="center"/>
        </w:trPr>
        <w:tc>
          <w:tcPr>
            <w:tcW w:w="343" w:type="dxa"/>
            <w:tcBorders>
              <w:top w:val="nil"/>
              <w:left w:val="nil"/>
              <w:bottom w:val="nil"/>
              <w:right w:val="nil"/>
            </w:tcBorders>
            <w:shd w:val="clear" w:color="000000" w:fill="FFFFFF"/>
            <w:noWrap/>
            <w:vAlign w:val="bottom"/>
          </w:tcPr>
          <w:p w14:paraId="1A90545B"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5528" w:type="dxa"/>
            <w:tcBorders>
              <w:top w:val="nil"/>
              <w:left w:val="nil"/>
              <w:bottom w:val="nil"/>
              <w:right w:val="nil"/>
            </w:tcBorders>
            <w:shd w:val="clear" w:color="000000" w:fill="FFFFFF"/>
            <w:noWrap/>
            <w:vAlign w:val="bottom"/>
          </w:tcPr>
          <w:p w14:paraId="2E00F30A" w14:textId="77777777" w:rsidR="00F753E8" w:rsidRPr="005A20FD" w:rsidRDefault="00F753E8" w:rsidP="006E1769">
            <w:pPr>
              <w:rPr>
                <w:rFonts w:ascii="Arial" w:hAnsi="Arial" w:cs="Arial"/>
                <w:b/>
                <w:bCs/>
                <w:color w:val="000000" w:themeColor="text1"/>
                <w:sz w:val="22"/>
                <w:szCs w:val="22"/>
              </w:rPr>
            </w:pPr>
            <w:r w:rsidRPr="005A20FD">
              <w:rPr>
                <w:rFonts w:ascii="Arial" w:hAnsi="Arial" w:cs="Arial"/>
                <w:b/>
                <w:bCs/>
                <w:color w:val="000000" w:themeColor="text1"/>
                <w:sz w:val="22"/>
                <w:szCs w:val="22"/>
              </w:rPr>
              <w:t>Total Contributions</w:t>
            </w:r>
          </w:p>
        </w:tc>
        <w:tc>
          <w:tcPr>
            <w:tcW w:w="279" w:type="dxa"/>
            <w:tcBorders>
              <w:top w:val="nil"/>
              <w:left w:val="nil"/>
              <w:bottom w:val="nil"/>
              <w:right w:val="nil"/>
            </w:tcBorders>
            <w:shd w:val="clear" w:color="000000" w:fill="FFFFFF"/>
            <w:noWrap/>
            <w:vAlign w:val="bottom"/>
          </w:tcPr>
          <w:p w14:paraId="75788126" w14:textId="77777777" w:rsidR="00F753E8" w:rsidRPr="005A20FD" w:rsidRDefault="00F753E8" w:rsidP="006E1769">
            <w:pPr>
              <w:rPr>
                <w:rFonts w:ascii="Arial" w:hAnsi="Arial" w:cs="Arial"/>
                <w:color w:val="000000" w:themeColor="text1"/>
                <w:sz w:val="22"/>
                <w:szCs w:val="22"/>
              </w:rPr>
            </w:pPr>
            <w:r w:rsidRPr="005A20FD">
              <w:rPr>
                <w:rFonts w:ascii="Arial" w:hAnsi="Arial" w:cs="Arial"/>
                <w:color w:val="000000" w:themeColor="text1"/>
                <w:sz w:val="22"/>
                <w:szCs w:val="22"/>
              </w:rPr>
              <w:t> </w:t>
            </w:r>
          </w:p>
        </w:tc>
        <w:tc>
          <w:tcPr>
            <w:tcW w:w="1534" w:type="dxa"/>
            <w:tcBorders>
              <w:top w:val="single" w:sz="4" w:space="0" w:color="auto"/>
              <w:left w:val="nil"/>
              <w:bottom w:val="double" w:sz="6" w:space="0" w:color="auto"/>
              <w:right w:val="nil"/>
            </w:tcBorders>
            <w:shd w:val="clear" w:color="000000" w:fill="FFFFFF"/>
            <w:vAlign w:val="bottom"/>
          </w:tcPr>
          <w:p w14:paraId="2AFF89B0" w14:textId="77777777" w:rsidR="00F753E8" w:rsidRPr="00F745E6" w:rsidRDefault="00F753E8" w:rsidP="006E1769">
            <w:pPr>
              <w:jc w:val="right"/>
              <w:rPr>
                <w:rFonts w:ascii="Arial" w:hAnsi="Arial" w:cs="Arial"/>
                <w:bCs/>
                <w:color w:val="000000" w:themeColor="text1"/>
                <w:sz w:val="22"/>
                <w:szCs w:val="22"/>
              </w:rPr>
            </w:pPr>
            <w:r w:rsidRPr="00DF6215">
              <w:rPr>
                <w:rFonts w:ascii="Arial" w:hAnsi="Arial" w:cs="Arial"/>
                <w:b/>
                <w:bCs/>
                <w:color w:val="000000" w:themeColor="text1"/>
                <w:sz w:val="22"/>
                <w:szCs w:val="22"/>
              </w:rPr>
              <w:t>46,161</w:t>
            </w:r>
          </w:p>
        </w:tc>
        <w:tc>
          <w:tcPr>
            <w:tcW w:w="481" w:type="dxa"/>
            <w:gridSpan w:val="2"/>
            <w:tcBorders>
              <w:top w:val="nil"/>
              <w:left w:val="nil"/>
              <w:bottom w:val="nil"/>
              <w:right w:val="nil"/>
            </w:tcBorders>
            <w:shd w:val="clear" w:color="000000" w:fill="FFFFFF"/>
            <w:noWrap/>
            <w:vAlign w:val="bottom"/>
          </w:tcPr>
          <w:p w14:paraId="2851FA95" w14:textId="77777777" w:rsidR="00F753E8" w:rsidRPr="005A20FD" w:rsidRDefault="00F753E8" w:rsidP="006E1769">
            <w:pPr>
              <w:rPr>
                <w:rFonts w:ascii="Arial" w:hAnsi="Arial" w:cs="Arial"/>
                <w:color w:val="000000" w:themeColor="text1"/>
                <w:sz w:val="22"/>
                <w:szCs w:val="22"/>
              </w:rPr>
            </w:pPr>
          </w:p>
        </w:tc>
        <w:tc>
          <w:tcPr>
            <w:tcW w:w="1456" w:type="dxa"/>
            <w:tcBorders>
              <w:top w:val="single" w:sz="4" w:space="0" w:color="auto"/>
              <w:left w:val="nil"/>
              <w:bottom w:val="double" w:sz="6" w:space="0" w:color="auto"/>
              <w:right w:val="nil"/>
            </w:tcBorders>
            <w:shd w:val="clear" w:color="000000" w:fill="FFFFFF"/>
            <w:noWrap/>
            <w:vAlign w:val="bottom"/>
          </w:tcPr>
          <w:p w14:paraId="6C06F134" w14:textId="77777777" w:rsidR="00F753E8" w:rsidRPr="00F63CB7" w:rsidRDefault="00F753E8" w:rsidP="006E1769">
            <w:pPr>
              <w:jc w:val="right"/>
              <w:rPr>
                <w:rFonts w:ascii="Arial" w:hAnsi="Arial" w:cs="Arial"/>
                <w:b/>
                <w:bCs/>
                <w:color w:val="000000" w:themeColor="text1"/>
                <w:sz w:val="22"/>
                <w:szCs w:val="22"/>
              </w:rPr>
            </w:pPr>
            <w:r w:rsidRPr="00F63CB7">
              <w:rPr>
                <w:rFonts w:ascii="Arial" w:hAnsi="Arial" w:cs="Arial"/>
                <w:b/>
                <w:bCs/>
                <w:color w:val="000000" w:themeColor="text1"/>
                <w:sz w:val="22"/>
                <w:szCs w:val="22"/>
              </w:rPr>
              <w:t>47,558</w:t>
            </w:r>
          </w:p>
        </w:tc>
      </w:tr>
    </w:tbl>
    <w:p w14:paraId="48262235" w14:textId="77777777" w:rsidR="00F753E8" w:rsidRPr="005A20FD" w:rsidRDefault="00F753E8" w:rsidP="00F753E8">
      <w:pPr>
        <w:jc w:val="both"/>
        <w:rPr>
          <w:rFonts w:ascii="Arial" w:hAnsi="Arial" w:cs="Arial"/>
          <w:color w:val="000000" w:themeColor="text1"/>
          <w:sz w:val="22"/>
          <w:szCs w:val="22"/>
          <w:lang w:val="en-US"/>
        </w:rPr>
      </w:pPr>
    </w:p>
    <w:p w14:paraId="79FB235E" w14:textId="77777777" w:rsidR="00F753E8" w:rsidRPr="00D33F10" w:rsidRDefault="00F753E8" w:rsidP="007337FE">
      <w:pPr>
        <w:pStyle w:val="ListParagraph"/>
        <w:numPr>
          <w:ilvl w:val="0"/>
          <w:numId w:val="90"/>
        </w:numPr>
        <w:spacing w:after="0"/>
        <w:jc w:val="both"/>
        <w:rPr>
          <w:rFonts w:ascii="Arial" w:hAnsi="Arial" w:cs="Arial"/>
          <w:b/>
          <w:lang w:val="en-US"/>
        </w:rPr>
      </w:pPr>
      <w:r w:rsidRPr="00D33F10">
        <w:rPr>
          <w:rFonts w:ascii="Arial" w:hAnsi="Arial" w:cs="Arial"/>
          <w:b/>
          <w:lang w:val="en-US"/>
        </w:rPr>
        <w:t>Transfers in from other pension funds</w:t>
      </w:r>
      <w:r w:rsidRPr="008A0A4E">
        <w:rPr>
          <w:rFonts w:ascii="Arial" w:hAnsi="Arial" w:cs="Arial"/>
          <w:b/>
          <w:lang w:val="en-US"/>
        </w:rPr>
        <w:t xml:space="preserve"> </w:t>
      </w:r>
    </w:p>
    <w:tbl>
      <w:tblPr>
        <w:tblW w:w="9671" w:type="dxa"/>
        <w:jc w:val="center"/>
        <w:tblLook w:val="00A0" w:firstRow="1" w:lastRow="0" w:firstColumn="1" w:lastColumn="0" w:noHBand="0" w:noVBand="0"/>
      </w:tblPr>
      <w:tblGrid>
        <w:gridCol w:w="6128"/>
        <w:gridCol w:w="1607"/>
        <w:gridCol w:w="493"/>
        <w:gridCol w:w="1443"/>
      </w:tblGrid>
      <w:tr w:rsidR="00F753E8" w:rsidRPr="00B64150" w14:paraId="0A873995" w14:textId="77777777" w:rsidTr="006E1769">
        <w:trPr>
          <w:trHeight w:val="126"/>
          <w:jc w:val="center"/>
        </w:trPr>
        <w:tc>
          <w:tcPr>
            <w:tcW w:w="6128" w:type="dxa"/>
            <w:tcBorders>
              <w:top w:val="nil"/>
              <w:left w:val="nil"/>
              <w:bottom w:val="nil"/>
              <w:right w:val="nil"/>
            </w:tcBorders>
            <w:shd w:val="clear" w:color="000000" w:fill="FFFFFF"/>
            <w:noWrap/>
            <w:vAlign w:val="bottom"/>
          </w:tcPr>
          <w:p w14:paraId="3288BE5E" w14:textId="77777777" w:rsidR="00F753E8" w:rsidRPr="008A0A4E" w:rsidRDefault="00F753E8" w:rsidP="006E1769">
            <w:pPr>
              <w:jc w:val="center"/>
              <w:rPr>
                <w:rFonts w:ascii="Arial" w:hAnsi="Arial" w:cs="Arial"/>
                <w:color w:val="000000"/>
                <w:sz w:val="22"/>
                <w:szCs w:val="22"/>
              </w:rPr>
            </w:pPr>
          </w:p>
        </w:tc>
        <w:tc>
          <w:tcPr>
            <w:tcW w:w="1607" w:type="dxa"/>
            <w:tcBorders>
              <w:top w:val="nil"/>
              <w:left w:val="nil"/>
              <w:bottom w:val="nil"/>
              <w:right w:val="nil"/>
            </w:tcBorders>
            <w:shd w:val="clear" w:color="000000" w:fill="FFFFFF"/>
            <w:vAlign w:val="bottom"/>
          </w:tcPr>
          <w:p w14:paraId="42FBE14F" w14:textId="77777777" w:rsidR="00F753E8" w:rsidRPr="008A0A4E" w:rsidRDefault="00F753E8" w:rsidP="006E1769">
            <w:pPr>
              <w:jc w:val="center"/>
              <w:rPr>
                <w:rFonts w:ascii="Arial" w:hAnsi="Arial" w:cs="Arial"/>
                <w:bCs/>
                <w:color w:val="000000"/>
                <w:sz w:val="22"/>
                <w:szCs w:val="22"/>
              </w:rPr>
            </w:pPr>
            <w:r w:rsidRPr="008A0A4E">
              <w:rPr>
                <w:rFonts w:ascii="Arial" w:hAnsi="Arial" w:cs="Arial"/>
                <w:b/>
                <w:bCs/>
                <w:color w:val="000000"/>
                <w:sz w:val="22"/>
                <w:szCs w:val="22"/>
              </w:rPr>
              <w:t>20</w:t>
            </w:r>
            <w:r>
              <w:rPr>
                <w:rFonts w:ascii="Arial" w:hAnsi="Arial" w:cs="Arial"/>
                <w:b/>
                <w:bCs/>
                <w:color w:val="000000"/>
                <w:sz w:val="22"/>
                <w:szCs w:val="22"/>
              </w:rPr>
              <w:t>20/21</w:t>
            </w:r>
          </w:p>
        </w:tc>
        <w:tc>
          <w:tcPr>
            <w:tcW w:w="493" w:type="dxa"/>
            <w:tcBorders>
              <w:top w:val="nil"/>
              <w:left w:val="nil"/>
              <w:bottom w:val="nil"/>
              <w:right w:val="nil"/>
            </w:tcBorders>
            <w:shd w:val="clear" w:color="000000" w:fill="FFFFFF"/>
            <w:noWrap/>
            <w:vAlign w:val="bottom"/>
          </w:tcPr>
          <w:p w14:paraId="53FF6046"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443" w:type="dxa"/>
            <w:tcBorders>
              <w:top w:val="nil"/>
              <w:left w:val="nil"/>
              <w:bottom w:val="nil"/>
              <w:right w:val="nil"/>
            </w:tcBorders>
            <w:shd w:val="clear" w:color="000000" w:fill="FFFFFF"/>
            <w:vAlign w:val="bottom"/>
          </w:tcPr>
          <w:p w14:paraId="071D4FB3" w14:textId="77777777" w:rsidR="00F753E8" w:rsidRPr="008A0A4E" w:rsidRDefault="00F753E8" w:rsidP="006E1769">
            <w:pPr>
              <w:jc w:val="center"/>
              <w:rPr>
                <w:rFonts w:ascii="Arial" w:hAnsi="Arial" w:cs="Arial"/>
                <w:b/>
                <w:bCs/>
                <w:color w:val="000000"/>
                <w:sz w:val="22"/>
                <w:szCs w:val="22"/>
              </w:rPr>
            </w:pPr>
            <w:r>
              <w:rPr>
                <w:rFonts w:ascii="Arial" w:hAnsi="Arial" w:cs="Arial"/>
                <w:b/>
                <w:bCs/>
                <w:color w:val="000000"/>
                <w:sz w:val="22"/>
                <w:szCs w:val="22"/>
              </w:rPr>
              <w:t>2021/22</w:t>
            </w:r>
          </w:p>
        </w:tc>
      </w:tr>
      <w:tr w:rsidR="00F753E8" w:rsidRPr="00B64150" w14:paraId="0B92FC8E" w14:textId="77777777" w:rsidTr="006E1769">
        <w:trPr>
          <w:trHeight w:val="192"/>
          <w:jc w:val="center"/>
        </w:trPr>
        <w:tc>
          <w:tcPr>
            <w:tcW w:w="6128" w:type="dxa"/>
            <w:tcBorders>
              <w:top w:val="nil"/>
              <w:left w:val="nil"/>
              <w:bottom w:val="nil"/>
              <w:right w:val="nil"/>
            </w:tcBorders>
            <w:shd w:val="clear" w:color="000000" w:fill="FFFFFF"/>
            <w:noWrap/>
            <w:vAlign w:val="bottom"/>
          </w:tcPr>
          <w:p w14:paraId="00B8BB69"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 </w:t>
            </w:r>
          </w:p>
        </w:tc>
        <w:tc>
          <w:tcPr>
            <w:tcW w:w="1607" w:type="dxa"/>
            <w:tcBorders>
              <w:top w:val="nil"/>
              <w:left w:val="nil"/>
              <w:bottom w:val="nil"/>
              <w:right w:val="nil"/>
            </w:tcBorders>
            <w:shd w:val="clear" w:color="000000" w:fill="FFFFFF"/>
            <w:vAlign w:val="bottom"/>
          </w:tcPr>
          <w:p w14:paraId="49FA5A0D" w14:textId="77777777" w:rsidR="00F753E8" w:rsidRPr="008A0A4E" w:rsidRDefault="00F753E8" w:rsidP="006E1769">
            <w:pPr>
              <w:jc w:val="center"/>
              <w:rPr>
                <w:rFonts w:ascii="Arial" w:hAnsi="Arial" w:cs="Arial"/>
                <w:bCs/>
                <w:color w:val="000000"/>
                <w:sz w:val="22"/>
                <w:szCs w:val="22"/>
              </w:rPr>
            </w:pPr>
            <w:r w:rsidRPr="008A0A4E">
              <w:rPr>
                <w:rFonts w:ascii="Arial" w:hAnsi="Arial" w:cs="Arial"/>
                <w:b/>
                <w:bCs/>
                <w:color w:val="000000"/>
                <w:sz w:val="22"/>
                <w:szCs w:val="22"/>
              </w:rPr>
              <w:t>£000</w:t>
            </w:r>
          </w:p>
        </w:tc>
        <w:tc>
          <w:tcPr>
            <w:tcW w:w="493" w:type="dxa"/>
            <w:tcBorders>
              <w:top w:val="nil"/>
              <w:left w:val="nil"/>
              <w:bottom w:val="nil"/>
              <w:right w:val="nil"/>
            </w:tcBorders>
            <w:shd w:val="clear" w:color="000000" w:fill="FFFFFF"/>
            <w:noWrap/>
            <w:vAlign w:val="bottom"/>
          </w:tcPr>
          <w:p w14:paraId="245D7353"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443" w:type="dxa"/>
            <w:tcBorders>
              <w:top w:val="nil"/>
              <w:left w:val="nil"/>
              <w:bottom w:val="nil"/>
              <w:right w:val="nil"/>
            </w:tcBorders>
            <w:shd w:val="clear" w:color="000000" w:fill="FFFFFF"/>
            <w:noWrap/>
            <w:vAlign w:val="bottom"/>
          </w:tcPr>
          <w:p w14:paraId="301E0AD9"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w:t>
            </w:r>
          </w:p>
        </w:tc>
      </w:tr>
      <w:tr w:rsidR="00F753E8" w:rsidRPr="00B64150" w14:paraId="1BE18463" w14:textId="77777777" w:rsidTr="006E1769">
        <w:trPr>
          <w:trHeight w:val="192"/>
          <w:jc w:val="center"/>
        </w:trPr>
        <w:tc>
          <w:tcPr>
            <w:tcW w:w="6128" w:type="dxa"/>
            <w:tcBorders>
              <w:top w:val="nil"/>
              <w:left w:val="nil"/>
              <w:bottom w:val="nil"/>
              <w:right w:val="nil"/>
            </w:tcBorders>
            <w:shd w:val="clear" w:color="000000" w:fill="FFFFFF"/>
            <w:noWrap/>
            <w:vAlign w:val="bottom"/>
          </w:tcPr>
          <w:p w14:paraId="20EF7F45" w14:textId="77777777" w:rsidR="00F753E8" w:rsidRPr="008A0A4E" w:rsidRDefault="00F753E8" w:rsidP="006E1769">
            <w:pPr>
              <w:ind w:left="175"/>
              <w:rPr>
                <w:rFonts w:ascii="Arial" w:hAnsi="Arial" w:cs="Arial"/>
                <w:b/>
                <w:bCs/>
                <w:color w:val="000000"/>
                <w:sz w:val="22"/>
                <w:szCs w:val="22"/>
              </w:rPr>
            </w:pPr>
            <w:r w:rsidRPr="008A0A4E">
              <w:rPr>
                <w:rFonts w:ascii="Arial" w:hAnsi="Arial" w:cs="Arial"/>
                <w:b/>
                <w:bCs/>
                <w:color w:val="000000"/>
                <w:sz w:val="22"/>
                <w:szCs w:val="22"/>
              </w:rPr>
              <w:t>Individual Transfers</w:t>
            </w:r>
          </w:p>
        </w:tc>
        <w:tc>
          <w:tcPr>
            <w:tcW w:w="1607" w:type="dxa"/>
            <w:tcBorders>
              <w:top w:val="nil"/>
              <w:left w:val="nil"/>
              <w:bottom w:val="nil"/>
              <w:right w:val="nil"/>
            </w:tcBorders>
            <w:shd w:val="clear" w:color="000000" w:fill="FFFFFF"/>
            <w:vAlign w:val="bottom"/>
          </w:tcPr>
          <w:p w14:paraId="1EF24FF0" w14:textId="77777777" w:rsidR="00F753E8" w:rsidRPr="00481D74" w:rsidRDefault="00F753E8" w:rsidP="006E1769">
            <w:pPr>
              <w:jc w:val="right"/>
              <w:rPr>
                <w:rFonts w:ascii="Arial" w:hAnsi="Arial" w:cs="Arial"/>
                <w:color w:val="000000"/>
                <w:sz w:val="22"/>
                <w:szCs w:val="22"/>
              </w:rPr>
            </w:pPr>
            <w:r w:rsidRPr="00DF6215">
              <w:rPr>
                <w:rFonts w:ascii="Arial" w:hAnsi="Arial" w:cs="Arial"/>
                <w:b/>
                <w:bCs/>
                <w:color w:val="000000"/>
                <w:sz w:val="22"/>
                <w:szCs w:val="22"/>
              </w:rPr>
              <w:t>3,521</w:t>
            </w:r>
          </w:p>
        </w:tc>
        <w:tc>
          <w:tcPr>
            <w:tcW w:w="493" w:type="dxa"/>
            <w:tcBorders>
              <w:top w:val="nil"/>
              <w:left w:val="nil"/>
              <w:bottom w:val="nil"/>
              <w:right w:val="nil"/>
            </w:tcBorders>
            <w:shd w:val="clear" w:color="000000" w:fill="FFFFFF"/>
            <w:noWrap/>
            <w:vAlign w:val="bottom"/>
          </w:tcPr>
          <w:p w14:paraId="50F163CF"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443" w:type="dxa"/>
            <w:tcBorders>
              <w:top w:val="nil"/>
              <w:left w:val="nil"/>
              <w:bottom w:val="nil"/>
              <w:right w:val="nil"/>
            </w:tcBorders>
            <w:shd w:val="clear" w:color="000000" w:fill="FFFFFF"/>
            <w:noWrap/>
            <w:vAlign w:val="center"/>
          </w:tcPr>
          <w:p w14:paraId="578EC9D3" w14:textId="77777777" w:rsidR="00F753E8" w:rsidRPr="008A0A4E" w:rsidRDefault="00F753E8" w:rsidP="006E1769">
            <w:pPr>
              <w:jc w:val="right"/>
              <w:rPr>
                <w:rFonts w:ascii="Arial" w:hAnsi="Arial" w:cs="Arial"/>
                <w:b/>
                <w:bCs/>
                <w:color w:val="000000"/>
                <w:sz w:val="22"/>
                <w:szCs w:val="22"/>
              </w:rPr>
            </w:pPr>
            <w:r>
              <w:rPr>
                <w:rFonts w:ascii="Arial" w:hAnsi="Arial" w:cs="Arial"/>
                <w:b/>
                <w:bCs/>
                <w:color w:val="000000"/>
                <w:sz w:val="22"/>
                <w:szCs w:val="22"/>
              </w:rPr>
              <w:t>3,612</w:t>
            </w:r>
          </w:p>
        </w:tc>
      </w:tr>
      <w:tr w:rsidR="00F753E8" w:rsidRPr="00B64150" w14:paraId="13A9B60C" w14:textId="77777777" w:rsidTr="006E1769">
        <w:trPr>
          <w:trHeight w:val="203"/>
          <w:jc w:val="center"/>
        </w:trPr>
        <w:tc>
          <w:tcPr>
            <w:tcW w:w="6128" w:type="dxa"/>
            <w:tcBorders>
              <w:top w:val="nil"/>
              <w:left w:val="nil"/>
              <w:bottom w:val="nil"/>
              <w:right w:val="nil"/>
            </w:tcBorders>
            <w:shd w:val="clear" w:color="000000" w:fill="FFFFFF"/>
            <w:noWrap/>
            <w:vAlign w:val="bottom"/>
          </w:tcPr>
          <w:p w14:paraId="35A0908C" w14:textId="77777777" w:rsidR="00F753E8" w:rsidRPr="008A0A4E" w:rsidRDefault="00F753E8" w:rsidP="006E1769">
            <w:pPr>
              <w:rPr>
                <w:rFonts w:ascii="Arial" w:hAnsi="Arial" w:cs="Arial"/>
                <w:b/>
                <w:bCs/>
                <w:color w:val="000000"/>
                <w:sz w:val="22"/>
                <w:szCs w:val="22"/>
              </w:rPr>
            </w:pPr>
          </w:p>
        </w:tc>
        <w:tc>
          <w:tcPr>
            <w:tcW w:w="1607" w:type="dxa"/>
            <w:tcBorders>
              <w:top w:val="single" w:sz="4" w:space="0" w:color="auto"/>
              <w:left w:val="nil"/>
              <w:bottom w:val="double" w:sz="6" w:space="0" w:color="auto"/>
              <w:right w:val="nil"/>
            </w:tcBorders>
            <w:shd w:val="clear" w:color="000000" w:fill="FFFFFF"/>
            <w:vAlign w:val="bottom"/>
          </w:tcPr>
          <w:p w14:paraId="6BD628BE" w14:textId="77777777" w:rsidR="00F753E8" w:rsidRPr="00481D74" w:rsidRDefault="00F753E8" w:rsidP="006E1769">
            <w:pPr>
              <w:jc w:val="right"/>
              <w:rPr>
                <w:rFonts w:ascii="Arial" w:hAnsi="Arial" w:cs="Arial"/>
                <w:color w:val="000000"/>
                <w:sz w:val="22"/>
                <w:szCs w:val="22"/>
              </w:rPr>
            </w:pPr>
            <w:r w:rsidRPr="00DF6215">
              <w:rPr>
                <w:rFonts w:ascii="Arial" w:hAnsi="Arial" w:cs="Arial"/>
                <w:b/>
                <w:bCs/>
                <w:color w:val="000000"/>
                <w:sz w:val="22"/>
                <w:szCs w:val="22"/>
              </w:rPr>
              <w:t>3,521</w:t>
            </w:r>
          </w:p>
        </w:tc>
        <w:tc>
          <w:tcPr>
            <w:tcW w:w="493" w:type="dxa"/>
            <w:tcBorders>
              <w:top w:val="nil"/>
              <w:left w:val="nil"/>
              <w:bottom w:val="nil"/>
              <w:right w:val="nil"/>
            </w:tcBorders>
            <w:shd w:val="clear" w:color="000000" w:fill="FFFFFF"/>
            <w:noWrap/>
            <w:vAlign w:val="bottom"/>
          </w:tcPr>
          <w:p w14:paraId="11E5F1B8"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443" w:type="dxa"/>
            <w:tcBorders>
              <w:top w:val="single" w:sz="4" w:space="0" w:color="auto"/>
              <w:left w:val="nil"/>
              <w:bottom w:val="double" w:sz="6" w:space="0" w:color="auto"/>
              <w:right w:val="nil"/>
            </w:tcBorders>
            <w:shd w:val="clear" w:color="000000" w:fill="FFFFFF"/>
            <w:noWrap/>
            <w:vAlign w:val="center"/>
          </w:tcPr>
          <w:p w14:paraId="3D76DA83" w14:textId="77777777" w:rsidR="00F753E8" w:rsidRPr="008A0A4E" w:rsidRDefault="00F753E8" w:rsidP="006E1769">
            <w:pPr>
              <w:jc w:val="right"/>
              <w:rPr>
                <w:rFonts w:ascii="Arial" w:hAnsi="Arial" w:cs="Arial"/>
                <w:b/>
                <w:bCs/>
                <w:color w:val="000000"/>
                <w:sz w:val="22"/>
                <w:szCs w:val="22"/>
              </w:rPr>
            </w:pPr>
            <w:r>
              <w:rPr>
                <w:rFonts w:ascii="Arial" w:hAnsi="Arial" w:cs="Arial"/>
                <w:b/>
                <w:bCs/>
                <w:color w:val="000000"/>
                <w:sz w:val="22"/>
                <w:szCs w:val="22"/>
              </w:rPr>
              <w:t>3,612</w:t>
            </w:r>
          </w:p>
        </w:tc>
      </w:tr>
    </w:tbl>
    <w:p w14:paraId="70B9B7C2" w14:textId="77777777" w:rsidR="00F753E8" w:rsidRPr="00F928FC" w:rsidRDefault="00F753E8" w:rsidP="00F753E8">
      <w:pPr>
        <w:tabs>
          <w:tab w:val="left" w:pos="709"/>
          <w:tab w:val="left" w:pos="1134"/>
        </w:tabs>
        <w:jc w:val="both"/>
        <w:rPr>
          <w:rFonts w:ascii="Arial" w:hAnsi="Arial" w:cs="Arial"/>
          <w:sz w:val="22"/>
          <w:szCs w:val="22"/>
        </w:rPr>
      </w:pPr>
    </w:p>
    <w:p w14:paraId="1FCB7FAB" w14:textId="77777777" w:rsidR="00F753E8" w:rsidRPr="008A0A4E" w:rsidRDefault="00F753E8" w:rsidP="007337FE">
      <w:pPr>
        <w:pStyle w:val="ListParagraph"/>
        <w:numPr>
          <w:ilvl w:val="0"/>
          <w:numId w:val="90"/>
        </w:numPr>
        <w:tabs>
          <w:tab w:val="left" w:pos="709"/>
          <w:tab w:val="left" w:pos="1134"/>
        </w:tabs>
        <w:jc w:val="both"/>
        <w:rPr>
          <w:rFonts w:ascii="Arial" w:hAnsi="Arial" w:cs="Arial"/>
        </w:rPr>
      </w:pPr>
      <w:r w:rsidRPr="008A0A4E">
        <w:rPr>
          <w:rFonts w:ascii="Arial" w:hAnsi="Arial" w:cs="Arial"/>
          <w:b/>
          <w:lang w:val="en-US"/>
        </w:rPr>
        <w:t>Benefits</w:t>
      </w:r>
    </w:p>
    <w:p w14:paraId="5CED9611" w14:textId="77777777" w:rsidR="00F753E8" w:rsidRPr="008A0A4E" w:rsidRDefault="00F753E8" w:rsidP="00F753E8">
      <w:pPr>
        <w:pStyle w:val="ListParagraph"/>
        <w:tabs>
          <w:tab w:val="left" w:pos="709"/>
          <w:tab w:val="left" w:pos="1134"/>
        </w:tabs>
        <w:spacing w:after="0" w:line="240" w:lineRule="auto"/>
        <w:ind w:left="360"/>
        <w:jc w:val="both"/>
        <w:rPr>
          <w:rFonts w:ascii="Arial" w:hAnsi="Arial" w:cs="Arial"/>
        </w:rPr>
      </w:pPr>
    </w:p>
    <w:p w14:paraId="21A2E6F0" w14:textId="77777777" w:rsidR="00F753E8" w:rsidRDefault="00F753E8" w:rsidP="00F753E8">
      <w:pPr>
        <w:ind w:left="360" w:right="426"/>
        <w:jc w:val="both"/>
        <w:rPr>
          <w:rFonts w:ascii="Arial" w:hAnsi="Arial" w:cs="Arial"/>
          <w:sz w:val="22"/>
          <w:szCs w:val="22"/>
        </w:rPr>
      </w:pPr>
      <w:r w:rsidRPr="008A0A4E">
        <w:rPr>
          <w:rFonts w:ascii="Arial" w:hAnsi="Arial" w:cs="Arial"/>
          <w:sz w:val="22"/>
          <w:szCs w:val="22"/>
        </w:rPr>
        <w:t xml:space="preserve">Benefits payable and refunds of contributions have been brought into the accounts based on all valid claims approved during the year.  </w:t>
      </w:r>
    </w:p>
    <w:p w14:paraId="01825A16" w14:textId="77777777" w:rsidR="00F753E8" w:rsidRPr="008A0A4E" w:rsidRDefault="00F753E8" w:rsidP="00F753E8">
      <w:pPr>
        <w:ind w:left="360" w:right="426"/>
        <w:jc w:val="both"/>
        <w:rPr>
          <w:rFonts w:ascii="Arial" w:hAnsi="Arial" w:cs="Arial"/>
          <w:sz w:val="22"/>
          <w:szCs w:val="22"/>
        </w:rPr>
      </w:pPr>
    </w:p>
    <w:tbl>
      <w:tblPr>
        <w:tblW w:w="10318" w:type="dxa"/>
        <w:jc w:val="center"/>
        <w:tblLayout w:type="fixed"/>
        <w:tblLook w:val="00A0" w:firstRow="1" w:lastRow="0" w:firstColumn="1" w:lastColumn="0" w:noHBand="0" w:noVBand="0"/>
      </w:tblPr>
      <w:tblGrid>
        <w:gridCol w:w="1546"/>
        <w:gridCol w:w="992"/>
        <w:gridCol w:w="946"/>
        <w:gridCol w:w="1098"/>
        <w:gridCol w:w="895"/>
        <w:gridCol w:w="6"/>
        <w:gridCol w:w="243"/>
        <w:gridCol w:w="1073"/>
        <w:gridCol w:w="1180"/>
        <w:gridCol w:w="1210"/>
        <w:gridCol w:w="1129"/>
      </w:tblGrid>
      <w:tr w:rsidR="00F753E8" w:rsidRPr="00B64150" w14:paraId="50034884" w14:textId="77777777" w:rsidTr="006E1769">
        <w:trPr>
          <w:trHeight w:val="62"/>
          <w:jc w:val="center"/>
        </w:trPr>
        <w:tc>
          <w:tcPr>
            <w:tcW w:w="1546" w:type="dxa"/>
            <w:tcBorders>
              <w:top w:val="nil"/>
              <w:left w:val="nil"/>
              <w:bottom w:val="nil"/>
              <w:right w:val="nil"/>
            </w:tcBorders>
            <w:noWrap/>
            <w:vAlign w:val="bottom"/>
          </w:tcPr>
          <w:p w14:paraId="00C6A9C1" w14:textId="77777777" w:rsidR="00F753E8" w:rsidRPr="008A0A4E" w:rsidRDefault="00F753E8" w:rsidP="006E1769">
            <w:pPr>
              <w:rPr>
                <w:rFonts w:ascii="Arial" w:hAnsi="Arial" w:cs="Arial"/>
                <w:b/>
                <w:bCs/>
                <w:color w:val="000000"/>
                <w:sz w:val="22"/>
                <w:szCs w:val="22"/>
              </w:rPr>
            </w:pPr>
          </w:p>
        </w:tc>
        <w:tc>
          <w:tcPr>
            <w:tcW w:w="3931" w:type="dxa"/>
            <w:gridSpan w:val="4"/>
            <w:tcBorders>
              <w:top w:val="nil"/>
              <w:left w:val="nil"/>
              <w:bottom w:val="nil"/>
              <w:right w:val="nil"/>
            </w:tcBorders>
            <w:noWrap/>
            <w:vAlign w:val="bottom"/>
          </w:tcPr>
          <w:p w14:paraId="606B0796" w14:textId="77777777" w:rsidR="00F753E8" w:rsidRPr="008A0A4E" w:rsidRDefault="00F753E8" w:rsidP="006E1769">
            <w:pPr>
              <w:jc w:val="center"/>
              <w:rPr>
                <w:rFonts w:ascii="Arial" w:hAnsi="Arial" w:cs="Arial"/>
                <w:bCs/>
                <w:color w:val="000000"/>
                <w:sz w:val="22"/>
                <w:szCs w:val="22"/>
              </w:rPr>
            </w:pPr>
            <w:r w:rsidRPr="008A0A4E">
              <w:rPr>
                <w:rFonts w:ascii="Arial" w:hAnsi="Arial" w:cs="Arial"/>
                <w:b/>
                <w:bCs/>
                <w:color w:val="000000"/>
                <w:sz w:val="22"/>
                <w:szCs w:val="22"/>
              </w:rPr>
              <w:t>20</w:t>
            </w:r>
            <w:r>
              <w:rPr>
                <w:rFonts w:ascii="Arial" w:hAnsi="Arial" w:cs="Arial"/>
                <w:b/>
                <w:bCs/>
                <w:color w:val="000000"/>
                <w:sz w:val="22"/>
                <w:szCs w:val="22"/>
              </w:rPr>
              <w:t>20/21</w:t>
            </w:r>
          </w:p>
        </w:tc>
        <w:tc>
          <w:tcPr>
            <w:tcW w:w="249" w:type="dxa"/>
            <w:gridSpan w:val="2"/>
            <w:tcBorders>
              <w:top w:val="nil"/>
              <w:left w:val="nil"/>
              <w:bottom w:val="nil"/>
              <w:right w:val="nil"/>
            </w:tcBorders>
            <w:vAlign w:val="bottom"/>
          </w:tcPr>
          <w:p w14:paraId="050EECDB" w14:textId="77777777" w:rsidR="00F753E8" w:rsidRPr="008A0A4E" w:rsidRDefault="00F753E8" w:rsidP="006E1769">
            <w:pPr>
              <w:jc w:val="center"/>
              <w:rPr>
                <w:rFonts w:ascii="Arial" w:hAnsi="Arial" w:cs="Arial"/>
                <w:b/>
                <w:color w:val="000000"/>
                <w:sz w:val="22"/>
                <w:szCs w:val="22"/>
              </w:rPr>
            </w:pPr>
            <w:r w:rsidRPr="008A0A4E">
              <w:rPr>
                <w:rFonts w:ascii="Arial" w:hAnsi="Arial" w:cs="Arial"/>
                <w:color w:val="000000"/>
                <w:sz w:val="22"/>
                <w:szCs w:val="22"/>
              </w:rPr>
              <w:t> </w:t>
            </w:r>
          </w:p>
        </w:tc>
        <w:tc>
          <w:tcPr>
            <w:tcW w:w="4592" w:type="dxa"/>
            <w:gridSpan w:val="4"/>
            <w:tcBorders>
              <w:top w:val="nil"/>
              <w:left w:val="nil"/>
              <w:bottom w:val="nil"/>
              <w:right w:val="nil"/>
            </w:tcBorders>
            <w:noWrap/>
            <w:vAlign w:val="bottom"/>
          </w:tcPr>
          <w:p w14:paraId="28A1533E" w14:textId="77777777" w:rsidR="00F753E8" w:rsidRPr="008A0A4E" w:rsidRDefault="00F753E8" w:rsidP="006E1769">
            <w:pPr>
              <w:jc w:val="center"/>
              <w:rPr>
                <w:rFonts w:ascii="Arial" w:hAnsi="Arial" w:cs="Arial"/>
                <w:b/>
                <w:color w:val="000000"/>
                <w:sz w:val="22"/>
                <w:szCs w:val="22"/>
              </w:rPr>
            </w:pPr>
            <w:r>
              <w:rPr>
                <w:rFonts w:ascii="Arial" w:hAnsi="Arial" w:cs="Arial"/>
                <w:b/>
                <w:bCs/>
                <w:color w:val="000000"/>
                <w:sz w:val="22"/>
                <w:szCs w:val="22"/>
              </w:rPr>
              <w:t>2021/22</w:t>
            </w:r>
          </w:p>
        </w:tc>
      </w:tr>
      <w:tr w:rsidR="00F753E8" w:rsidRPr="00B64150" w14:paraId="40B1FCE4" w14:textId="77777777" w:rsidTr="006E1769">
        <w:trPr>
          <w:trHeight w:val="123"/>
          <w:jc w:val="center"/>
        </w:trPr>
        <w:tc>
          <w:tcPr>
            <w:tcW w:w="1546" w:type="dxa"/>
            <w:tcBorders>
              <w:top w:val="nil"/>
              <w:left w:val="nil"/>
              <w:bottom w:val="nil"/>
              <w:right w:val="nil"/>
            </w:tcBorders>
            <w:noWrap/>
            <w:vAlign w:val="bottom"/>
          </w:tcPr>
          <w:p w14:paraId="2901C560" w14:textId="77777777" w:rsidR="00F753E8" w:rsidRPr="008A0A4E" w:rsidRDefault="00F753E8" w:rsidP="006E1769">
            <w:pPr>
              <w:rPr>
                <w:rFonts w:ascii="Arial" w:hAnsi="Arial" w:cs="Arial"/>
                <w:color w:val="000000"/>
                <w:sz w:val="22"/>
                <w:szCs w:val="22"/>
              </w:rPr>
            </w:pPr>
          </w:p>
        </w:tc>
        <w:tc>
          <w:tcPr>
            <w:tcW w:w="992" w:type="dxa"/>
            <w:tcBorders>
              <w:top w:val="nil"/>
              <w:left w:val="nil"/>
              <w:bottom w:val="nil"/>
              <w:right w:val="nil"/>
            </w:tcBorders>
            <w:vAlign w:val="bottom"/>
          </w:tcPr>
          <w:p w14:paraId="43FDAA0C"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Council</w:t>
            </w:r>
          </w:p>
        </w:tc>
        <w:tc>
          <w:tcPr>
            <w:tcW w:w="946" w:type="dxa"/>
            <w:tcBorders>
              <w:top w:val="nil"/>
              <w:left w:val="nil"/>
              <w:bottom w:val="nil"/>
              <w:right w:val="nil"/>
            </w:tcBorders>
            <w:vAlign w:val="bottom"/>
          </w:tcPr>
          <w:p w14:paraId="757174B5" w14:textId="77777777" w:rsidR="00F753E8" w:rsidRPr="008A0A4E" w:rsidRDefault="00F753E8" w:rsidP="006E1769">
            <w:pPr>
              <w:ind w:left="-174" w:right="-109"/>
              <w:jc w:val="center"/>
              <w:rPr>
                <w:rFonts w:ascii="Arial" w:hAnsi="Arial" w:cs="Arial"/>
                <w:bCs/>
                <w:color w:val="000000"/>
                <w:sz w:val="22"/>
                <w:szCs w:val="22"/>
              </w:rPr>
            </w:pPr>
            <w:r w:rsidRPr="008A0A4E">
              <w:rPr>
                <w:rFonts w:ascii="Arial" w:hAnsi="Arial" w:cs="Arial"/>
                <w:bCs/>
                <w:color w:val="000000"/>
                <w:sz w:val="22"/>
                <w:szCs w:val="22"/>
              </w:rPr>
              <w:t>Admitted Bodies</w:t>
            </w:r>
          </w:p>
        </w:tc>
        <w:tc>
          <w:tcPr>
            <w:tcW w:w="1098" w:type="dxa"/>
            <w:tcBorders>
              <w:top w:val="nil"/>
              <w:left w:val="nil"/>
              <w:bottom w:val="nil"/>
              <w:right w:val="nil"/>
            </w:tcBorders>
            <w:vAlign w:val="bottom"/>
          </w:tcPr>
          <w:p w14:paraId="1C97489B" w14:textId="77777777" w:rsidR="00F753E8" w:rsidRPr="008A0A4E" w:rsidRDefault="00F753E8" w:rsidP="006E1769">
            <w:pPr>
              <w:ind w:left="-107" w:right="-75"/>
              <w:jc w:val="center"/>
              <w:rPr>
                <w:rFonts w:ascii="Arial" w:hAnsi="Arial" w:cs="Arial"/>
                <w:bCs/>
                <w:color w:val="000000"/>
                <w:sz w:val="22"/>
                <w:szCs w:val="22"/>
              </w:rPr>
            </w:pPr>
            <w:r w:rsidRPr="008A0A4E">
              <w:rPr>
                <w:rFonts w:ascii="Arial" w:hAnsi="Arial" w:cs="Arial"/>
                <w:bCs/>
                <w:color w:val="000000"/>
                <w:sz w:val="22"/>
                <w:szCs w:val="22"/>
              </w:rPr>
              <w:t>Scheduled Bodies</w:t>
            </w:r>
          </w:p>
        </w:tc>
        <w:tc>
          <w:tcPr>
            <w:tcW w:w="901" w:type="dxa"/>
            <w:gridSpan w:val="2"/>
            <w:tcBorders>
              <w:top w:val="nil"/>
              <w:left w:val="nil"/>
              <w:bottom w:val="nil"/>
              <w:right w:val="nil"/>
            </w:tcBorders>
            <w:vAlign w:val="bottom"/>
          </w:tcPr>
          <w:p w14:paraId="72C917BB"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Total</w:t>
            </w:r>
          </w:p>
        </w:tc>
        <w:tc>
          <w:tcPr>
            <w:tcW w:w="243" w:type="dxa"/>
            <w:vMerge w:val="restart"/>
            <w:tcBorders>
              <w:top w:val="nil"/>
              <w:left w:val="nil"/>
              <w:right w:val="nil"/>
            </w:tcBorders>
          </w:tcPr>
          <w:p w14:paraId="27A04E55" w14:textId="77777777" w:rsidR="00F753E8" w:rsidRPr="00922098" w:rsidRDefault="00F753E8" w:rsidP="006E1769">
            <w:pPr>
              <w:jc w:val="center"/>
              <w:rPr>
                <w:rFonts w:ascii="Arial" w:hAnsi="Arial" w:cs="Arial"/>
                <w:b/>
                <w:bCs/>
                <w:color w:val="000000"/>
                <w:sz w:val="22"/>
                <w:szCs w:val="22"/>
                <w:highlight w:val="lightGray"/>
              </w:rPr>
            </w:pPr>
          </w:p>
        </w:tc>
        <w:tc>
          <w:tcPr>
            <w:tcW w:w="1073" w:type="dxa"/>
            <w:tcBorders>
              <w:top w:val="nil"/>
              <w:left w:val="nil"/>
              <w:bottom w:val="nil"/>
              <w:right w:val="nil"/>
            </w:tcBorders>
            <w:vAlign w:val="bottom"/>
          </w:tcPr>
          <w:p w14:paraId="4BE9CDD9"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Council</w:t>
            </w:r>
          </w:p>
        </w:tc>
        <w:tc>
          <w:tcPr>
            <w:tcW w:w="1180" w:type="dxa"/>
            <w:tcBorders>
              <w:top w:val="nil"/>
              <w:left w:val="nil"/>
              <w:bottom w:val="nil"/>
              <w:right w:val="nil"/>
            </w:tcBorders>
            <w:vAlign w:val="bottom"/>
          </w:tcPr>
          <w:p w14:paraId="638AD5CC" w14:textId="77777777" w:rsidR="00F753E8" w:rsidRPr="008A0A4E" w:rsidRDefault="00F753E8" w:rsidP="006E1769">
            <w:pPr>
              <w:ind w:hanging="39"/>
              <w:jc w:val="center"/>
              <w:rPr>
                <w:rFonts w:ascii="Arial" w:hAnsi="Arial" w:cs="Arial"/>
                <w:b/>
                <w:bCs/>
                <w:color w:val="000000"/>
                <w:sz w:val="22"/>
                <w:szCs w:val="22"/>
              </w:rPr>
            </w:pPr>
            <w:r w:rsidRPr="008A0A4E">
              <w:rPr>
                <w:rFonts w:ascii="Arial" w:hAnsi="Arial" w:cs="Arial"/>
                <w:b/>
                <w:bCs/>
                <w:color w:val="000000"/>
                <w:sz w:val="22"/>
                <w:szCs w:val="22"/>
              </w:rPr>
              <w:t>Admitted Bodies</w:t>
            </w:r>
          </w:p>
        </w:tc>
        <w:tc>
          <w:tcPr>
            <w:tcW w:w="1210" w:type="dxa"/>
            <w:tcBorders>
              <w:top w:val="nil"/>
              <w:left w:val="nil"/>
              <w:bottom w:val="nil"/>
              <w:right w:val="nil"/>
            </w:tcBorders>
            <w:vAlign w:val="bottom"/>
          </w:tcPr>
          <w:p w14:paraId="6038D663" w14:textId="77777777" w:rsidR="00F753E8" w:rsidRPr="008A0A4E" w:rsidRDefault="00F753E8" w:rsidP="006E1769">
            <w:pPr>
              <w:ind w:left="-108" w:right="-108"/>
              <w:jc w:val="center"/>
              <w:rPr>
                <w:rFonts w:ascii="Arial" w:hAnsi="Arial" w:cs="Arial"/>
                <w:b/>
                <w:bCs/>
                <w:color w:val="000000"/>
                <w:sz w:val="22"/>
                <w:szCs w:val="22"/>
              </w:rPr>
            </w:pPr>
            <w:r w:rsidRPr="008A0A4E">
              <w:rPr>
                <w:rFonts w:ascii="Arial" w:hAnsi="Arial" w:cs="Arial"/>
                <w:b/>
                <w:bCs/>
                <w:color w:val="000000"/>
                <w:sz w:val="22"/>
                <w:szCs w:val="22"/>
              </w:rPr>
              <w:t>Scheduled Bodies</w:t>
            </w:r>
          </w:p>
        </w:tc>
        <w:tc>
          <w:tcPr>
            <w:tcW w:w="1129" w:type="dxa"/>
            <w:tcBorders>
              <w:top w:val="nil"/>
              <w:left w:val="nil"/>
              <w:bottom w:val="nil"/>
              <w:right w:val="nil"/>
            </w:tcBorders>
            <w:vAlign w:val="bottom"/>
          </w:tcPr>
          <w:p w14:paraId="7F8587A7"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Total</w:t>
            </w:r>
          </w:p>
        </w:tc>
      </w:tr>
      <w:tr w:rsidR="00F753E8" w:rsidRPr="00B64150" w14:paraId="13BDB0A9" w14:textId="77777777" w:rsidTr="006E1769">
        <w:trPr>
          <w:trHeight w:val="58"/>
          <w:jc w:val="center"/>
        </w:trPr>
        <w:tc>
          <w:tcPr>
            <w:tcW w:w="1546" w:type="dxa"/>
            <w:tcBorders>
              <w:top w:val="nil"/>
              <w:left w:val="nil"/>
              <w:bottom w:val="nil"/>
              <w:right w:val="nil"/>
            </w:tcBorders>
            <w:noWrap/>
            <w:vAlign w:val="bottom"/>
          </w:tcPr>
          <w:p w14:paraId="073F8DF9" w14:textId="77777777" w:rsidR="00F753E8" w:rsidRPr="008A0A4E" w:rsidRDefault="00F753E8" w:rsidP="006E1769">
            <w:pPr>
              <w:rPr>
                <w:rFonts w:ascii="Arial" w:hAnsi="Arial" w:cs="Arial"/>
                <w:b/>
                <w:bCs/>
                <w:color w:val="000000"/>
                <w:sz w:val="22"/>
                <w:szCs w:val="22"/>
              </w:rPr>
            </w:pPr>
          </w:p>
        </w:tc>
        <w:tc>
          <w:tcPr>
            <w:tcW w:w="992" w:type="dxa"/>
            <w:tcBorders>
              <w:top w:val="nil"/>
              <w:left w:val="nil"/>
              <w:bottom w:val="nil"/>
              <w:right w:val="nil"/>
            </w:tcBorders>
            <w:noWrap/>
            <w:vAlign w:val="bottom"/>
          </w:tcPr>
          <w:p w14:paraId="2C364673" w14:textId="77777777" w:rsidR="00F753E8" w:rsidRPr="00EE7097" w:rsidRDefault="00F753E8" w:rsidP="006E1769">
            <w:pPr>
              <w:jc w:val="center"/>
              <w:rPr>
                <w:rFonts w:ascii="Arial" w:hAnsi="Arial" w:cs="Arial"/>
                <w:bCs/>
                <w:color w:val="000000"/>
                <w:sz w:val="22"/>
                <w:szCs w:val="22"/>
              </w:rPr>
            </w:pPr>
            <w:r w:rsidRPr="00EE7097">
              <w:rPr>
                <w:rFonts w:ascii="Arial" w:hAnsi="Arial" w:cs="Arial"/>
                <w:bCs/>
                <w:color w:val="000000"/>
                <w:sz w:val="22"/>
                <w:szCs w:val="22"/>
              </w:rPr>
              <w:t>£000</w:t>
            </w:r>
          </w:p>
        </w:tc>
        <w:tc>
          <w:tcPr>
            <w:tcW w:w="946" w:type="dxa"/>
            <w:tcBorders>
              <w:top w:val="nil"/>
              <w:left w:val="nil"/>
              <w:bottom w:val="nil"/>
              <w:right w:val="nil"/>
            </w:tcBorders>
            <w:noWrap/>
            <w:vAlign w:val="bottom"/>
          </w:tcPr>
          <w:p w14:paraId="39397E13" w14:textId="77777777" w:rsidR="00F753E8" w:rsidRPr="00EE7097" w:rsidRDefault="00F753E8" w:rsidP="006E1769">
            <w:pPr>
              <w:ind w:left="-174" w:right="-109"/>
              <w:jc w:val="center"/>
              <w:rPr>
                <w:rFonts w:ascii="Arial" w:hAnsi="Arial" w:cs="Arial"/>
                <w:bCs/>
                <w:color w:val="000000"/>
                <w:sz w:val="22"/>
                <w:szCs w:val="22"/>
              </w:rPr>
            </w:pPr>
            <w:r w:rsidRPr="00EE7097">
              <w:rPr>
                <w:rFonts w:ascii="Arial" w:hAnsi="Arial" w:cs="Arial"/>
                <w:bCs/>
                <w:color w:val="000000"/>
                <w:sz w:val="22"/>
                <w:szCs w:val="22"/>
              </w:rPr>
              <w:t>£000</w:t>
            </w:r>
          </w:p>
        </w:tc>
        <w:tc>
          <w:tcPr>
            <w:tcW w:w="1098" w:type="dxa"/>
            <w:tcBorders>
              <w:top w:val="nil"/>
              <w:left w:val="nil"/>
              <w:bottom w:val="nil"/>
              <w:right w:val="nil"/>
            </w:tcBorders>
            <w:noWrap/>
            <w:vAlign w:val="bottom"/>
          </w:tcPr>
          <w:p w14:paraId="6DA65FA3" w14:textId="77777777" w:rsidR="00F753E8" w:rsidRPr="00EE7097" w:rsidRDefault="00F753E8" w:rsidP="006E1769">
            <w:pPr>
              <w:ind w:left="-107" w:right="-75"/>
              <w:jc w:val="center"/>
              <w:rPr>
                <w:rFonts w:ascii="Arial" w:hAnsi="Arial" w:cs="Arial"/>
                <w:bCs/>
                <w:color w:val="000000"/>
                <w:sz w:val="22"/>
                <w:szCs w:val="22"/>
              </w:rPr>
            </w:pPr>
            <w:r w:rsidRPr="00EE7097">
              <w:rPr>
                <w:rFonts w:ascii="Arial" w:hAnsi="Arial" w:cs="Arial"/>
                <w:bCs/>
                <w:color w:val="000000"/>
                <w:sz w:val="22"/>
                <w:szCs w:val="22"/>
              </w:rPr>
              <w:t>£000</w:t>
            </w:r>
          </w:p>
        </w:tc>
        <w:tc>
          <w:tcPr>
            <w:tcW w:w="901" w:type="dxa"/>
            <w:gridSpan w:val="2"/>
            <w:tcBorders>
              <w:top w:val="nil"/>
              <w:left w:val="nil"/>
              <w:bottom w:val="nil"/>
              <w:right w:val="nil"/>
            </w:tcBorders>
            <w:noWrap/>
            <w:vAlign w:val="bottom"/>
          </w:tcPr>
          <w:p w14:paraId="22AFEE06"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£000</w:t>
            </w:r>
          </w:p>
        </w:tc>
        <w:tc>
          <w:tcPr>
            <w:tcW w:w="243" w:type="dxa"/>
            <w:vMerge/>
            <w:tcBorders>
              <w:left w:val="nil"/>
              <w:right w:val="nil"/>
            </w:tcBorders>
          </w:tcPr>
          <w:p w14:paraId="524B0EC1" w14:textId="77777777" w:rsidR="00F753E8" w:rsidRPr="008A0A4E" w:rsidRDefault="00F753E8" w:rsidP="006E1769">
            <w:pPr>
              <w:jc w:val="center"/>
              <w:rPr>
                <w:rFonts w:ascii="Arial" w:hAnsi="Arial" w:cs="Arial"/>
                <w:b/>
                <w:bCs/>
                <w:color w:val="000000"/>
                <w:sz w:val="22"/>
                <w:szCs w:val="22"/>
              </w:rPr>
            </w:pPr>
          </w:p>
        </w:tc>
        <w:tc>
          <w:tcPr>
            <w:tcW w:w="1073" w:type="dxa"/>
            <w:tcBorders>
              <w:top w:val="nil"/>
              <w:left w:val="nil"/>
              <w:bottom w:val="nil"/>
              <w:right w:val="nil"/>
            </w:tcBorders>
            <w:noWrap/>
            <w:vAlign w:val="bottom"/>
          </w:tcPr>
          <w:p w14:paraId="2481F342"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w:t>
            </w:r>
          </w:p>
        </w:tc>
        <w:tc>
          <w:tcPr>
            <w:tcW w:w="1180" w:type="dxa"/>
            <w:tcBorders>
              <w:top w:val="nil"/>
              <w:left w:val="nil"/>
              <w:bottom w:val="nil"/>
              <w:right w:val="nil"/>
            </w:tcBorders>
            <w:noWrap/>
            <w:vAlign w:val="bottom"/>
          </w:tcPr>
          <w:p w14:paraId="285DE918"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w:t>
            </w:r>
          </w:p>
        </w:tc>
        <w:tc>
          <w:tcPr>
            <w:tcW w:w="1210" w:type="dxa"/>
            <w:tcBorders>
              <w:top w:val="nil"/>
              <w:left w:val="nil"/>
              <w:bottom w:val="nil"/>
              <w:right w:val="nil"/>
            </w:tcBorders>
            <w:noWrap/>
            <w:vAlign w:val="bottom"/>
          </w:tcPr>
          <w:p w14:paraId="35C40773" w14:textId="77777777" w:rsidR="00F753E8" w:rsidRPr="008A0A4E" w:rsidRDefault="00F753E8" w:rsidP="006E1769">
            <w:pPr>
              <w:ind w:left="-108" w:right="-108"/>
              <w:jc w:val="center"/>
              <w:rPr>
                <w:rFonts w:ascii="Arial" w:hAnsi="Arial" w:cs="Arial"/>
                <w:b/>
                <w:bCs/>
                <w:color w:val="000000"/>
                <w:sz w:val="22"/>
                <w:szCs w:val="22"/>
              </w:rPr>
            </w:pPr>
            <w:r w:rsidRPr="008A0A4E">
              <w:rPr>
                <w:rFonts w:ascii="Arial" w:hAnsi="Arial" w:cs="Arial"/>
                <w:b/>
                <w:bCs/>
                <w:color w:val="000000"/>
                <w:sz w:val="22"/>
                <w:szCs w:val="22"/>
              </w:rPr>
              <w:t>£000</w:t>
            </w:r>
          </w:p>
        </w:tc>
        <w:tc>
          <w:tcPr>
            <w:tcW w:w="1129" w:type="dxa"/>
            <w:tcBorders>
              <w:top w:val="nil"/>
              <w:left w:val="nil"/>
              <w:bottom w:val="nil"/>
              <w:right w:val="nil"/>
            </w:tcBorders>
            <w:noWrap/>
            <w:vAlign w:val="bottom"/>
          </w:tcPr>
          <w:p w14:paraId="3C5E966D"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w:t>
            </w:r>
          </w:p>
        </w:tc>
      </w:tr>
      <w:tr w:rsidR="00F753E8" w:rsidRPr="00B64150" w14:paraId="2F144A1B" w14:textId="77777777" w:rsidTr="006E1769">
        <w:trPr>
          <w:trHeight w:val="58"/>
          <w:jc w:val="center"/>
        </w:trPr>
        <w:tc>
          <w:tcPr>
            <w:tcW w:w="1546" w:type="dxa"/>
            <w:tcBorders>
              <w:top w:val="nil"/>
              <w:left w:val="nil"/>
              <w:bottom w:val="nil"/>
              <w:right w:val="nil"/>
            </w:tcBorders>
            <w:noWrap/>
            <w:vAlign w:val="bottom"/>
          </w:tcPr>
          <w:p w14:paraId="6F2F0DCC" w14:textId="77777777" w:rsidR="00F753E8" w:rsidRPr="008A0A4E" w:rsidRDefault="00F753E8" w:rsidP="006E1769">
            <w:pPr>
              <w:ind w:right="-108"/>
              <w:rPr>
                <w:rFonts w:ascii="Arial" w:hAnsi="Arial" w:cs="Arial"/>
                <w:b/>
                <w:bCs/>
                <w:color w:val="000000"/>
                <w:sz w:val="22"/>
                <w:szCs w:val="22"/>
              </w:rPr>
            </w:pPr>
            <w:r w:rsidRPr="008A0A4E">
              <w:rPr>
                <w:rFonts w:ascii="Arial" w:hAnsi="Arial" w:cs="Arial"/>
                <w:b/>
                <w:bCs/>
                <w:color w:val="000000"/>
                <w:sz w:val="22"/>
                <w:szCs w:val="22"/>
              </w:rPr>
              <w:t>Pensions</w:t>
            </w:r>
          </w:p>
        </w:tc>
        <w:tc>
          <w:tcPr>
            <w:tcW w:w="992" w:type="dxa"/>
            <w:tcBorders>
              <w:top w:val="nil"/>
              <w:left w:val="nil"/>
              <w:bottom w:val="nil"/>
              <w:right w:val="nil"/>
            </w:tcBorders>
            <w:shd w:val="clear" w:color="000000" w:fill="FFFFFF"/>
            <w:noWrap/>
            <w:vAlign w:val="center"/>
          </w:tcPr>
          <w:p w14:paraId="7B31331B" w14:textId="77777777" w:rsidR="00F753E8" w:rsidRPr="00926C4B" w:rsidRDefault="00F753E8" w:rsidP="006E1769">
            <w:pPr>
              <w:ind w:left="-241"/>
              <w:jc w:val="right"/>
              <w:rPr>
                <w:rFonts w:ascii="Arial" w:hAnsi="Arial" w:cs="Arial"/>
                <w:bCs/>
                <w:sz w:val="22"/>
                <w:szCs w:val="22"/>
              </w:rPr>
            </w:pPr>
            <w:r w:rsidRPr="00926C4B">
              <w:rPr>
                <w:rFonts w:ascii="Arial" w:hAnsi="Arial" w:cs="Arial"/>
                <w:bCs/>
                <w:sz w:val="22"/>
                <w:szCs w:val="22"/>
              </w:rPr>
              <w:t>29,129</w:t>
            </w:r>
          </w:p>
        </w:tc>
        <w:tc>
          <w:tcPr>
            <w:tcW w:w="946" w:type="dxa"/>
            <w:tcBorders>
              <w:top w:val="nil"/>
              <w:left w:val="nil"/>
              <w:bottom w:val="nil"/>
              <w:right w:val="nil"/>
            </w:tcBorders>
            <w:shd w:val="clear" w:color="000000" w:fill="FFFFFF"/>
            <w:noWrap/>
            <w:vAlign w:val="center"/>
          </w:tcPr>
          <w:p w14:paraId="29829782"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188</w:t>
            </w:r>
          </w:p>
        </w:tc>
        <w:tc>
          <w:tcPr>
            <w:tcW w:w="1098" w:type="dxa"/>
            <w:tcBorders>
              <w:top w:val="nil"/>
              <w:left w:val="nil"/>
              <w:bottom w:val="nil"/>
              <w:right w:val="nil"/>
            </w:tcBorders>
            <w:shd w:val="clear" w:color="000000" w:fill="FFFFFF"/>
            <w:noWrap/>
            <w:vAlign w:val="center"/>
          </w:tcPr>
          <w:p w14:paraId="11FB2415"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6,434</w:t>
            </w:r>
          </w:p>
        </w:tc>
        <w:tc>
          <w:tcPr>
            <w:tcW w:w="901" w:type="dxa"/>
            <w:gridSpan w:val="2"/>
            <w:tcBorders>
              <w:top w:val="nil"/>
              <w:left w:val="nil"/>
              <w:bottom w:val="nil"/>
              <w:right w:val="nil"/>
            </w:tcBorders>
            <w:shd w:val="clear" w:color="000000" w:fill="FFFFFF"/>
            <w:noWrap/>
            <w:vAlign w:val="bottom"/>
          </w:tcPr>
          <w:p w14:paraId="6AA3E28A"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35,751</w:t>
            </w:r>
          </w:p>
        </w:tc>
        <w:tc>
          <w:tcPr>
            <w:tcW w:w="243" w:type="dxa"/>
            <w:vMerge/>
            <w:tcBorders>
              <w:left w:val="nil"/>
              <w:right w:val="nil"/>
            </w:tcBorders>
            <w:shd w:val="clear" w:color="000000" w:fill="FFFFFF"/>
          </w:tcPr>
          <w:p w14:paraId="2C36A8B8" w14:textId="77777777" w:rsidR="00F753E8" w:rsidRPr="008A0A4E" w:rsidRDefault="00F753E8" w:rsidP="006E1769">
            <w:pPr>
              <w:jc w:val="right"/>
              <w:rPr>
                <w:rFonts w:ascii="Arial" w:hAnsi="Arial" w:cs="Arial"/>
                <w:b/>
                <w:bCs/>
                <w:color w:val="000000"/>
                <w:sz w:val="22"/>
                <w:szCs w:val="22"/>
              </w:rPr>
            </w:pPr>
          </w:p>
        </w:tc>
        <w:tc>
          <w:tcPr>
            <w:tcW w:w="1073" w:type="dxa"/>
            <w:tcBorders>
              <w:top w:val="nil"/>
              <w:left w:val="nil"/>
              <w:bottom w:val="nil"/>
              <w:right w:val="nil"/>
            </w:tcBorders>
            <w:shd w:val="clear" w:color="000000" w:fill="FFFFFF"/>
            <w:noWrap/>
          </w:tcPr>
          <w:p w14:paraId="47F3537D"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 xml:space="preserve"> 29,</w:t>
            </w:r>
            <w:r>
              <w:rPr>
                <w:rFonts w:ascii="Arial" w:hAnsi="Arial" w:cs="Arial"/>
                <w:b/>
                <w:bCs/>
                <w:sz w:val="22"/>
                <w:szCs w:val="22"/>
              </w:rPr>
              <w:t>5</w:t>
            </w:r>
            <w:r w:rsidRPr="007C32F2">
              <w:rPr>
                <w:rFonts w:ascii="Arial" w:hAnsi="Arial" w:cs="Arial"/>
                <w:b/>
                <w:bCs/>
                <w:sz w:val="22"/>
                <w:szCs w:val="22"/>
              </w:rPr>
              <w:t xml:space="preserve">07 </w:t>
            </w:r>
          </w:p>
        </w:tc>
        <w:tc>
          <w:tcPr>
            <w:tcW w:w="1180" w:type="dxa"/>
            <w:tcBorders>
              <w:top w:val="nil"/>
              <w:left w:val="nil"/>
              <w:bottom w:val="nil"/>
              <w:right w:val="nil"/>
            </w:tcBorders>
            <w:shd w:val="clear" w:color="000000" w:fill="FFFFFF"/>
            <w:noWrap/>
          </w:tcPr>
          <w:p w14:paraId="5CD6C889"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 xml:space="preserve"> 2</w:t>
            </w:r>
            <w:r>
              <w:rPr>
                <w:rFonts w:ascii="Arial" w:hAnsi="Arial" w:cs="Arial"/>
                <w:b/>
                <w:bCs/>
                <w:sz w:val="22"/>
                <w:szCs w:val="22"/>
              </w:rPr>
              <w:t>29</w:t>
            </w:r>
            <w:r w:rsidRPr="007C32F2">
              <w:rPr>
                <w:rFonts w:ascii="Arial" w:hAnsi="Arial" w:cs="Arial"/>
                <w:b/>
                <w:bCs/>
                <w:sz w:val="22"/>
                <w:szCs w:val="22"/>
              </w:rPr>
              <w:t xml:space="preserve"> </w:t>
            </w:r>
          </w:p>
        </w:tc>
        <w:tc>
          <w:tcPr>
            <w:tcW w:w="1210" w:type="dxa"/>
            <w:tcBorders>
              <w:top w:val="nil"/>
              <w:left w:val="nil"/>
              <w:bottom w:val="nil"/>
              <w:right w:val="nil"/>
            </w:tcBorders>
            <w:shd w:val="clear" w:color="000000" w:fill="FFFFFF"/>
            <w:noWrap/>
          </w:tcPr>
          <w:p w14:paraId="36D81FB7"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 xml:space="preserve"> 6,42</w:t>
            </w:r>
            <w:r>
              <w:rPr>
                <w:rFonts w:ascii="Arial" w:hAnsi="Arial" w:cs="Arial"/>
                <w:b/>
                <w:bCs/>
                <w:sz w:val="22"/>
                <w:szCs w:val="22"/>
              </w:rPr>
              <w:t>8</w:t>
            </w:r>
            <w:r w:rsidRPr="007C32F2">
              <w:rPr>
                <w:rFonts w:ascii="Arial" w:hAnsi="Arial" w:cs="Arial"/>
                <w:b/>
                <w:bCs/>
                <w:sz w:val="22"/>
                <w:szCs w:val="22"/>
              </w:rPr>
              <w:t xml:space="preserve"> </w:t>
            </w:r>
          </w:p>
        </w:tc>
        <w:tc>
          <w:tcPr>
            <w:tcW w:w="1129" w:type="dxa"/>
            <w:tcBorders>
              <w:top w:val="nil"/>
              <w:left w:val="nil"/>
              <w:bottom w:val="nil"/>
              <w:right w:val="nil"/>
            </w:tcBorders>
            <w:shd w:val="clear" w:color="000000" w:fill="FFFFFF"/>
            <w:noWrap/>
          </w:tcPr>
          <w:p w14:paraId="1C457132"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36,</w:t>
            </w:r>
            <w:r>
              <w:rPr>
                <w:rFonts w:ascii="Arial" w:hAnsi="Arial" w:cs="Arial"/>
                <w:b/>
                <w:bCs/>
                <w:sz w:val="22"/>
                <w:szCs w:val="22"/>
              </w:rPr>
              <w:t>163</w:t>
            </w:r>
          </w:p>
        </w:tc>
      </w:tr>
      <w:tr w:rsidR="00F753E8" w:rsidRPr="00B64150" w14:paraId="2F08A308" w14:textId="77777777" w:rsidTr="006E1769">
        <w:trPr>
          <w:trHeight w:val="58"/>
          <w:jc w:val="center"/>
        </w:trPr>
        <w:tc>
          <w:tcPr>
            <w:tcW w:w="1546" w:type="dxa"/>
            <w:tcBorders>
              <w:top w:val="nil"/>
              <w:left w:val="nil"/>
              <w:bottom w:val="nil"/>
              <w:right w:val="nil"/>
            </w:tcBorders>
            <w:noWrap/>
            <w:vAlign w:val="bottom"/>
          </w:tcPr>
          <w:p w14:paraId="386BB777" w14:textId="77777777" w:rsidR="00F753E8" w:rsidRPr="008A0A4E" w:rsidRDefault="00F753E8" w:rsidP="006E1769">
            <w:pPr>
              <w:ind w:right="-108"/>
              <w:rPr>
                <w:rFonts w:ascii="Arial" w:hAnsi="Arial" w:cs="Arial"/>
                <w:b/>
                <w:bCs/>
                <w:color w:val="000000"/>
                <w:sz w:val="22"/>
                <w:szCs w:val="22"/>
              </w:rPr>
            </w:pPr>
            <w:r w:rsidRPr="008A0A4E">
              <w:rPr>
                <w:rFonts w:ascii="Arial" w:hAnsi="Arial" w:cs="Arial"/>
                <w:b/>
                <w:bCs/>
                <w:color w:val="000000"/>
                <w:sz w:val="22"/>
                <w:szCs w:val="22"/>
              </w:rPr>
              <w:t>Lump sums</w:t>
            </w:r>
          </w:p>
        </w:tc>
        <w:tc>
          <w:tcPr>
            <w:tcW w:w="992" w:type="dxa"/>
            <w:tcBorders>
              <w:top w:val="nil"/>
              <w:left w:val="nil"/>
              <w:bottom w:val="nil"/>
              <w:right w:val="nil"/>
            </w:tcBorders>
            <w:shd w:val="clear" w:color="000000" w:fill="FFFFFF"/>
            <w:noWrap/>
            <w:vAlign w:val="center"/>
          </w:tcPr>
          <w:p w14:paraId="176A18EA"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3,715</w:t>
            </w:r>
          </w:p>
        </w:tc>
        <w:tc>
          <w:tcPr>
            <w:tcW w:w="946" w:type="dxa"/>
            <w:tcBorders>
              <w:top w:val="nil"/>
              <w:left w:val="nil"/>
              <w:bottom w:val="nil"/>
              <w:right w:val="nil"/>
            </w:tcBorders>
            <w:shd w:val="clear" w:color="000000" w:fill="FFFFFF"/>
            <w:noWrap/>
            <w:vAlign w:val="center"/>
          </w:tcPr>
          <w:p w14:paraId="5C4A83D3"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372</w:t>
            </w:r>
          </w:p>
        </w:tc>
        <w:tc>
          <w:tcPr>
            <w:tcW w:w="1098" w:type="dxa"/>
            <w:tcBorders>
              <w:top w:val="nil"/>
              <w:left w:val="nil"/>
              <w:bottom w:val="nil"/>
              <w:right w:val="nil"/>
            </w:tcBorders>
            <w:shd w:val="clear" w:color="000000" w:fill="FFFFFF"/>
            <w:noWrap/>
            <w:vAlign w:val="center"/>
          </w:tcPr>
          <w:p w14:paraId="31B0260C"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1,056</w:t>
            </w:r>
          </w:p>
        </w:tc>
        <w:tc>
          <w:tcPr>
            <w:tcW w:w="901" w:type="dxa"/>
            <w:gridSpan w:val="2"/>
            <w:tcBorders>
              <w:top w:val="nil"/>
              <w:left w:val="nil"/>
              <w:bottom w:val="nil"/>
              <w:right w:val="nil"/>
            </w:tcBorders>
            <w:shd w:val="clear" w:color="000000" w:fill="FFFFFF"/>
            <w:noWrap/>
            <w:vAlign w:val="bottom"/>
          </w:tcPr>
          <w:p w14:paraId="4DB05F85"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5,143</w:t>
            </w:r>
          </w:p>
        </w:tc>
        <w:tc>
          <w:tcPr>
            <w:tcW w:w="243" w:type="dxa"/>
            <w:vMerge/>
            <w:tcBorders>
              <w:left w:val="nil"/>
              <w:right w:val="nil"/>
            </w:tcBorders>
            <w:shd w:val="clear" w:color="000000" w:fill="FFFFFF"/>
          </w:tcPr>
          <w:p w14:paraId="024D3DE6" w14:textId="77777777" w:rsidR="00F753E8" w:rsidRDefault="00F753E8" w:rsidP="006E1769">
            <w:pPr>
              <w:jc w:val="right"/>
              <w:rPr>
                <w:rFonts w:ascii="Arial" w:hAnsi="Arial" w:cs="Arial"/>
                <w:b/>
                <w:sz w:val="22"/>
                <w:szCs w:val="22"/>
              </w:rPr>
            </w:pPr>
          </w:p>
        </w:tc>
        <w:tc>
          <w:tcPr>
            <w:tcW w:w="1073" w:type="dxa"/>
            <w:tcBorders>
              <w:top w:val="nil"/>
              <w:left w:val="nil"/>
              <w:bottom w:val="nil"/>
              <w:right w:val="nil"/>
            </w:tcBorders>
            <w:shd w:val="clear" w:color="000000" w:fill="FFFFFF"/>
            <w:noWrap/>
          </w:tcPr>
          <w:p w14:paraId="684C4617"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 xml:space="preserve"> 3,76</w:t>
            </w:r>
            <w:r>
              <w:rPr>
                <w:rFonts w:ascii="Arial" w:hAnsi="Arial" w:cs="Arial"/>
                <w:b/>
                <w:bCs/>
                <w:sz w:val="22"/>
                <w:szCs w:val="22"/>
              </w:rPr>
              <w:t>9</w:t>
            </w:r>
            <w:r w:rsidRPr="007C32F2">
              <w:rPr>
                <w:rFonts w:ascii="Arial" w:hAnsi="Arial" w:cs="Arial"/>
                <w:b/>
                <w:bCs/>
                <w:sz w:val="22"/>
                <w:szCs w:val="22"/>
              </w:rPr>
              <w:t xml:space="preserve"> </w:t>
            </w:r>
          </w:p>
        </w:tc>
        <w:tc>
          <w:tcPr>
            <w:tcW w:w="1180" w:type="dxa"/>
            <w:tcBorders>
              <w:top w:val="nil"/>
              <w:left w:val="nil"/>
              <w:bottom w:val="nil"/>
              <w:right w:val="nil"/>
            </w:tcBorders>
            <w:shd w:val="clear" w:color="000000" w:fill="FFFFFF"/>
            <w:noWrap/>
          </w:tcPr>
          <w:p w14:paraId="5129E0A2"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 xml:space="preserve"> 3</w:t>
            </w:r>
            <w:r>
              <w:rPr>
                <w:rFonts w:ascii="Arial" w:hAnsi="Arial" w:cs="Arial"/>
                <w:b/>
                <w:bCs/>
                <w:sz w:val="22"/>
                <w:szCs w:val="22"/>
              </w:rPr>
              <w:t>69</w:t>
            </w:r>
            <w:r w:rsidRPr="007C32F2">
              <w:rPr>
                <w:rFonts w:ascii="Arial" w:hAnsi="Arial" w:cs="Arial"/>
                <w:b/>
                <w:bCs/>
                <w:sz w:val="22"/>
                <w:szCs w:val="22"/>
              </w:rPr>
              <w:t xml:space="preserve"> </w:t>
            </w:r>
          </w:p>
        </w:tc>
        <w:tc>
          <w:tcPr>
            <w:tcW w:w="1210" w:type="dxa"/>
            <w:tcBorders>
              <w:top w:val="nil"/>
              <w:left w:val="nil"/>
              <w:bottom w:val="nil"/>
              <w:right w:val="nil"/>
            </w:tcBorders>
            <w:shd w:val="clear" w:color="000000" w:fill="FFFFFF"/>
            <w:noWrap/>
          </w:tcPr>
          <w:p w14:paraId="4E9B967F"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 xml:space="preserve"> 7</w:t>
            </w:r>
            <w:r>
              <w:rPr>
                <w:rFonts w:ascii="Arial" w:hAnsi="Arial" w:cs="Arial"/>
                <w:b/>
                <w:bCs/>
                <w:sz w:val="22"/>
                <w:szCs w:val="22"/>
              </w:rPr>
              <w:t>12</w:t>
            </w:r>
            <w:r w:rsidRPr="007C32F2">
              <w:rPr>
                <w:rFonts w:ascii="Arial" w:hAnsi="Arial" w:cs="Arial"/>
                <w:b/>
                <w:bCs/>
                <w:sz w:val="22"/>
                <w:szCs w:val="22"/>
              </w:rPr>
              <w:t xml:space="preserve"> </w:t>
            </w:r>
          </w:p>
        </w:tc>
        <w:tc>
          <w:tcPr>
            <w:tcW w:w="1129" w:type="dxa"/>
            <w:tcBorders>
              <w:top w:val="nil"/>
              <w:left w:val="nil"/>
              <w:bottom w:val="nil"/>
              <w:right w:val="nil"/>
            </w:tcBorders>
            <w:shd w:val="clear" w:color="000000" w:fill="FFFFFF"/>
            <w:noWrap/>
          </w:tcPr>
          <w:p w14:paraId="41E95257"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4,850</w:t>
            </w:r>
          </w:p>
        </w:tc>
      </w:tr>
      <w:tr w:rsidR="00F753E8" w:rsidRPr="00B64150" w14:paraId="6D661286" w14:textId="77777777" w:rsidTr="006E1769">
        <w:trPr>
          <w:trHeight w:val="58"/>
          <w:jc w:val="center"/>
        </w:trPr>
        <w:tc>
          <w:tcPr>
            <w:tcW w:w="1546" w:type="dxa"/>
            <w:tcBorders>
              <w:top w:val="nil"/>
              <w:left w:val="nil"/>
              <w:bottom w:val="nil"/>
              <w:right w:val="nil"/>
            </w:tcBorders>
            <w:noWrap/>
            <w:vAlign w:val="bottom"/>
          </w:tcPr>
          <w:p w14:paraId="7963320F" w14:textId="77777777" w:rsidR="00F753E8" w:rsidRPr="008A0A4E" w:rsidRDefault="00F753E8" w:rsidP="006E1769">
            <w:pPr>
              <w:ind w:right="-108"/>
              <w:rPr>
                <w:rFonts w:ascii="Arial" w:hAnsi="Arial" w:cs="Arial"/>
                <w:b/>
                <w:bCs/>
                <w:color w:val="000000"/>
                <w:sz w:val="22"/>
                <w:szCs w:val="22"/>
              </w:rPr>
            </w:pPr>
            <w:r w:rsidRPr="008A0A4E">
              <w:rPr>
                <w:rFonts w:ascii="Arial" w:hAnsi="Arial" w:cs="Arial"/>
                <w:b/>
                <w:bCs/>
                <w:color w:val="000000"/>
                <w:sz w:val="22"/>
                <w:szCs w:val="22"/>
              </w:rPr>
              <w:t>Death grants</w:t>
            </w:r>
          </w:p>
        </w:tc>
        <w:tc>
          <w:tcPr>
            <w:tcW w:w="992" w:type="dxa"/>
            <w:tcBorders>
              <w:top w:val="nil"/>
              <w:left w:val="nil"/>
              <w:bottom w:val="nil"/>
              <w:right w:val="nil"/>
            </w:tcBorders>
            <w:shd w:val="clear" w:color="000000" w:fill="FFFFFF"/>
            <w:noWrap/>
            <w:vAlign w:val="center"/>
          </w:tcPr>
          <w:p w14:paraId="6D846694"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888</w:t>
            </w:r>
          </w:p>
        </w:tc>
        <w:tc>
          <w:tcPr>
            <w:tcW w:w="946" w:type="dxa"/>
            <w:tcBorders>
              <w:top w:val="nil"/>
              <w:left w:val="nil"/>
              <w:bottom w:val="nil"/>
              <w:right w:val="nil"/>
            </w:tcBorders>
            <w:shd w:val="clear" w:color="000000" w:fill="FFFFFF"/>
            <w:noWrap/>
            <w:vAlign w:val="center"/>
          </w:tcPr>
          <w:p w14:paraId="0B6022CC"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w:t>
            </w:r>
          </w:p>
        </w:tc>
        <w:tc>
          <w:tcPr>
            <w:tcW w:w="1098" w:type="dxa"/>
            <w:tcBorders>
              <w:top w:val="nil"/>
              <w:left w:val="nil"/>
              <w:bottom w:val="nil"/>
              <w:right w:val="nil"/>
            </w:tcBorders>
            <w:shd w:val="clear" w:color="000000" w:fill="FFFFFF"/>
            <w:noWrap/>
            <w:vAlign w:val="center"/>
          </w:tcPr>
          <w:p w14:paraId="0223964C"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292</w:t>
            </w:r>
          </w:p>
        </w:tc>
        <w:tc>
          <w:tcPr>
            <w:tcW w:w="901" w:type="dxa"/>
            <w:gridSpan w:val="2"/>
            <w:tcBorders>
              <w:top w:val="nil"/>
              <w:left w:val="nil"/>
              <w:bottom w:val="nil"/>
              <w:right w:val="nil"/>
            </w:tcBorders>
            <w:shd w:val="clear" w:color="000000" w:fill="FFFFFF"/>
            <w:noWrap/>
            <w:vAlign w:val="bottom"/>
          </w:tcPr>
          <w:p w14:paraId="2A499F34" w14:textId="77777777" w:rsidR="00F753E8" w:rsidRPr="00926C4B" w:rsidRDefault="00F753E8" w:rsidP="006E1769">
            <w:pPr>
              <w:jc w:val="right"/>
              <w:rPr>
                <w:rFonts w:ascii="Arial" w:hAnsi="Arial" w:cs="Arial"/>
                <w:bCs/>
                <w:sz w:val="22"/>
                <w:szCs w:val="22"/>
              </w:rPr>
            </w:pPr>
            <w:r w:rsidRPr="00926C4B">
              <w:rPr>
                <w:rFonts w:ascii="Arial" w:hAnsi="Arial" w:cs="Arial"/>
                <w:bCs/>
                <w:sz w:val="22"/>
                <w:szCs w:val="22"/>
              </w:rPr>
              <w:t>1,180</w:t>
            </w:r>
          </w:p>
        </w:tc>
        <w:tc>
          <w:tcPr>
            <w:tcW w:w="243" w:type="dxa"/>
            <w:vMerge/>
            <w:tcBorders>
              <w:left w:val="nil"/>
              <w:right w:val="nil"/>
            </w:tcBorders>
            <w:shd w:val="clear" w:color="000000" w:fill="FFFFFF"/>
          </w:tcPr>
          <w:p w14:paraId="656D4D35" w14:textId="77777777" w:rsidR="00F753E8" w:rsidRPr="008A0A4E" w:rsidRDefault="00F753E8" w:rsidP="006E1769">
            <w:pPr>
              <w:jc w:val="right"/>
              <w:rPr>
                <w:rFonts w:ascii="Arial" w:hAnsi="Arial" w:cs="Arial"/>
                <w:b/>
                <w:sz w:val="22"/>
                <w:szCs w:val="22"/>
              </w:rPr>
            </w:pPr>
          </w:p>
        </w:tc>
        <w:tc>
          <w:tcPr>
            <w:tcW w:w="1073" w:type="dxa"/>
            <w:tcBorders>
              <w:top w:val="nil"/>
              <w:left w:val="nil"/>
              <w:bottom w:val="nil"/>
              <w:right w:val="nil"/>
            </w:tcBorders>
            <w:shd w:val="clear" w:color="000000" w:fill="FFFFFF"/>
            <w:noWrap/>
          </w:tcPr>
          <w:p w14:paraId="2D37C764"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 xml:space="preserve"> 953 </w:t>
            </w:r>
          </w:p>
        </w:tc>
        <w:tc>
          <w:tcPr>
            <w:tcW w:w="1180" w:type="dxa"/>
            <w:tcBorders>
              <w:top w:val="nil"/>
              <w:left w:val="nil"/>
              <w:bottom w:val="nil"/>
              <w:right w:val="nil"/>
            </w:tcBorders>
            <w:shd w:val="clear" w:color="000000" w:fill="FFFFFF"/>
            <w:noWrap/>
          </w:tcPr>
          <w:p w14:paraId="4FE918B3"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 xml:space="preserve"> -   </w:t>
            </w:r>
          </w:p>
        </w:tc>
        <w:tc>
          <w:tcPr>
            <w:tcW w:w="1210" w:type="dxa"/>
            <w:tcBorders>
              <w:top w:val="nil"/>
              <w:left w:val="nil"/>
              <w:bottom w:val="nil"/>
              <w:right w:val="nil"/>
            </w:tcBorders>
            <w:shd w:val="clear" w:color="000000" w:fill="FFFFFF"/>
            <w:noWrap/>
          </w:tcPr>
          <w:p w14:paraId="3C656EE8"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 xml:space="preserve"> 364 </w:t>
            </w:r>
          </w:p>
        </w:tc>
        <w:tc>
          <w:tcPr>
            <w:tcW w:w="1129" w:type="dxa"/>
            <w:tcBorders>
              <w:top w:val="nil"/>
              <w:left w:val="nil"/>
              <w:bottom w:val="nil"/>
              <w:right w:val="nil"/>
            </w:tcBorders>
            <w:shd w:val="clear" w:color="000000" w:fill="FFFFFF"/>
            <w:noWrap/>
          </w:tcPr>
          <w:p w14:paraId="1A5C98FE"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1,317</w:t>
            </w:r>
          </w:p>
        </w:tc>
      </w:tr>
      <w:tr w:rsidR="00F753E8" w:rsidRPr="00B64150" w14:paraId="33DC854D" w14:textId="77777777" w:rsidTr="006E1769">
        <w:trPr>
          <w:trHeight w:val="62"/>
          <w:jc w:val="center"/>
        </w:trPr>
        <w:tc>
          <w:tcPr>
            <w:tcW w:w="1546" w:type="dxa"/>
            <w:tcBorders>
              <w:top w:val="nil"/>
              <w:left w:val="nil"/>
              <w:bottom w:val="nil"/>
              <w:right w:val="nil"/>
            </w:tcBorders>
            <w:noWrap/>
            <w:vAlign w:val="bottom"/>
          </w:tcPr>
          <w:p w14:paraId="7FE19F1A" w14:textId="77777777" w:rsidR="00F753E8" w:rsidRPr="008A0A4E" w:rsidRDefault="00F753E8" w:rsidP="006E1769">
            <w:pPr>
              <w:rPr>
                <w:rFonts w:ascii="Arial" w:hAnsi="Arial" w:cs="Arial"/>
                <w:b/>
                <w:bCs/>
                <w:color w:val="000000"/>
                <w:sz w:val="22"/>
                <w:szCs w:val="22"/>
              </w:rPr>
            </w:pPr>
          </w:p>
        </w:tc>
        <w:tc>
          <w:tcPr>
            <w:tcW w:w="992" w:type="dxa"/>
            <w:tcBorders>
              <w:top w:val="single" w:sz="8" w:space="0" w:color="auto"/>
              <w:left w:val="nil"/>
              <w:bottom w:val="double" w:sz="6" w:space="0" w:color="auto"/>
              <w:right w:val="nil"/>
            </w:tcBorders>
            <w:shd w:val="clear" w:color="000000" w:fill="FFFFFF"/>
            <w:noWrap/>
            <w:vAlign w:val="center"/>
          </w:tcPr>
          <w:p w14:paraId="0DA1B58A" w14:textId="77777777" w:rsidR="00F753E8" w:rsidRPr="00926C4B" w:rsidRDefault="00F753E8" w:rsidP="006E1769">
            <w:pPr>
              <w:jc w:val="right"/>
              <w:rPr>
                <w:rFonts w:ascii="Arial" w:hAnsi="Arial" w:cs="Arial"/>
                <w:bCs/>
                <w:color w:val="000000"/>
                <w:sz w:val="22"/>
                <w:szCs w:val="22"/>
              </w:rPr>
            </w:pPr>
            <w:r w:rsidRPr="00926C4B">
              <w:rPr>
                <w:rFonts w:ascii="Arial" w:hAnsi="Arial" w:cs="Arial"/>
                <w:bCs/>
                <w:sz w:val="22"/>
                <w:szCs w:val="22"/>
              </w:rPr>
              <w:t>33,732</w:t>
            </w:r>
          </w:p>
        </w:tc>
        <w:tc>
          <w:tcPr>
            <w:tcW w:w="946" w:type="dxa"/>
            <w:tcBorders>
              <w:top w:val="single" w:sz="8" w:space="0" w:color="auto"/>
              <w:left w:val="nil"/>
              <w:bottom w:val="double" w:sz="6" w:space="0" w:color="auto"/>
              <w:right w:val="nil"/>
            </w:tcBorders>
            <w:shd w:val="clear" w:color="000000" w:fill="FFFFFF"/>
            <w:noWrap/>
            <w:vAlign w:val="center"/>
          </w:tcPr>
          <w:p w14:paraId="0FBE23D0" w14:textId="77777777" w:rsidR="00F753E8" w:rsidRPr="00926C4B" w:rsidRDefault="00F753E8" w:rsidP="006E1769">
            <w:pPr>
              <w:jc w:val="right"/>
              <w:rPr>
                <w:rFonts w:ascii="Arial" w:hAnsi="Arial" w:cs="Arial"/>
                <w:bCs/>
                <w:color w:val="000000"/>
                <w:sz w:val="22"/>
                <w:szCs w:val="22"/>
              </w:rPr>
            </w:pPr>
            <w:r w:rsidRPr="00926C4B">
              <w:rPr>
                <w:rFonts w:ascii="Arial" w:hAnsi="Arial" w:cs="Arial"/>
                <w:bCs/>
                <w:sz w:val="22"/>
                <w:szCs w:val="22"/>
              </w:rPr>
              <w:t>560</w:t>
            </w:r>
          </w:p>
        </w:tc>
        <w:tc>
          <w:tcPr>
            <w:tcW w:w="1098" w:type="dxa"/>
            <w:tcBorders>
              <w:top w:val="single" w:sz="8" w:space="0" w:color="auto"/>
              <w:left w:val="nil"/>
              <w:bottom w:val="double" w:sz="6" w:space="0" w:color="auto"/>
              <w:right w:val="nil"/>
            </w:tcBorders>
            <w:shd w:val="clear" w:color="000000" w:fill="FFFFFF"/>
            <w:noWrap/>
            <w:vAlign w:val="center"/>
          </w:tcPr>
          <w:p w14:paraId="0C708A47" w14:textId="77777777" w:rsidR="00F753E8" w:rsidRPr="00926C4B" w:rsidRDefault="00F753E8" w:rsidP="006E1769">
            <w:pPr>
              <w:jc w:val="right"/>
              <w:rPr>
                <w:rFonts w:ascii="Arial" w:hAnsi="Arial" w:cs="Arial"/>
                <w:bCs/>
                <w:color w:val="000000"/>
                <w:sz w:val="22"/>
                <w:szCs w:val="22"/>
              </w:rPr>
            </w:pPr>
            <w:r w:rsidRPr="00926C4B">
              <w:rPr>
                <w:rFonts w:ascii="Arial" w:hAnsi="Arial" w:cs="Arial"/>
                <w:bCs/>
                <w:sz w:val="22"/>
                <w:szCs w:val="22"/>
              </w:rPr>
              <w:t>7,782</w:t>
            </w:r>
          </w:p>
        </w:tc>
        <w:tc>
          <w:tcPr>
            <w:tcW w:w="901" w:type="dxa"/>
            <w:gridSpan w:val="2"/>
            <w:tcBorders>
              <w:top w:val="single" w:sz="4" w:space="0" w:color="auto"/>
              <w:left w:val="nil"/>
              <w:bottom w:val="double" w:sz="6" w:space="0" w:color="auto"/>
              <w:right w:val="nil"/>
            </w:tcBorders>
            <w:shd w:val="clear" w:color="000000" w:fill="FFFFFF"/>
            <w:noWrap/>
            <w:vAlign w:val="center"/>
          </w:tcPr>
          <w:p w14:paraId="5475839C" w14:textId="77777777" w:rsidR="00F753E8" w:rsidRPr="00926C4B" w:rsidRDefault="00F753E8" w:rsidP="006E1769">
            <w:pPr>
              <w:jc w:val="right"/>
              <w:rPr>
                <w:rFonts w:ascii="Arial" w:hAnsi="Arial" w:cs="Arial"/>
                <w:bCs/>
                <w:color w:val="000000"/>
                <w:sz w:val="22"/>
                <w:szCs w:val="22"/>
              </w:rPr>
            </w:pPr>
            <w:r w:rsidRPr="00926C4B">
              <w:rPr>
                <w:rFonts w:ascii="Arial" w:hAnsi="Arial" w:cs="Arial"/>
                <w:bCs/>
                <w:sz w:val="22"/>
                <w:szCs w:val="22"/>
              </w:rPr>
              <w:t>42,074</w:t>
            </w:r>
          </w:p>
        </w:tc>
        <w:tc>
          <w:tcPr>
            <w:tcW w:w="243" w:type="dxa"/>
            <w:vMerge/>
            <w:tcBorders>
              <w:left w:val="nil"/>
              <w:bottom w:val="double" w:sz="6" w:space="0" w:color="auto"/>
              <w:right w:val="nil"/>
            </w:tcBorders>
            <w:shd w:val="clear" w:color="000000" w:fill="FFFFFF"/>
          </w:tcPr>
          <w:p w14:paraId="3B46CBE4" w14:textId="77777777" w:rsidR="00F753E8" w:rsidRPr="008A0A4E" w:rsidRDefault="00F753E8" w:rsidP="006E1769">
            <w:pPr>
              <w:jc w:val="right"/>
              <w:rPr>
                <w:rFonts w:ascii="Arial" w:hAnsi="Arial" w:cs="Arial"/>
                <w:b/>
                <w:sz w:val="22"/>
                <w:szCs w:val="22"/>
              </w:rPr>
            </w:pPr>
          </w:p>
        </w:tc>
        <w:tc>
          <w:tcPr>
            <w:tcW w:w="1073" w:type="dxa"/>
            <w:tcBorders>
              <w:top w:val="single" w:sz="8" w:space="0" w:color="auto"/>
              <w:left w:val="nil"/>
              <w:bottom w:val="double" w:sz="6" w:space="0" w:color="auto"/>
              <w:right w:val="nil"/>
            </w:tcBorders>
            <w:shd w:val="clear" w:color="000000" w:fill="FFFFFF"/>
            <w:noWrap/>
          </w:tcPr>
          <w:p w14:paraId="2608C9F7"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34,428</w:t>
            </w:r>
          </w:p>
        </w:tc>
        <w:tc>
          <w:tcPr>
            <w:tcW w:w="1180" w:type="dxa"/>
            <w:tcBorders>
              <w:top w:val="single" w:sz="8" w:space="0" w:color="auto"/>
              <w:left w:val="nil"/>
              <w:bottom w:val="double" w:sz="6" w:space="0" w:color="auto"/>
              <w:right w:val="nil"/>
            </w:tcBorders>
            <w:shd w:val="clear" w:color="000000" w:fill="FFFFFF"/>
            <w:noWrap/>
          </w:tcPr>
          <w:p w14:paraId="3A38BDEE"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584</w:t>
            </w:r>
          </w:p>
        </w:tc>
        <w:tc>
          <w:tcPr>
            <w:tcW w:w="1210" w:type="dxa"/>
            <w:tcBorders>
              <w:top w:val="single" w:sz="8" w:space="0" w:color="auto"/>
              <w:left w:val="nil"/>
              <w:bottom w:val="double" w:sz="6" w:space="0" w:color="auto"/>
              <w:right w:val="nil"/>
            </w:tcBorders>
            <w:shd w:val="clear" w:color="000000" w:fill="FFFFFF"/>
            <w:noWrap/>
          </w:tcPr>
          <w:p w14:paraId="2DDB2BF4"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7,52</w:t>
            </w:r>
            <w:r>
              <w:rPr>
                <w:rFonts w:ascii="Arial" w:hAnsi="Arial" w:cs="Arial"/>
                <w:b/>
                <w:bCs/>
                <w:sz w:val="22"/>
                <w:szCs w:val="22"/>
              </w:rPr>
              <w:t>1</w:t>
            </w:r>
          </w:p>
        </w:tc>
        <w:tc>
          <w:tcPr>
            <w:tcW w:w="1129" w:type="dxa"/>
            <w:tcBorders>
              <w:top w:val="single" w:sz="8" w:space="0" w:color="auto"/>
              <w:left w:val="nil"/>
              <w:bottom w:val="double" w:sz="6" w:space="0" w:color="auto"/>
              <w:right w:val="nil"/>
            </w:tcBorders>
            <w:shd w:val="clear" w:color="000000" w:fill="FFFFFF"/>
            <w:noWrap/>
          </w:tcPr>
          <w:p w14:paraId="4C31F6F9" w14:textId="77777777" w:rsidR="00F753E8" w:rsidRPr="007C32F2" w:rsidRDefault="00F753E8" w:rsidP="006E1769">
            <w:pPr>
              <w:jc w:val="right"/>
              <w:rPr>
                <w:rFonts w:ascii="Arial" w:hAnsi="Arial" w:cs="Arial"/>
                <w:b/>
                <w:bCs/>
                <w:sz w:val="22"/>
                <w:szCs w:val="22"/>
              </w:rPr>
            </w:pPr>
            <w:r w:rsidRPr="007C32F2">
              <w:rPr>
                <w:rFonts w:ascii="Arial" w:hAnsi="Arial" w:cs="Arial"/>
                <w:b/>
                <w:bCs/>
                <w:sz w:val="22"/>
                <w:szCs w:val="22"/>
              </w:rPr>
              <w:t>42,</w:t>
            </w:r>
            <w:r>
              <w:rPr>
                <w:rFonts w:ascii="Arial" w:hAnsi="Arial" w:cs="Arial"/>
                <w:b/>
                <w:bCs/>
                <w:sz w:val="22"/>
                <w:szCs w:val="22"/>
              </w:rPr>
              <w:t>330</w:t>
            </w:r>
          </w:p>
        </w:tc>
      </w:tr>
    </w:tbl>
    <w:p w14:paraId="2DF2A275" w14:textId="77777777" w:rsidR="00F753E8" w:rsidRPr="008A0A4E" w:rsidRDefault="00F753E8" w:rsidP="00F753E8">
      <w:pPr>
        <w:pStyle w:val="ListParagraph"/>
        <w:tabs>
          <w:tab w:val="left" w:pos="709"/>
          <w:tab w:val="left" w:pos="1134"/>
        </w:tabs>
        <w:spacing w:after="0" w:line="240" w:lineRule="auto"/>
        <w:ind w:left="360"/>
        <w:jc w:val="both"/>
        <w:rPr>
          <w:rFonts w:ascii="Arial" w:hAnsi="Arial" w:cs="Arial"/>
        </w:rPr>
      </w:pPr>
    </w:p>
    <w:p w14:paraId="504F20EB" w14:textId="77777777" w:rsidR="00F753E8" w:rsidRPr="008A0A4E" w:rsidRDefault="00F753E8" w:rsidP="007337FE">
      <w:pPr>
        <w:pStyle w:val="ListParagraph"/>
        <w:numPr>
          <w:ilvl w:val="0"/>
          <w:numId w:val="90"/>
        </w:numPr>
        <w:tabs>
          <w:tab w:val="left" w:pos="709"/>
          <w:tab w:val="left" w:pos="1134"/>
        </w:tabs>
        <w:spacing w:after="0"/>
        <w:jc w:val="both"/>
        <w:rPr>
          <w:rFonts w:ascii="Arial" w:hAnsi="Arial" w:cs="Arial"/>
        </w:rPr>
      </w:pPr>
      <w:r w:rsidRPr="008A0A4E">
        <w:rPr>
          <w:rFonts w:ascii="Arial" w:hAnsi="Arial" w:cs="Arial"/>
          <w:b/>
          <w:bCs/>
          <w:color w:val="000000"/>
        </w:rPr>
        <w:t>Payments to and on account of leavers</w:t>
      </w:r>
    </w:p>
    <w:tbl>
      <w:tblPr>
        <w:tblW w:w="10266" w:type="dxa"/>
        <w:jc w:val="center"/>
        <w:tblLayout w:type="fixed"/>
        <w:tblLook w:val="00A0" w:firstRow="1" w:lastRow="0" w:firstColumn="1" w:lastColumn="0" w:noHBand="0" w:noVBand="0"/>
      </w:tblPr>
      <w:tblGrid>
        <w:gridCol w:w="6709"/>
        <w:gridCol w:w="6"/>
        <w:gridCol w:w="1635"/>
        <w:gridCol w:w="601"/>
        <w:gridCol w:w="1315"/>
      </w:tblGrid>
      <w:tr w:rsidR="00F753E8" w:rsidRPr="00B64150" w14:paraId="40A98A88" w14:textId="77777777" w:rsidTr="006E1769">
        <w:trPr>
          <w:trHeight w:val="88"/>
          <w:jc w:val="center"/>
        </w:trPr>
        <w:tc>
          <w:tcPr>
            <w:tcW w:w="6715" w:type="dxa"/>
            <w:gridSpan w:val="2"/>
            <w:tcBorders>
              <w:top w:val="nil"/>
              <w:left w:val="nil"/>
              <w:bottom w:val="nil"/>
              <w:right w:val="nil"/>
            </w:tcBorders>
            <w:shd w:val="clear" w:color="000000" w:fill="FFFFFF"/>
            <w:noWrap/>
            <w:vAlign w:val="bottom"/>
          </w:tcPr>
          <w:p w14:paraId="06AEBCFA" w14:textId="77777777" w:rsidR="00F753E8" w:rsidRPr="008A0A4E" w:rsidRDefault="00F753E8" w:rsidP="006E1769">
            <w:pPr>
              <w:tabs>
                <w:tab w:val="left" w:pos="709"/>
              </w:tabs>
              <w:ind w:left="426" w:hanging="426"/>
              <w:rPr>
                <w:rFonts w:ascii="Arial" w:hAnsi="Arial" w:cs="Arial"/>
                <w:b/>
                <w:bCs/>
                <w:color w:val="000000"/>
                <w:sz w:val="22"/>
                <w:szCs w:val="22"/>
              </w:rPr>
            </w:pPr>
            <w:r w:rsidRPr="008A0A4E">
              <w:rPr>
                <w:rFonts w:ascii="Arial" w:hAnsi="Arial" w:cs="Arial"/>
                <w:b/>
                <w:bCs/>
                <w:color w:val="000000"/>
                <w:sz w:val="22"/>
                <w:szCs w:val="22"/>
              </w:rPr>
              <w:t> </w:t>
            </w:r>
          </w:p>
        </w:tc>
        <w:tc>
          <w:tcPr>
            <w:tcW w:w="1635" w:type="dxa"/>
            <w:tcBorders>
              <w:top w:val="nil"/>
              <w:left w:val="nil"/>
              <w:bottom w:val="nil"/>
              <w:right w:val="nil"/>
            </w:tcBorders>
            <w:shd w:val="clear" w:color="000000" w:fill="FFFFFF"/>
            <w:vAlign w:val="center"/>
          </w:tcPr>
          <w:p w14:paraId="789481FB" w14:textId="77777777" w:rsidR="00F753E8" w:rsidRPr="008A0A4E" w:rsidRDefault="00F753E8" w:rsidP="006E1769">
            <w:pPr>
              <w:jc w:val="center"/>
              <w:rPr>
                <w:rFonts w:ascii="Arial" w:hAnsi="Arial" w:cs="Arial"/>
                <w:bCs/>
                <w:color w:val="000000"/>
                <w:sz w:val="22"/>
                <w:szCs w:val="22"/>
              </w:rPr>
            </w:pPr>
            <w:r>
              <w:rPr>
                <w:rFonts w:ascii="Arial" w:hAnsi="Arial" w:cs="Arial"/>
                <w:b/>
                <w:bCs/>
                <w:color w:val="000000"/>
                <w:sz w:val="22"/>
                <w:szCs w:val="22"/>
              </w:rPr>
              <w:t>2020/21</w:t>
            </w:r>
          </w:p>
        </w:tc>
        <w:tc>
          <w:tcPr>
            <w:tcW w:w="601" w:type="dxa"/>
            <w:tcBorders>
              <w:top w:val="nil"/>
              <w:left w:val="nil"/>
              <w:bottom w:val="nil"/>
              <w:right w:val="nil"/>
            </w:tcBorders>
            <w:shd w:val="clear" w:color="000000" w:fill="FFFFFF"/>
            <w:noWrap/>
            <w:vAlign w:val="center"/>
          </w:tcPr>
          <w:p w14:paraId="744B7F1B" w14:textId="77777777" w:rsidR="00F753E8" w:rsidRPr="008A0A4E" w:rsidRDefault="00F753E8" w:rsidP="006E1769">
            <w:pPr>
              <w:rPr>
                <w:rFonts w:ascii="Arial" w:hAnsi="Arial" w:cs="Arial"/>
                <w:color w:val="000000"/>
                <w:sz w:val="22"/>
                <w:szCs w:val="22"/>
              </w:rPr>
            </w:pPr>
            <w:r>
              <w:rPr>
                <w:rFonts w:ascii="Arial" w:hAnsi="Arial" w:cs="Arial"/>
                <w:color w:val="000000"/>
                <w:sz w:val="22"/>
                <w:szCs w:val="22"/>
              </w:rPr>
              <w:t> </w:t>
            </w:r>
          </w:p>
        </w:tc>
        <w:tc>
          <w:tcPr>
            <w:tcW w:w="1315" w:type="dxa"/>
            <w:tcBorders>
              <w:top w:val="nil"/>
              <w:left w:val="nil"/>
              <w:bottom w:val="nil"/>
              <w:right w:val="nil"/>
            </w:tcBorders>
            <w:shd w:val="clear" w:color="000000" w:fill="FFFFFF"/>
            <w:vAlign w:val="center"/>
          </w:tcPr>
          <w:p w14:paraId="0F5811A4" w14:textId="77777777" w:rsidR="00F753E8" w:rsidRPr="008A0A4E" w:rsidRDefault="00F753E8" w:rsidP="006E1769">
            <w:pPr>
              <w:jc w:val="center"/>
              <w:rPr>
                <w:rFonts w:ascii="Arial" w:hAnsi="Arial" w:cs="Arial"/>
                <w:b/>
                <w:bCs/>
                <w:color w:val="000000"/>
                <w:sz w:val="22"/>
                <w:szCs w:val="22"/>
              </w:rPr>
            </w:pPr>
            <w:r>
              <w:rPr>
                <w:rFonts w:ascii="Arial" w:hAnsi="Arial" w:cs="Arial"/>
                <w:b/>
                <w:bCs/>
                <w:color w:val="000000"/>
                <w:sz w:val="22"/>
                <w:szCs w:val="22"/>
              </w:rPr>
              <w:t>2021/22</w:t>
            </w:r>
          </w:p>
        </w:tc>
      </w:tr>
      <w:tr w:rsidR="00F753E8" w:rsidRPr="00B64150" w14:paraId="72D115E5" w14:textId="77777777" w:rsidTr="006E1769">
        <w:trPr>
          <w:trHeight w:val="129"/>
          <w:jc w:val="center"/>
        </w:trPr>
        <w:tc>
          <w:tcPr>
            <w:tcW w:w="6715" w:type="dxa"/>
            <w:gridSpan w:val="2"/>
            <w:tcBorders>
              <w:top w:val="nil"/>
              <w:left w:val="nil"/>
              <w:bottom w:val="nil"/>
              <w:right w:val="nil"/>
            </w:tcBorders>
            <w:shd w:val="clear" w:color="000000" w:fill="FFFFFF"/>
            <w:noWrap/>
            <w:vAlign w:val="bottom"/>
          </w:tcPr>
          <w:p w14:paraId="433467F6" w14:textId="77777777" w:rsidR="00F753E8" w:rsidRPr="008A0A4E" w:rsidRDefault="00F753E8" w:rsidP="006E1769">
            <w:pPr>
              <w:tabs>
                <w:tab w:val="left" w:pos="709"/>
              </w:tabs>
              <w:ind w:left="426" w:hanging="426"/>
              <w:rPr>
                <w:rFonts w:ascii="Arial" w:hAnsi="Arial" w:cs="Arial"/>
                <w:b/>
                <w:bCs/>
                <w:color w:val="000000"/>
                <w:sz w:val="22"/>
                <w:szCs w:val="22"/>
              </w:rPr>
            </w:pPr>
            <w:r w:rsidRPr="008A0A4E">
              <w:rPr>
                <w:rFonts w:ascii="Arial" w:hAnsi="Arial" w:cs="Arial"/>
                <w:b/>
                <w:bCs/>
                <w:color w:val="000000"/>
                <w:sz w:val="22"/>
                <w:szCs w:val="22"/>
              </w:rPr>
              <w:t> </w:t>
            </w:r>
          </w:p>
        </w:tc>
        <w:tc>
          <w:tcPr>
            <w:tcW w:w="1635" w:type="dxa"/>
            <w:tcBorders>
              <w:top w:val="nil"/>
              <w:left w:val="nil"/>
              <w:bottom w:val="nil"/>
              <w:right w:val="nil"/>
            </w:tcBorders>
            <w:shd w:val="clear" w:color="000000" w:fill="FFFFFF"/>
            <w:vAlign w:val="bottom"/>
          </w:tcPr>
          <w:p w14:paraId="4C851911" w14:textId="77777777" w:rsidR="00F753E8" w:rsidRPr="008A0A4E" w:rsidRDefault="00F753E8" w:rsidP="006E1769">
            <w:pPr>
              <w:tabs>
                <w:tab w:val="left" w:pos="709"/>
              </w:tabs>
              <w:ind w:left="426" w:hanging="426"/>
              <w:jc w:val="center"/>
              <w:rPr>
                <w:rFonts w:ascii="Arial" w:hAnsi="Arial" w:cs="Arial"/>
                <w:bCs/>
                <w:color w:val="000000"/>
                <w:sz w:val="22"/>
                <w:szCs w:val="22"/>
              </w:rPr>
            </w:pPr>
            <w:r w:rsidRPr="008A0A4E">
              <w:rPr>
                <w:rFonts w:ascii="Arial" w:hAnsi="Arial" w:cs="Arial"/>
                <w:bCs/>
                <w:color w:val="000000"/>
                <w:sz w:val="22"/>
                <w:szCs w:val="22"/>
              </w:rPr>
              <w:t>£000</w:t>
            </w:r>
          </w:p>
        </w:tc>
        <w:tc>
          <w:tcPr>
            <w:tcW w:w="601" w:type="dxa"/>
            <w:tcBorders>
              <w:top w:val="nil"/>
              <w:left w:val="nil"/>
              <w:bottom w:val="nil"/>
              <w:right w:val="nil"/>
            </w:tcBorders>
            <w:shd w:val="clear" w:color="000000" w:fill="FFFFFF"/>
            <w:noWrap/>
            <w:vAlign w:val="bottom"/>
          </w:tcPr>
          <w:p w14:paraId="291F6CB5" w14:textId="77777777" w:rsidR="00F753E8" w:rsidRPr="008A0A4E" w:rsidRDefault="00F753E8" w:rsidP="006E1769">
            <w:pPr>
              <w:tabs>
                <w:tab w:val="left" w:pos="709"/>
              </w:tabs>
              <w:ind w:left="426" w:hanging="426"/>
              <w:rPr>
                <w:rFonts w:ascii="Arial" w:hAnsi="Arial" w:cs="Arial"/>
                <w:color w:val="000000"/>
                <w:sz w:val="22"/>
                <w:szCs w:val="22"/>
              </w:rPr>
            </w:pPr>
            <w:r w:rsidRPr="008A0A4E">
              <w:rPr>
                <w:rFonts w:ascii="Arial" w:hAnsi="Arial" w:cs="Arial"/>
                <w:color w:val="000000"/>
                <w:sz w:val="22"/>
                <w:szCs w:val="22"/>
              </w:rPr>
              <w:t> </w:t>
            </w:r>
          </w:p>
        </w:tc>
        <w:tc>
          <w:tcPr>
            <w:tcW w:w="1315" w:type="dxa"/>
            <w:tcBorders>
              <w:top w:val="nil"/>
              <w:left w:val="nil"/>
              <w:bottom w:val="nil"/>
              <w:right w:val="nil"/>
            </w:tcBorders>
            <w:shd w:val="clear" w:color="000000" w:fill="FFFFFF"/>
            <w:noWrap/>
            <w:vAlign w:val="bottom"/>
          </w:tcPr>
          <w:p w14:paraId="359A12D4" w14:textId="77777777" w:rsidR="00F753E8" w:rsidRPr="008A0A4E" w:rsidRDefault="00F753E8" w:rsidP="006E1769">
            <w:pPr>
              <w:tabs>
                <w:tab w:val="left" w:pos="709"/>
              </w:tabs>
              <w:ind w:left="426" w:hanging="426"/>
              <w:jc w:val="center"/>
              <w:rPr>
                <w:rFonts w:ascii="Arial" w:hAnsi="Arial" w:cs="Arial"/>
                <w:b/>
                <w:bCs/>
                <w:color w:val="000000"/>
                <w:sz w:val="22"/>
                <w:szCs w:val="22"/>
              </w:rPr>
            </w:pPr>
            <w:r w:rsidRPr="008A0A4E">
              <w:rPr>
                <w:rFonts w:ascii="Arial" w:hAnsi="Arial" w:cs="Arial"/>
                <w:b/>
                <w:bCs/>
                <w:color w:val="000000"/>
                <w:sz w:val="22"/>
                <w:szCs w:val="22"/>
              </w:rPr>
              <w:t>£000</w:t>
            </w:r>
          </w:p>
        </w:tc>
      </w:tr>
      <w:tr w:rsidR="00F753E8" w:rsidRPr="00B64150" w14:paraId="1915CCA0" w14:textId="77777777" w:rsidTr="006E1769">
        <w:trPr>
          <w:trHeight w:val="72"/>
          <w:jc w:val="center"/>
        </w:trPr>
        <w:tc>
          <w:tcPr>
            <w:tcW w:w="6715" w:type="dxa"/>
            <w:gridSpan w:val="2"/>
            <w:tcBorders>
              <w:top w:val="nil"/>
              <w:left w:val="nil"/>
              <w:bottom w:val="nil"/>
              <w:right w:val="nil"/>
            </w:tcBorders>
            <w:shd w:val="clear" w:color="000000" w:fill="FFFFFF"/>
            <w:noWrap/>
            <w:vAlign w:val="bottom"/>
          </w:tcPr>
          <w:p w14:paraId="5A41EBF3" w14:textId="77777777" w:rsidR="00F753E8" w:rsidRPr="008A0A4E" w:rsidRDefault="00F753E8" w:rsidP="006E1769">
            <w:pPr>
              <w:tabs>
                <w:tab w:val="left" w:pos="643"/>
              </w:tabs>
              <w:ind w:left="751" w:hanging="108"/>
              <w:rPr>
                <w:rFonts w:ascii="Arial" w:hAnsi="Arial" w:cs="Arial"/>
                <w:bCs/>
                <w:color w:val="000000"/>
                <w:sz w:val="22"/>
                <w:szCs w:val="22"/>
              </w:rPr>
            </w:pPr>
            <w:r w:rsidRPr="008A0A4E">
              <w:rPr>
                <w:rFonts w:ascii="Arial" w:hAnsi="Arial" w:cs="Arial"/>
                <w:bCs/>
                <w:color w:val="000000"/>
                <w:sz w:val="22"/>
                <w:szCs w:val="22"/>
              </w:rPr>
              <w:t>Individual Transfers</w:t>
            </w:r>
          </w:p>
        </w:tc>
        <w:tc>
          <w:tcPr>
            <w:tcW w:w="1635" w:type="dxa"/>
            <w:tcBorders>
              <w:top w:val="nil"/>
              <w:left w:val="nil"/>
              <w:bottom w:val="nil"/>
              <w:right w:val="nil"/>
            </w:tcBorders>
            <w:shd w:val="clear" w:color="000000" w:fill="FFFFFF"/>
          </w:tcPr>
          <w:p w14:paraId="2E05A990" w14:textId="77777777" w:rsidR="00F753E8" w:rsidRPr="00F36C50" w:rsidRDefault="00F753E8" w:rsidP="006E1769">
            <w:pPr>
              <w:jc w:val="right"/>
              <w:rPr>
                <w:rFonts w:ascii="Arial" w:hAnsi="Arial" w:cs="Arial"/>
                <w:color w:val="000000"/>
                <w:sz w:val="22"/>
                <w:szCs w:val="22"/>
              </w:rPr>
            </w:pPr>
            <w:r w:rsidRPr="00F36C50">
              <w:rPr>
                <w:rFonts w:ascii="Arial" w:hAnsi="Arial" w:cs="Arial"/>
                <w:sz w:val="22"/>
                <w:szCs w:val="22"/>
              </w:rPr>
              <w:t>7,544</w:t>
            </w:r>
          </w:p>
        </w:tc>
        <w:tc>
          <w:tcPr>
            <w:tcW w:w="601" w:type="dxa"/>
            <w:tcBorders>
              <w:top w:val="nil"/>
              <w:left w:val="nil"/>
              <w:bottom w:val="nil"/>
              <w:right w:val="nil"/>
            </w:tcBorders>
            <w:shd w:val="clear" w:color="000000" w:fill="FFFFFF"/>
            <w:noWrap/>
          </w:tcPr>
          <w:p w14:paraId="2A46BC73" w14:textId="77777777" w:rsidR="00F753E8" w:rsidRPr="00F36C50" w:rsidRDefault="00F753E8" w:rsidP="006E1769">
            <w:pPr>
              <w:tabs>
                <w:tab w:val="left" w:pos="709"/>
              </w:tabs>
              <w:ind w:left="426" w:hanging="426"/>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76B85806" w14:textId="77777777" w:rsidR="00F753E8" w:rsidRPr="00F36C50" w:rsidRDefault="00F753E8" w:rsidP="006E1769">
            <w:pPr>
              <w:jc w:val="right"/>
              <w:rPr>
                <w:rFonts w:ascii="Arial" w:hAnsi="Arial" w:cs="Arial"/>
                <w:b/>
                <w:bCs/>
                <w:color w:val="000000"/>
                <w:sz w:val="22"/>
                <w:szCs w:val="22"/>
              </w:rPr>
            </w:pPr>
            <w:r w:rsidRPr="00F36C50">
              <w:rPr>
                <w:rFonts w:ascii="Arial" w:hAnsi="Arial" w:cs="Arial"/>
                <w:b/>
                <w:bCs/>
                <w:sz w:val="22"/>
                <w:szCs w:val="22"/>
              </w:rPr>
              <w:t>4,427</w:t>
            </w:r>
          </w:p>
        </w:tc>
      </w:tr>
      <w:tr w:rsidR="00F753E8" w:rsidRPr="00B64150" w14:paraId="11AC3F4C" w14:textId="77777777" w:rsidTr="006E1769">
        <w:trPr>
          <w:trHeight w:val="135"/>
          <w:jc w:val="center"/>
        </w:trPr>
        <w:tc>
          <w:tcPr>
            <w:tcW w:w="6715" w:type="dxa"/>
            <w:gridSpan w:val="2"/>
            <w:tcBorders>
              <w:top w:val="nil"/>
              <w:left w:val="nil"/>
              <w:bottom w:val="nil"/>
              <w:right w:val="nil"/>
            </w:tcBorders>
            <w:shd w:val="clear" w:color="000000" w:fill="FFFFFF"/>
            <w:noWrap/>
            <w:vAlign w:val="bottom"/>
          </w:tcPr>
          <w:p w14:paraId="7457E612" w14:textId="77777777" w:rsidR="00F753E8" w:rsidRPr="008A0A4E" w:rsidRDefault="00F753E8" w:rsidP="006E1769">
            <w:pPr>
              <w:tabs>
                <w:tab w:val="left" w:pos="643"/>
              </w:tabs>
              <w:ind w:left="751" w:hanging="108"/>
              <w:rPr>
                <w:rFonts w:ascii="Arial" w:hAnsi="Arial" w:cs="Arial"/>
                <w:bCs/>
                <w:color w:val="000000"/>
                <w:sz w:val="22"/>
                <w:szCs w:val="22"/>
              </w:rPr>
            </w:pPr>
            <w:r w:rsidRPr="008A0A4E">
              <w:rPr>
                <w:rFonts w:ascii="Arial" w:hAnsi="Arial" w:cs="Arial"/>
                <w:bCs/>
                <w:color w:val="000000"/>
                <w:sz w:val="22"/>
                <w:szCs w:val="22"/>
              </w:rPr>
              <w:t>Refunds</w:t>
            </w:r>
          </w:p>
        </w:tc>
        <w:tc>
          <w:tcPr>
            <w:tcW w:w="1635" w:type="dxa"/>
            <w:tcBorders>
              <w:top w:val="nil"/>
              <w:left w:val="nil"/>
              <w:bottom w:val="nil"/>
              <w:right w:val="nil"/>
            </w:tcBorders>
            <w:shd w:val="clear" w:color="000000" w:fill="FFFFFF"/>
          </w:tcPr>
          <w:p w14:paraId="6B223979" w14:textId="77777777" w:rsidR="00F753E8" w:rsidRPr="00F36C50" w:rsidRDefault="00F753E8" w:rsidP="006E1769">
            <w:pPr>
              <w:jc w:val="right"/>
              <w:rPr>
                <w:rFonts w:ascii="Arial" w:hAnsi="Arial" w:cs="Arial"/>
                <w:color w:val="000000"/>
                <w:sz w:val="22"/>
                <w:szCs w:val="22"/>
              </w:rPr>
            </w:pPr>
            <w:r w:rsidRPr="00F36C50">
              <w:rPr>
                <w:rFonts w:ascii="Arial" w:hAnsi="Arial" w:cs="Arial"/>
                <w:sz w:val="22"/>
                <w:szCs w:val="22"/>
              </w:rPr>
              <w:t>124</w:t>
            </w:r>
          </w:p>
        </w:tc>
        <w:tc>
          <w:tcPr>
            <w:tcW w:w="601" w:type="dxa"/>
            <w:tcBorders>
              <w:top w:val="nil"/>
              <w:left w:val="nil"/>
              <w:bottom w:val="nil"/>
              <w:right w:val="nil"/>
            </w:tcBorders>
            <w:shd w:val="clear" w:color="000000" w:fill="FFFFFF"/>
            <w:noWrap/>
          </w:tcPr>
          <w:p w14:paraId="1B03B764" w14:textId="77777777" w:rsidR="00F753E8" w:rsidRPr="00F36C50" w:rsidRDefault="00F753E8" w:rsidP="006E1769">
            <w:pPr>
              <w:tabs>
                <w:tab w:val="left" w:pos="709"/>
              </w:tabs>
              <w:ind w:left="426" w:hanging="426"/>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789F4879" w14:textId="77777777" w:rsidR="00F753E8" w:rsidRPr="00F36C50" w:rsidRDefault="00F753E8" w:rsidP="006E1769">
            <w:pPr>
              <w:jc w:val="right"/>
              <w:rPr>
                <w:rFonts w:ascii="Arial" w:hAnsi="Arial" w:cs="Arial"/>
                <w:b/>
                <w:bCs/>
                <w:color w:val="000000"/>
                <w:sz w:val="22"/>
                <w:szCs w:val="22"/>
              </w:rPr>
            </w:pPr>
            <w:r w:rsidRPr="00F36C50">
              <w:rPr>
                <w:rFonts w:ascii="Arial" w:hAnsi="Arial" w:cs="Arial"/>
                <w:b/>
                <w:bCs/>
                <w:sz w:val="22"/>
                <w:szCs w:val="22"/>
              </w:rPr>
              <w:t xml:space="preserve"> </w:t>
            </w:r>
            <w:r>
              <w:rPr>
                <w:rFonts w:ascii="Arial" w:hAnsi="Arial" w:cs="Arial"/>
                <w:b/>
                <w:bCs/>
                <w:sz w:val="22"/>
                <w:szCs w:val="22"/>
              </w:rPr>
              <w:t>305</w:t>
            </w:r>
            <w:r w:rsidRPr="00F36C50">
              <w:rPr>
                <w:rFonts w:ascii="Arial" w:hAnsi="Arial" w:cs="Arial"/>
                <w:b/>
                <w:bCs/>
                <w:sz w:val="22"/>
                <w:szCs w:val="22"/>
              </w:rPr>
              <w:t xml:space="preserve"> </w:t>
            </w:r>
          </w:p>
        </w:tc>
      </w:tr>
      <w:tr w:rsidR="00F753E8" w:rsidRPr="00B64150" w14:paraId="1C868245" w14:textId="77777777" w:rsidTr="006E1769">
        <w:trPr>
          <w:trHeight w:val="67"/>
          <w:jc w:val="center"/>
        </w:trPr>
        <w:tc>
          <w:tcPr>
            <w:tcW w:w="6715" w:type="dxa"/>
            <w:gridSpan w:val="2"/>
            <w:tcBorders>
              <w:top w:val="nil"/>
              <w:left w:val="nil"/>
              <w:bottom w:val="nil"/>
              <w:right w:val="nil"/>
            </w:tcBorders>
            <w:shd w:val="clear" w:color="000000" w:fill="FFFFFF"/>
            <w:noWrap/>
            <w:vAlign w:val="bottom"/>
          </w:tcPr>
          <w:p w14:paraId="18050B79" w14:textId="77777777" w:rsidR="00F753E8" w:rsidRPr="008A0A4E" w:rsidRDefault="00F753E8" w:rsidP="006E1769">
            <w:pPr>
              <w:tabs>
                <w:tab w:val="left" w:pos="709"/>
              </w:tabs>
              <w:ind w:left="751" w:hanging="426"/>
              <w:rPr>
                <w:rFonts w:ascii="Arial" w:hAnsi="Arial" w:cs="Arial"/>
                <w:b/>
                <w:bCs/>
                <w:color w:val="000000"/>
                <w:sz w:val="22"/>
                <w:szCs w:val="22"/>
              </w:rPr>
            </w:pPr>
            <w:r w:rsidRPr="008A0A4E">
              <w:rPr>
                <w:rFonts w:ascii="Arial" w:hAnsi="Arial" w:cs="Arial"/>
                <w:b/>
                <w:bCs/>
                <w:color w:val="000000"/>
                <w:sz w:val="22"/>
                <w:szCs w:val="22"/>
              </w:rPr>
              <w:t> </w:t>
            </w:r>
          </w:p>
        </w:tc>
        <w:tc>
          <w:tcPr>
            <w:tcW w:w="1635" w:type="dxa"/>
            <w:tcBorders>
              <w:top w:val="single" w:sz="8" w:space="0" w:color="auto"/>
              <w:left w:val="nil"/>
              <w:bottom w:val="double" w:sz="6" w:space="0" w:color="auto"/>
              <w:right w:val="nil"/>
            </w:tcBorders>
            <w:shd w:val="clear" w:color="000000" w:fill="FFFFFF"/>
          </w:tcPr>
          <w:p w14:paraId="1495D1AA" w14:textId="77777777" w:rsidR="00F753E8" w:rsidRPr="00F36C50" w:rsidRDefault="00F753E8" w:rsidP="006E1769">
            <w:pPr>
              <w:jc w:val="right"/>
              <w:rPr>
                <w:rFonts w:ascii="Arial" w:hAnsi="Arial" w:cs="Arial"/>
                <w:color w:val="000000"/>
                <w:sz w:val="22"/>
                <w:szCs w:val="22"/>
              </w:rPr>
            </w:pPr>
            <w:r w:rsidRPr="00F36C50">
              <w:rPr>
                <w:rFonts w:ascii="Arial" w:hAnsi="Arial" w:cs="Arial"/>
                <w:sz w:val="22"/>
                <w:szCs w:val="22"/>
              </w:rPr>
              <w:t>7,668</w:t>
            </w:r>
          </w:p>
        </w:tc>
        <w:tc>
          <w:tcPr>
            <w:tcW w:w="601" w:type="dxa"/>
            <w:tcBorders>
              <w:top w:val="nil"/>
              <w:left w:val="nil"/>
              <w:bottom w:val="nil"/>
              <w:right w:val="nil"/>
            </w:tcBorders>
            <w:shd w:val="clear" w:color="000000" w:fill="FFFFFF"/>
            <w:noWrap/>
          </w:tcPr>
          <w:p w14:paraId="52991CC8" w14:textId="77777777" w:rsidR="00F753E8" w:rsidRPr="00F36C50" w:rsidRDefault="00F753E8" w:rsidP="006E1769">
            <w:pPr>
              <w:tabs>
                <w:tab w:val="left" w:pos="709"/>
              </w:tabs>
              <w:ind w:left="426" w:hanging="426"/>
              <w:rPr>
                <w:rFonts w:ascii="Arial" w:hAnsi="Arial" w:cs="Arial"/>
                <w:color w:val="000000"/>
                <w:sz w:val="22"/>
                <w:szCs w:val="22"/>
              </w:rPr>
            </w:pPr>
          </w:p>
        </w:tc>
        <w:tc>
          <w:tcPr>
            <w:tcW w:w="1315" w:type="dxa"/>
            <w:tcBorders>
              <w:top w:val="single" w:sz="8" w:space="0" w:color="auto"/>
              <w:left w:val="nil"/>
              <w:bottom w:val="double" w:sz="6" w:space="0" w:color="auto"/>
              <w:right w:val="nil"/>
            </w:tcBorders>
            <w:shd w:val="clear" w:color="000000" w:fill="FFFFFF"/>
            <w:noWrap/>
          </w:tcPr>
          <w:p w14:paraId="56F1FD12" w14:textId="77777777" w:rsidR="00F753E8" w:rsidRPr="00F36C50" w:rsidRDefault="00F753E8" w:rsidP="006E1769">
            <w:pPr>
              <w:jc w:val="right"/>
              <w:rPr>
                <w:rFonts w:ascii="Arial" w:hAnsi="Arial" w:cs="Arial"/>
                <w:b/>
                <w:bCs/>
                <w:color w:val="000000"/>
                <w:sz w:val="22"/>
                <w:szCs w:val="22"/>
              </w:rPr>
            </w:pPr>
            <w:r w:rsidRPr="00F36C50">
              <w:rPr>
                <w:rFonts w:ascii="Arial" w:hAnsi="Arial" w:cs="Arial"/>
                <w:b/>
                <w:bCs/>
                <w:sz w:val="22"/>
                <w:szCs w:val="22"/>
              </w:rPr>
              <w:t>4,</w:t>
            </w:r>
            <w:r>
              <w:rPr>
                <w:rFonts w:ascii="Arial" w:hAnsi="Arial" w:cs="Arial"/>
                <w:b/>
                <w:bCs/>
                <w:sz w:val="22"/>
                <w:szCs w:val="22"/>
              </w:rPr>
              <w:t>732</w:t>
            </w:r>
          </w:p>
        </w:tc>
      </w:tr>
      <w:tr w:rsidR="00F753E8" w:rsidRPr="00B64150" w14:paraId="7FF3399A" w14:textId="77777777" w:rsidTr="006E1769">
        <w:trPr>
          <w:trHeight w:val="191"/>
          <w:jc w:val="center"/>
        </w:trPr>
        <w:tc>
          <w:tcPr>
            <w:tcW w:w="6715" w:type="dxa"/>
            <w:gridSpan w:val="2"/>
            <w:tcBorders>
              <w:top w:val="nil"/>
              <w:left w:val="nil"/>
              <w:bottom w:val="nil"/>
              <w:right w:val="nil"/>
            </w:tcBorders>
            <w:noWrap/>
            <w:vAlign w:val="bottom"/>
          </w:tcPr>
          <w:p w14:paraId="6F4045AA" w14:textId="77777777" w:rsidR="00F753E8" w:rsidRPr="003D3229" w:rsidRDefault="00F753E8" w:rsidP="006E1769">
            <w:pPr>
              <w:tabs>
                <w:tab w:val="left" w:pos="709"/>
              </w:tabs>
              <w:jc w:val="both"/>
              <w:rPr>
                <w:rFonts w:ascii="Arial" w:hAnsi="Arial" w:cs="Arial"/>
                <w:color w:val="000000"/>
                <w:sz w:val="22"/>
                <w:szCs w:val="22"/>
              </w:rPr>
            </w:pPr>
          </w:p>
        </w:tc>
        <w:tc>
          <w:tcPr>
            <w:tcW w:w="1635" w:type="dxa"/>
            <w:tcBorders>
              <w:top w:val="nil"/>
              <w:left w:val="nil"/>
              <w:bottom w:val="nil"/>
              <w:right w:val="nil"/>
            </w:tcBorders>
            <w:vAlign w:val="bottom"/>
          </w:tcPr>
          <w:p w14:paraId="0FBD783B" w14:textId="77777777" w:rsidR="00F753E8" w:rsidRPr="008A0A4E" w:rsidRDefault="00F753E8" w:rsidP="006E1769">
            <w:pPr>
              <w:tabs>
                <w:tab w:val="left" w:pos="709"/>
              </w:tabs>
              <w:ind w:left="426" w:right="34" w:hanging="426"/>
              <w:rPr>
                <w:rFonts w:ascii="Arial" w:hAnsi="Arial" w:cs="Arial"/>
                <w:color w:val="000000"/>
                <w:sz w:val="22"/>
                <w:szCs w:val="22"/>
              </w:rPr>
            </w:pPr>
          </w:p>
        </w:tc>
        <w:tc>
          <w:tcPr>
            <w:tcW w:w="601" w:type="dxa"/>
            <w:tcBorders>
              <w:top w:val="nil"/>
              <w:left w:val="nil"/>
              <w:bottom w:val="nil"/>
              <w:right w:val="nil"/>
            </w:tcBorders>
            <w:noWrap/>
            <w:vAlign w:val="bottom"/>
          </w:tcPr>
          <w:p w14:paraId="72BA3171" w14:textId="77777777" w:rsidR="00F753E8" w:rsidRPr="008A0A4E" w:rsidRDefault="00F753E8" w:rsidP="006E1769">
            <w:pPr>
              <w:tabs>
                <w:tab w:val="left" w:pos="709"/>
              </w:tabs>
              <w:ind w:left="426" w:hanging="426"/>
              <w:rPr>
                <w:rFonts w:ascii="Arial" w:hAnsi="Arial" w:cs="Arial"/>
                <w:color w:val="000000"/>
                <w:sz w:val="22"/>
                <w:szCs w:val="22"/>
              </w:rPr>
            </w:pPr>
          </w:p>
        </w:tc>
        <w:tc>
          <w:tcPr>
            <w:tcW w:w="1315" w:type="dxa"/>
            <w:tcBorders>
              <w:top w:val="nil"/>
              <w:left w:val="nil"/>
              <w:bottom w:val="nil"/>
              <w:right w:val="nil"/>
            </w:tcBorders>
            <w:noWrap/>
            <w:vAlign w:val="bottom"/>
          </w:tcPr>
          <w:p w14:paraId="6C07BD3A" w14:textId="77777777" w:rsidR="00F753E8" w:rsidRPr="008A0A4E" w:rsidRDefault="00F753E8" w:rsidP="006E1769">
            <w:pPr>
              <w:tabs>
                <w:tab w:val="left" w:pos="709"/>
              </w:tabs>
              <w:ind w:left="426" w:right="34" w:hanging="426"/>
              <w:rPr>
                <w:rFonts w:ascii="Arial" w:hAnsi="Arial" w:cs="Arial"/>
                <w:b/>
                <w:color w:val="000000"/>
                <w:sz w:val="22"/>
                <w:szCs w:val="22"/>
              </w:rPr>
            </w:pPr>
          </w:p>
        </w:tc>
      </w:tr>
      <w:tr w:rsidR="00F753E8" w:rsidRPr="00B64150" w14:paraId="6549243F" w14:textId="77777777" w:rsidTr="006E1769">
        <w:trPr>
          <w:trHeight w:val="143"/>
          <w:jc w:val="center"/>
        </w:trPr>
        <w:tc>
          <w:tcPr>
            <w:tcW w:w="6715" w:type="dxa"/>
            <w:gridSpan w:val="2"/>
            <w:tcBorders>
              <w:top w:val="nil"/>
              <w:left w:val="nil"/>
              <w:bottom w:val="nil"/>
              <w:right w:val="nil"/>
            </w:tcBorders>
            <w:noWrap/>
            <w:vAlign w:val="bottom"/>
          </w:tcPr>
          <w:p w14:paraId="30F5B990" w14:textId="77777777" w:rsidR="00F753E8" w:rsidRPr="009B60BC" w:rsidRDefault="00F753E8" w:rsidP="007337FE">
            <w:pPr>
              <w:pStyle w:val="ListParagraph"/>
              <w:numPr>
                <w:ilvl w:val="0"/>
                <w:numId w:val="90"/>
              </w:numPr>
              <w:tabs>
                <w:tab w:val="left" w:pos="893"/>
                <w:tab w:val="left" w:pos="2400"/>
              </w:tabs>
              <w:spacing w:after="0" w:line="240" w:lineRule="auto"/>
              <w:ind w:left="326" w:firstLine="141"/>
              <w:jc w:val="both"/>
              <w:rPr>
                <w:rFonts w:ascii="Arial" w:hAnsi="Arial" w:cs="Arial"/>
                <w:color w:val="000000"/>
              </w:rPr>
            </w:pPr>
            <w:r w:rsidRPr="008A0A4E">
              <w:rPr>
                <w:rFonts w:ascii="Arial" w:hAnsi="Arial" w:cs="Arial"/>
                <w:b/>
                <w:bCs/>
                <w:color w:val="000000"/>
              </w:rPr>
              <w:t>Management Expenses</w:t>
            </w:r>
          </w:p>
        </w:tc>
        <w:tc>
          <w:tcPr>
            <w:tcW w:w="1635" w:type="dxa"/>
            <w:tcBorders>
              <w:top w:val="nil"/>
              <w:left w:val="nil"/>
              <w:bottom w:val="nil"/>
              <w:right w:val="nil"/>
            </w:tcBorders>
            <w:vAlign w:val="bottom"/>
          </w:tcPr>
          <w:p w14:paraId="5DDCA373" w14:textId="77777777" w:rsidR="00F753E8" w:rsidRPr="008A0A4E" w:rsidRDefault="00F753E8" w:rsidP="006E1769">
            <w:pPr>
              <w:tabs>
                <w:tab w:val="left" w:pos="709"/>
              </w:tabs>
              <w:ind w:left="426" w:right="34" w:hanging="426"/>
              <w:rPr>
                <w:rFonts w:ascii="Arial" w:hAnsi="Arial" w:cs="Arial"/>
                <w:color w:val="000000"/>
                <w:sz w:val="22"/>
                <w:szCs w:val="22"/>
              </w:rPr>
            </w:pPr>
          </w:p>
        </w:tc>
        <w:tc>
          <w:tcPr>
            <w:tcW w:w="601" w:type="dxa"/>
            <w:tcBorders>
              <w:top w:val="nil"/>
              <w:left w:val="nil"/>
              <w:bottom w:val="nil"/>
              <w:right w:val="nil"/>
            </w:tcBorders>
            <w:noWrap/>
            <w:vAlign w:val="bottom"/>
          </w:tcPr>
          <w:p w14:paraId="74776052" w14:textId="77777777" w:rsidR="00F753E8" w:rsidRPr="008A0A4E" w:rsidRDefault="00F753E8" w:rsidP="006E1769">
            <w:pPr>
              <w:tabs>
                <w:tab w:val="left" w:pos="709"/>
              </w:tabs>
              <w:ind w:left="426" w:hanging="426"/>
              <w:rPr>
                <w:rFonts w:ascii="Arial" w:hAnsi="Arial" w:cs="Arial"/>
                <w:color w:val="000000"/>
                <w:sz w:val="22"/>
                <w:szCs w:val="22"/>
              </w:rPr>
            </w:pPr>
          </w:p>
        </w:tc>
        <w:tc>
          <w:tcPr>
            <w:tcW w:w="1315" w:type="dxa"/>
            <w:tcBorders>
              <w:top w:val="nil"/>
              <w:left w:val="nil"/>
              <w:bottom w:val="nil"/>
              <w:right w:val="nil"/>
            </w:tcBorders>
            <w:noWrap/>
            <w:vAlign w:val="bottom"/>
          </w:tcPr>
          <w:p w14:paraId="22B7190F" w14:textId="77777777" w:rsidR="00F753E8" w:rsidRPr="008A0A4E" w:rsidRDefault="00F753E8" w:rsidP="006E1769">
            <w:pPr>
              <w:tabs>
                <w:tab w:val="left" w:pos="709"/>
              </w:tabs>
              <w:ind w:left="426" w:right="34" w:hanging="426"/>
              <w:rPr>
                <w:rFonts w:ascii="Arial" w:hAnsi="Arial" w:cs="Arial"/>
                <w:b/>
                <w:color w:val="000000"/>
                <w:sz w:val="22"/>
                <w:szCs w:val="22"/>
              </w:rPr>
            </w:pPr>
          </w:p>
        </w:tc>
      </w:tr>
      <w:tr w:rsidR="00F753E8" w:rsidRPr="00B64150" w14:paraId="3ADF220D" w14:textId="77777777" w:rsidTr="006E1769">
        <w:trPr>
          <w:trHeight w:val="129"/>
          <w:jc w:val="center"/>
        </w:trPr>
        <w:tc>
          <w:tcPr>
            <w:tcW w:w="6715" w:type="dxa"/>
            <w:gridSpan w:val="2"/>
            <w:tcBorders>
              <w:top w:val="nil"/>
              <w:left w:val="nil"/>
              <w:bottom w:val="nil"/>
              <w:right w:val="nil"/>
            </w:tcBorders>
          </w:tcPr>
          <w:p w14:paraId="42006FE2" w14:textId="77777777" w:rsidR="00F753E8" w:rsidRPr="008A0A4E" w:rsidRDefault="00F753E8" w:rsidP="006E1769">
            <w:pPr>
              <w:ind w:left="318"/>
              <w:jc w:val="right"/>
              <w:rPr>
                <w:rFonts w:ascii="Arial" w:hAnsi="Arial" w:cs="Arial"/>
                <w:color w:val="000000"/>
                <w:sz w:val="22"/>
                <w:szCs w:val="22"/>
              </w:rPr>
            </w:pPr>
          </w:p>
        </w:tc>
        <w:tc>
          <w:tcPr>
            <w:tcW w:w="1635" w:type="dxa"/>
            <w:tcBorders>
              <w:top w:val="nil"/>
              <w:left w:val="nil"/>
              <w:bottom w:val="nil"/>
              <w:right w:val="nil"/>
            </w:tcBorders>
            <w:vAlign w:val="center"/>
          </w:tcPr>
          <w:p w14:paraId="25D119A1" w14:textId="77777777" w:rsidR="00F753E8" w:rsidRPr="008A0A4E" w:rsidRDefault="00F753E8" w:rsidP="006E1769">
            <w:pPr>
              <w:jc w:val="center"/>
              <w:rPr>
                <w:rFonts w:ascii="Arial" w:hAnsi="Arial" w:cs="Arial"/>
                <w:bCs/>
                <w:color w:val="000000"/>
                <w:sz w:val="22"/>
                <w:szCs w:val="22"/>
              </w:rPr>
            </w:pPr>
            <w:r>
              <w:rPr>
                <w:rFonts w:ascii="Arial" w:hAnsi="Arial" w:cs="Arial"/>
                <w:b/>
                <w:bCs/>
                <w:color w:val="000000"/>
                <w:sz w:val="22"/>
                <w:szCs w:val="22"/>
              </w:rPr>
              <w:t>2020/21</w:t>
            </w:r>
          </w:p>
        </w:tc>
        <w:tc>
          <w:tcPr>
            <w:tcW w:w="601" w:type="dxa"/>
            <w:tcBorders>
              <w:top w:val="nil"/>
              <w:left w:val="nil"/>
              <w:bottom w:val="nil"/>
              <w:right w:val="nil"/>
            </w:tcBorders>
            <w:noWrap/>
            <w:vAlign w:val="center"/>
          </w:tcPr>
          <w:p w14:paraId="61D0F7DF" w14:textId="77777777" w:rsidR="00F753E8" w:rsidRPr="008A0A4E" w:rsidRDefault="00F753E8" w:rsidP="006E1769">
            <w:pPr>
              <w:rPr>
                <w:rFonts w:ascii="Arial" w:hAnsi="Arial" w:cs="Arial"/>
                <w:color w:val="000000"/>
                <w:sz w:val="22"/>
                <w:szCs w:val="22"/>
              </w:rPr>
            </w:pPr>
            <w:r>
              <w:rPr>
                <w:rFonts w:ascii="Arial" w:hAnsi="Arial" w:cs="Arial"/>
                <w:color w:val="000000"/>
                <w:sz w:val="22"/>
                <w:szCs w:val="22"/>
              </w:rPr>
              <w:t> </w:t>
            </w:r>
          </w:p>
        </w:tc>
        <w:tc>
          <w:tcPr>
            <w:tcW w:w="1315" w:type="dxa"/>
            <w:tcBorders>
              <w:top w:val="nil"/>
              <w:left w:val="nil"/>
              <w:bottom w:val="nil"/>
              <w:right w:val="nil"/>
            </w:tcBorders>
            <w:vAlign w:val="center"/>
          </w:tcPr>
          <w:p w14:paraId="28C223AB" w14:textId="77777777" w:rsidR="00F753E8" w:rsidRPr="008A0A4E" w:rsidRDefault="00F753E8" w:rsidP="006E1769">
            <w:pPr>
              <w:jc w:val="center"/>
              <w:rPr>
                <w:rFonts w:ascii="Arial" w:hAnsi="Arial" w:cs="Arial"/>
                <w:b/>
                <w:bCs/>
                <w:color w:val="000000"/>
                <w:sz w:val="22"/>
                <w:szCs w:val="22"/>
              </w:rPr>
            </w:pPr>
            <w:r>
              <w:rPr>
                <w:rFonts w:ascii="Arial" w:hAnsi="Arial" w:cs="Arial"/>
                <w:b/>
                <w:bCs/>
                <w:color w:val="000000"/>
                <w:sz w:val="22"/>
                <w:szCs w:val="22"/>
              </w:rPr>
              <w:t>2021/22</w:t>
            </w:r>
          </w:p>
        </w:tc>
      </w:tr>
      <w:tr w:rsidR="00F753E8" w:rsidRPr="00B64150" w14:paraId="3BA9CE3D" w14:textId="77777777" w:rsidTr="006E1769">
        <w:trPr>
          <w:trHeight w:val="129"/>
          <w:jc w:val="center"/>
        </w:trPr>
        <w:tc>
          <w:tcPr>
            <w:tcW w:w="6715" w:type="dxa"/>
            <w:gridSpan w:val="2"/>
            <w:tcBorders>
              <w:top w:val="nil"/>
              <w:left w:val="nil"/>
              <w:bottom w:val="nil"/>
              <w:right w:val="nil"/>
            </w:tcBorders>
          </w:tcPr>
          <w:p w14:paraId="1D2A18C7" w14:textId="77777777" w:rsidR="00F753E8" w:rsidRPr="008A0A4E" w:rsidRDefault="00F753E8" w:rsidP="006E1769">
            <w:pPr>
              <w:ind w:left="318"/>
              <w:jc w:val="right"/>
              <w:rPr>
                <w:rFonts w:ascii="Arial" w:hAnsi="Arial" w:cs="Arial"/>
                <w:color w:val="000000"/>
                <w:sz w:val="22"/>
                <w:szCs w:val="22"/>
              </w:rPr>
            </w:pPr>
          </w:p>
        </w:tc>
        <w:tc>
          <w:tcPr>
            <w:tcW w:w="1635" w:type="dxa"/>
            <w:tcBorders>
              <w:top w:val="nil"/>
              <w:left w:val="nil"/>
              <w:bottom w:val="nil"/>
              <w:right w:val="nil"/>
            </w:tcBorders>
            <w:vAlign w:val="bottom"/>
          </w:tcPr>
          <w:p w14:paraId="73054BC7" w14:textId="77777777" w:rsidR="00F753E8" w:rsidRPr="008A0A4E" w:rsidRDefault="00F753E8" w:rsidP="006E1769">
            <w:pPr>
              <w:tabs>
                <w:tab w:val="left" w:pos="709"/>
              </w:tabs>
              <w:ind w:left="426" w:hanging="426"/>
              <w:jc w:val="center"/>
              <w:rPr>
                <w:rFonts w:ascii="Arial" w:hAnsi="Arial" w:cs="Arial"/>
                <w:bCs/>
                <w:color w:val="000000"/>
                <w:sz w:val="22"/>
                <w:szCs w:val="22"/>
              </w:rPr>
            </w:pPr>
            <w:r w:rsidRPr="008A0A4E">
              <w:rPr>
                <w:rFonts w:ascii="Arial" w:hAnsi="Arial" w:cs="Arial"/>
                <w:bCs/>
                <w:color w:val="000000"/>
                <w:sz w:val="22"/>
                <w:szCs w:val="22"/>
              </w:rPr>
              <w:t>£000</w:t>
            </w:r>
          </w:p>
        </w:tc>
        <w:tc>
          <w:tcPr>
            <w:tcW w:w="601" w:type="dxa"/>
            <w:tcBorders>
              <w:top w:val="nil"/>
              <w:left w:val="nil"/>
              <w:bottom w:val="nil"/>
              <w:right w:val="nil"/>
            </w:tcBorders>
            <w:noWrap/>
            <w:vAlign w:val="bottom"/>
          </w:tcPr>
          <w:p w14:paraId="2D39080E" w14:textId="77777777" w:rsidR="00F753E8" w:rsidRPr="008A0A4E" w:rsidRDefault="00F753E8" w:rsidP="006E1769">
            <w:pPr>
              <w:tabs>
                <w:tab w:val="left" w:pos="709"/>
              </w:tabs>
              <w:ind w:left="426" w:hanging="426"/>
              <w:rPr>
                <w:rFonts w:ascii="Arial" w:hAnsi="Arial" w:cs="Arial"/>
                <w:color w:val="000000"/>
                <w:sz w:val="22"/>
                <w:szCs w:val="22"/>
              </w:rPr>
            </w:pPr>
            <w:r w:rsidRPr="008A0A4E">
              <w:rPr>
                <w:rFonts w:ascii="Arial" w:hAnsi="Arial" w:cs="Arial"/>
                <w:color w:val="000000"/>
                <w:sz w:val="22"/>
                <w:szCs w:val="22"/>
              </w:rPr>
              <w:t> </w:t>
            </w:r>
          </w:p>
        </w:tc>
        <w:tc>
          <w:tcPr>
            <w:tcW w:w="1315" w:type="dxa"/>
            <w:tcBorders>
              <w:top w:val="nil"/>
              <w:left w:val="nil"/>
              <w:bottom w:val="nil"/>
              <w:right w:val="nil"/>
            </w:tcBorders>
            <w:vAlign w:val="bottom"/>
          </w:tcPr>
          <w:p w14:paraId="7FF6D72D" w14:textId="77777777" w:rsidR="00F753E8" w:rsidRPr="008A0A4E" w:rsidRDefault="00F753E8" w:rsidP="006E1769">
            <w:pPr>
              <w:tabs>
                <w:tab w:val="left" w:pos="709"/>
              </w:tabs>
              <w:ind w:left="426" w:hanging="426"/>
              <w:jc w:val="center"/>
              <w:rPr>
                <w:rFonts w:ascii="Arial" w:hAnsi="Arial" w:cs="Arial"/>
                <w:b/>
                <w:bCs/>
                <w:color w:val="000000"/>
                <w:sz w:val="22"/>
                <w:szCs w:val="22"/>
              </w:rPr>
            </w:pPr>
            <w:r w:rsidRPr="008A0A4E">
              <w:rPr>
                <w:rFonts w:ascii="Arial" w:hAnsi="Arial" w:cs="Arial"/>
                <w:b/>
                <w:bCs/>
                <w:color w:val="000000"/>
                <w:sz w:val="22"/>
                <w:szCs w:val="22"/>
              </w:rPr>
              <w:t>£000</w:t>
            </w:r>
          </w:p>
        </w:tc>
      </w:tr>
      <w:tr w:rsidR="00F753E8" w:rsidRPr="00B64150" w14:paraId="286F4573" w14:textId="77777777" w:rsidTr="006E1769">
        <w:trPr>
          <w:trHeight w:val="105"/>
          <w:jc w:val="center"/>
        </w:trPr>
        <w:tc>
          <w:tcPr>
            <w:tcW w:w="6715" w:type="dxa"/>
            <w:gridSpan w:val="2"/>
            <w:tcBorders>
              <w:top w:val="nil"/>
              <w:left w:val="nil"/>
              <w:bottom w:val="nil"/>
              <w:right w:val="nil"/>
            </w:tcBorders>
            <w:vAlign w:val="bottom"/>
          </w:tcPr>
          <w:p w14:paraId="7C59BB6B" w14:textId="77777777" w:rsidR="00F753E8" w:rsidRPr="008A0A4E" w:rsidRDefault="00F753E8" w:rsidP="006E1769">
            <w:pPr>
              <w:ind w:firstLine="609"/>
              <w:rPr>
                <w:rFonts w:ascii="Arial" w:hAnsi="Arial" w:cs="Arial"/>
                <w:color w:val="000000"/>
                <w:sz w:val="22"/>
                <w:szCs w:val="22"/>
              </w:rPr>
            </w:pPr>
            <w:r w:rsidRPr="008A0A4E">
              <w:rPr>
                <w:rFonts w:ascii="Arial" w:hAnsi="Arial" w:cs="Arial"/>
                <w:color w:val="000000"/>
                <w:sz w:val="22"/>
                <w:szCs w:val="22"/>
              </w:rPr>
              <w:t>Administration and Processing</w:t>
            </w:r>
          </w:p>
        </w:tc>
        <w:tc>
          <w:tcPr>
            <w:tcW w:w="1635" w:type="dxa"/>
            <w:tcBorders>
              <w:top w:val="nil"/>
              <w:left w:val="nil"/>
              <w:bottom w:val="nil"/>
              <w:right w:val="nil"/>
            </w:tcBorders>
          </w:tcPr>
          <w:p w14:paraId="19780018" w14:textId="77777777" w:rsidR="00F753E8" w:rsidRPr="0022053B" w:rsidRDefault="00F753E8" w:rsidP="006E1769">
            <w:pPr>
              <w:jc w:val="right"/>
              <w:rPr>
                <w:rFonts w:ascii="Arial" w:hAnsi="Arial" w:cs="Arial"/>
                <w:color w:val="000000"/>
                <w:sz w:val="22"/>
                <w:szCs w:val="22"/>
              </w:rPr>
            </w:pPr>
            <w:r w:rsidRPr="0022053B">
              <w:rPr>
                <w:rFonts w:ascii="Arial" w:hAnsi="Arial" w:cs="Arial"/>
                <w:sz w:val="22"/>
                <w:szCs w:val="22"/>
              </w:rPr>
              <w:t xml:space="preserve"> 710 </w:t>
            </w:r>
          </w:p>
        </w:tc>
        <w:tc>
          <w:tcPr>
            <w:tcW w:w="601" w:type="dxa"/>
            <w:tcBorders>
              <w:top w:val="nil"/>
              <w:left w:val="nil"/>
              <w:bottom w:val="nil"/>
              <w:right w:val="nil"/>
            </w:tcBorders>
            <w:noWrap/>
          </w:tcPr>
          <w:p w14:paraId="2BA854E3" w14:textId="77777777" w:rsidR="00F753E8" w:rsidRPr="0022053B" w:rsidRDefault="00F753E8" w:rsidP="006E1769">
            <w:pPr>
              <w:ind w:left="318"/>
              <w:rPr>
                <w:rFonts w:ascii="Arial" w:hAnsi="Arial" w:cs="Arial"/>
                <w:color w:val="000000"/>
                <w:sz w:val="22"/>
                <w:szCs w:val="22"/>
              </w:rPr>
            </w:pPr>
          </w:p>
        </w:tc>
        <w:tc>
          <w:tcPr>
            <w:tcW w:w="1315" w:type="dxa"/>
            <w:tcBorders>
              <w:top w:val="nil"/>
              <w:left w:val="nil"/>
              <w:bottom w:val="nil"/>
              <w:right w:val="nil"/>
            </w:tcBorders>
            <w:shd w:val="clear" w:color="auto" w:fill="auto"/>
          </w:tcPr>
          <w:p w14:paraId="73CD5CD5" w14:textId="77777777" w:rsidR="00F753E8" w:rsidRPr="0022053B" w:rsidRDefault="00F753E8" w:rsidP="006E1769">
            <w:pPr>
              <w:jc w:val="right"/>
              <w:rPr>
                <w:rFonts w:ascii="Arial" w:hAnsi="Arial" w:cs="Arial"/>
                <w:b/>
                <w:bCs/>
                <w:color w:val="000000"/>
                <w:sz w:val="22"/>
                <w:szCs w:val="22"/>
              </w:rPr>
            </w:pPr>
            <w:r w:rsidRPr="0022053B">
              <w:rPr>
                <w:rFonts w:ascii="Arial" w:hAnsi="Arial" w:cs="Arial"/>
                <w:b/>
                <w:bCs/>
                <w:sz w:val="22"/>
                <w:szCs w:val="22"/>
              </w:rPr>
              <w:t xml:space="preserve"> 676 </w:t>
            </w:r>
          </w:p>
        </w:tc>
      </w:tr>
      <w:tr w:rsidR="00F753E8" w:rsidRPr="00B64150" w14:paraId="02FD0DF6" w14:textId="77777777" w:rsidTr="006E1769">
        <w:trPr>
          <w:trHeight w:val="159"/>
          <w:jc w:val="center"/>
        </w:trPr>
        <w:tc>
          <w:tcPr>
            <w:tcW w:w="6715" w:type="dxa"/>
            <w:gridSpan w:val="2"/>
            <w:tcBorders>
              <w:top w:val="nil"/>
              <w:left w:val="nil"/>
              <w:bottom w:val="nil"/>
              <w:right w:val="nil"/>
            </w:tcBorders>
            <w:vAlign w:val="center"/>
          </w:tcPr>
          <w:p w14:paraId="4FC8202C" w14:textId="77777777" w:rsidR="00F753E8" w:rsidRPr="008A0A4E" w:rsidRDefault="00F753E8" w:rsidP="006E1769">
            <w:pPr>
              <w:ind w:firstLine="609"/>
              <w:rPr>
                <w:rFonts w:ascii="Arial" w:hAnsi="Arial" w:cs="Arial"/>
                <w:color w:val="000000"/>
                <w:sz w:val="22"/>
                <w:szCs w:val="22"/>
              </w:rPr>
            </w:pPr>
            <w:r w:rsidRPr="008A0A4E">
              <w:rPr>
                <w:rFonts w:ascii="Arial" w:hAnsi="Arial" w:cs="Arial"/>
                <w:color w:val="000000"/>
                <w:sz w:val="22"/>
                <w:szCs w:val="22"/>
              </w:rPr>
              <w:t>Management Fees</w:t>
            </w:r>
          </w:p>
        </w:tc>
        <w:tc>
          <w:tcPr>
            <w:tcW w:w="1635" w:type="dxa"/>
            <w:tcBorders>
              <w:top w:val="nil"/>
              <w:left w:val="nil"/>
              <w:bottom w:val="nil"/>
              <w:right w:val="nil"/>
            </w:tcBorders>
          </w:tcPr>
          <w:p w14:paraId="4B871831" w14:textId="77777777" w:rsidR="00F753E8" w:rsidRPr="0022053B" w:rsidRDefault="00F753E8" w:rsidP="006E1769">
            <w:pPr>
              <w:ind w:left="167"/>
              <w:jc w:val="right"/>
              <w:rPr>
                <w:rFonts w:ascii="Arial" w:hAnsi="Arial" w:cs="Arial"/>
                <w:color w:val="000000"/>
                <w:sz w:val="22"/>
                <w:szCs w:val="22"/>
              </w:rPr>
            </w:pPr>
            <w:r w:rsidRPr="0022053B">
              <w:rPr>
                <w:rFonts w:ascii="Arial" w:hAnsi="Arial" w:cs="Arial"/>
                <w:sz w:val="22"/>
                <w:szCs w:val="22"/>
              </w:rPr>
              <w:t xml:space="preserve"> 4,305 </w:t>
            </w:r>
          </w:p>
        </w:tc>
        <w:tc>
          <w:tcPr>
            <w:tcW w:w="601" w:type="dxa"/>
            <w:tcBorders>
              <w:top w:val="nil"/>
              <w:left w:val="nil"/>
              <w:bottom w:val="nil"/>
              <w:right w:val="nil"/>
            </w:tcBorders>
            <w:noWrap/>
          </w:tcPr>
          <w:p w14:paraId="18B7F256" w14:textId="77777777" w:rsidR="00F753E8" w:rsidRPr="0022053B" w:rsidRDefault="00F753E8" w:rsidP="006E1769">
            <w:pPr>
              <w:ind w:left="167"/>
              <w:jc w:val="right"/>
              <w:rPr>
                <w:rFonts w:ascii="Arial" w:hAnsi="Arial" w:cs="Arial"/>
                <w:color w:val="000000"/>
                <w:sz w:val="22"/>
                <w:szCs w:val="22"/>
              </w:rPr>
            </w:pPr>
          </w:p>
        </w:tc>
        <w:tc>
          <w:tcPr>
            <w:tcW w:w="1315" w:type="dxa"/>
            <w:tcBorders>
              <w:top w:val="nil"/>
              <w:left w:val="nil"/>
              <w:bottom w:val="nil"/>
              <w:right w:val="nil"/>
            </w:tcBorders>
            <w:shd w:val="clear" w:color="auto" w:fill="auto"/>
          </w:tcPr>
          <w:p w14:paraId="63D87B3F" w14:textId="77777777" w:rsidR="00F753E8" w:rsidRPr="0022053B" w:rsidRDefault="00F753E8" w:rsidP="006E1769">
            <w:pPr>
              <w:ind w:left="167"/>
              <w:jc w:val="right"/>
              <w:rPr>
                <w:rFonts w:ascii="Arial" w:hAnsi="Arial" w:cs="Arial"/>
                <w:b/>
                <w:bCs/>
                <w:color w:val="000000"/>
                <w:sz w:val="22"/>
                <w:szCs w:val="22"/>
              </w:rPr>
            </w:pPr>
            <w:r w:rsidRPr="0022053B">
              <w:rPr>
                <w:rFonts w:ascii="Arial" w:hAnsi="Arial" w:cs="Arial"/>
                <w:b/>
                <w:bCs/>
                <w:sz w:val="22"/>
                <w:szCs w:val="22"/>
              </w:rPr>
              <w:t xml:space="preserve"> 4,</w:t>
            </w:r>
            <w:r>
              <w:rPr>
                <w:rFonts w:ascii="Arial" w:hAnsi="Arial" w:cs="Arial"/>
                <w:b/>
                <w:bCs/>
                <w:sz w:val="22"/>
                <w:szCs w:val="22"/>
              </w:rPr>
              <w:t>839</w:t>
            </w:r>
            <w:r w:rsidRPr="0022053B">
              <w:rPr>
                <w:rFonts w:ascii="Arial" w:hAnsi="Arial" w:cs="Arial"/>
                <w:b/>
                <w:bCs/>
                <w:sz w:val="22"/>
                <w:szCs w:val="22"/>
              </w:rPr>
              <w:t xml:space="preserve"> </w:t>
            </w:r>
          </w:p>
        </w:tc>
      </w:tr>
      <w:tr w:rsidR="00F753E8" w:rsidRPr="00B64150" w14:paraId="79AB4B5F" w14:textId="77777777" w:rsidTr="006E1769">
        <w:trPr>
          <w:trHeight w:val="159"/>
          <w:jc w:val="center"/>
        </w:trPr>
        <w:tc>
          <w:tcPr>
            <w:tcW w:w="6715" w:type="dxa"/>
            <w:gridSpan w:val="2"/>
            <w:tcBorders>
              <w:top w:val="nil"/>
              <w:left w:val="nil"/>
              <w:bottom w:val="nil"/>
              <w:right w:val="nil"/>
            </w:tcBorders>
            <w:vAlign w:val="center"/>
          </w:tcPr>
          <w:p w14:paraId="410D4353" w14:textId="77777777" w:rsidR="00F753E8" w:rsidRPr="008A0A4E" w:rsidRDefault="00F753E8" w:rsidP="006E1769">
            <w:pPr>
              <w:ind w:firstLine="609"/>
              <w:rPr>
                <w:rFonts w:ascii="Arial" w:hAnsi="Arial" w:cs="Arial"/>
                <w:color w:val="000000"/>
                <w:sz w:val="22"/>
                <w:szCs w:val="22"/>
              </w:rPr>
            </w:pPr>
            <w:r w:rsidRPr="008A0A4E">
              <w:rPr>
                <w:rFonts w:ascii="Arial" w:hAnsi="Arial" w:cs="Arial"/>
                <w:color w:val="000000"/>
                <w:sz w:val="22"/>
                <w:szCs w:val="22"/>
              </w:rPr>
              <w:t>Custody Fees</w:t>
            </w:r>
          </w:p>
        </w:tc>
        <w:tc>
          <w:tcPr>
            <w:tcW w:w="1635" w:type="dxa"/>
            <w:tcBorders>
              <w:top w:val="nil"/>
              <w:left w:val="nil"/>
              <w:bottom w:val="nil"/>
              <w:right w:val="nil"/>
            </w:tcBorders>
          </w:tcPr>
          <w:p w14:paraId="34DCA065" w14:textId="77777777" w:rsidR="00F753E8" w:rsidRPr="0022053B" w:rsidRDefault="00F753E8" w:rsidP="006E1769">
            <w:pPr>
              <w:ind w:left="167"/>
              <w:jc w:val="right"/>
              <w:rPr>
                <w:rFonts w:ascii="Arial" w:hAnsi="Arial" w:cs="Arial"/>
                <w:color w:val="000000"/>
                <w:sz w:val="22"/>
                <w:szCs w:val="22"/>
              </w:rPr>
            </w:pPr>
            <w:r w:rsidRPr="0022053B">
              <w:rPr>
                <w:rFonts w:ascii="Arial" w:hAnsi="Arial" w:cs="Arial"/>
                <w:sz w:val="22"/>
                <w:szCs w:val="22"/>
              </w:rPr>
              <w:t xml:space="preserve"> 58 </w:t>
            </w:r>
          </w:p>
        </w:tc>
        <w:tc>
          <w:tcPr>
            <w:tcW w:w="601" w:type="dxa"/>
            <w:tcBorders>
              <w:top w:val="nil"/>
              <w:left w:val="nil"/>
              <w:bottom w:val="nil"/>
              <w:right w:val="nil"/>
            </w:tcBorders>
            <w:noWrap/>
          </w:tcPr>
          <w:p w14:paraId="0F0219FC" w14:textId="77777777" w:rsidR="00F753E8" w:rsidRPr="0022053B" w:rsidRDefault="00F753E8" w:rsidP="006E1769">
            <w:pPr>
              <w:ind w:left="167"/>
              <w:jc w:val="right"/>
              <w:rPr>
                <w:rFonts w:ascii="Arial" w:hAnsi="Arial" w:cs="Arial"/>
                <w:color w:val="000000"/>
                <w:sz w:val="22"/>
                <w:szCs w:val="22"/>
              </w:rPr>
            </w:pPr>
          </w:p>
        </w:tc>
        <w:tc>
          <w:tcPr>
            <w:tcW w:w="1315" w:type="dxa"/>
            <w:tcBorders>
              <w:top w:val="nil"/>
              <w:left w:val="nil"/>
              <w:bottom w:val="nil"/>
              <w:right w:val="nil"/>
            </w:tcBorders>
            <w:shd w:val="clear" w:color="auto" w:fill="auto"/>
          </w:tcPr>
          <w:p w14:paraId="5EABA379" w14:textId="77777777" w:rsidR="00F753E8" w:rsidRPr="0022053B" w:rsidRDefault="00F753E8" w:rsidP="006E1769">
            <w:pPr>
              <w:ind w:left="167"/>
              <w:jc w:val="right"/>
              <w:rPr>
                <w:rFonts w:ascii="Arial" w:hAnsi="Arial" w:cs="Arial"/>
                <w:b/>
                <w:bCs/>
                <w:color w:val="000000"/>
                <w:sz w:val="22"/>
                <w:szCs w:val="22"/>
              </w:rPr>
            </w:pPr>
            <w:r w:rsidRPr="0022053B">
              <w:rPr>
                <w:rFonts w:ascii="Arial" w:hAnsi="Arial" w:cs="Arial"/>
                <w:b/>
                <w:bCs/>
                <w:sz w:val="22"/>
                <w:szCs w:val="22"/>
              </w:rPr>
              <w:t xml:space="preserve"> 57 </w:t>
            </w:r>
          </w:p>
        </w:tc>
      </w:tr>
      <w:tr w:rsidR="00F753E8" w:rsidRPr="00B64150" w14:paraId="5673E553" w14:textId="77777777" w:rsidTr="006E1769">
        <w:trPr>
          <w:trHeight w:val="132"/>
          <w:jc w:val="center"/>
        </w:trPr>
        <w:tc>
          <w:tcPr>
            <w:tcW w:w="6709" w:type="dxa"/>
            <w:tcBorders>
              <w:top w:val="nil"/>
              <w:left w:val="nil"/>
              <w:bottom w:val="nil"/>
              <w:right w:val="nil"/>
            </w:tcBorders>
            <w:shd w:val="clear" w:color="000000" w:fill="FFFFFF"/>
            <w:noWrap/>
            <w:vAlign w:val="center"/>
          </w:tcPr>
          <w:p w14:paraId="3B77635D" w14:textId="77777777" w:rsidR="00F753E8" w:rsidRPr="008A0A4E" w:rsidRDefault="00F753E8" w:rsidP="006E1769">
            <w:pPr>
              <w:ind w:firstLine="609"/>
              <w:rPr>
                <w:rFonts w:ascii="Arial" w:hAnsi="Arial" w:cs="Arial"/>
                <w:color w:val="000000"/>
                <w:sz w:val="22"/>
                <w:szCs w:val="22"/>
              </w:rPr>
            </w:pPr>
            <w:r w:rsidRPr="008A0A4E">
              <w:rPr>
                <w:rFonts w:ascii="Arial" w:hAnsi="Arial" w:cs="Arial"/>
                <w:color w:val="000000"/>
                <w:sz w:val="22"/>
                <w:szCs w:val="22"/>
              </w:rPr>
              <w:t>Oversight and Governance Fees</w:t>
            </w:r>
          </w:p>
        </w:tc>
        <w:tc>
          <w:tcPr>
            <w:tcW w:w="1641" w:type="dxa"/>
            <w:gridSpan w:val="2"/>
            <w:tcBorders>
              <w:top w:val="nil"/>
              <w:left w:val="nil"/>
              <w:bottom w:val="nil"/>
              <w:right w:val="nil"/>
            </w:tcBorders>
            <w:shd w:val="clear" w:color="000000" w:fill="FFFFFF"/>
          </w:tcPr>
          <w:p w14:paraId="6E2BB755" w14:textId="77777777" w:rsidR="00F753E8" w:rsidRPr="0022053B" w:rsidRDefault="00F753E8" w:rsidP="006E1769">
            <w:pPr>
              <w:ind w:firstLine="609"/>
              <w:jc w:val="right"/>
              <w:rPr>
                <w:rFonts w:ascii="Arial" w:hAnsi="Arial" w:cs="Arial"/>
                <w:color w:val="000000"/>
                <w:sz w:val="22"/>
                <w:szCs w:val="22"/>
              </w:rPr>
            </w:pPr>
            <w:r w:rsidRPr="0022053B">
              <w:rPr>
                <w:rFonts w:ascii="Arial" w:hAnsi="Arial" w:cs="Arial"/>
                <w:sz w:val="22"/>
                <w:szCs w:val="22"/>
              </w:rPr>
              <w:t xml:space="preserve"> 243 </w:t>
            </w:r>
          </w:p>
        </w:tc>
        <w:tc>
          <w:tcPr>
            <w:tcW w:w="601" w:type="dxa"/>
            <w:tcBorders>
              <w:top w:val="nil"/>
              <w:left w:val="nil"/>
              <w:right w:val="nil"/>
            </w:tcBorders>
            <w:shd w:val="clear" w:color="000000" w:fill="FFFFFF"/>
            <w:noWrap/>
          </w:tcPr>
          <w:p w14:paraId="1E251BD6" w14:textId="77777777" w:rsidR="00F753E8" w:rsidRPr="0022053B" w:rsidRDefault="00F753E8" w:rsidP="006E1769">
            <w:pPr>
              <w:ind w:left="167"/>
              <w:jc w:val="right"/>
              <w:rPr>
                <w:rFonts w:ascii="Arial" w:hAnsi="Arial" w:cs="Arial"/>
                <w:color w:val="000000"/>
                <w:sz w:val="22"/>
                <w:szCs w:val="22"/>
              </w:rPr>
            </w:pPr>
          </w:p>
        </w:tc>
        <w:tc>
          <w:tcPr>
            <w:tcW w:w="1315" w:type="dxa"/>
            <w:tcBorders>
              <w:top w:val="nil"/>
              <w:left w:val="nil"/>
              <w:bottom w:val="nil"/>
              <w:right w:val="nil"/>
            </w:tcBorders>
            <w:shd w:val="clear" w:color="auto" w:fill="auto"/>
            <w:noWrap/>
          </w:tcPr>
          <w:p w14:paraId="10A9A036" w14:textId="77777777" w:rsidR="00F753E8" w:rsidRPr="0022053B" w:rsidRDefault="00F753E8" w:rsidP="006E1769">
            <w:pPr>
              <w:ind w:left="167"/>
              <w:jc w:val="right"/>
              <w:rPr>
                <w:rFonts w:ascii="Arial" w:hAnsi="Arial" w:cs="Arial"/>
                <w:b/>
                <w:bCs/>
                <w:color w:val="000000"/>
                <w:sz w:val="22"/>
                <w:szCs w:val="22"/>
              </w:rPr>
            </w:pPr>
            <w:r w:rsidRPr="0022053B">
              <w:rPr>
                <w:rFonts w:ascii="Arial" w:hAnsi="Arial" w:cs="Arial"/>
                <w:b/>
                <w:bCs/>
                <w:sz w:val="22"/>
                <w:szCs w:val="22"/>
              </w:rPr>
              <w:t xml:space="preserve"> 2</w:t>
            </w:r>
            <w:r>
              <w:rPr>
                <w:rFonts w:ascii="Arial" w:hAnsi="Arial" w:cs="Arial"/>
                <w:b/>
                <w:bCs/>
                <w:sz w:val="22"/>
                <w:szCs w:val="22"/>
              </w:rPr>
              <w:t>40</w:t>
            </w:r>
            <w:r w:rsidRPr="0022053B">
              <w:rPr>
                <w:rFonts w:ascii="Arial" w:hAnsi="Arial" w:cs="Arial"/>
                <w:b/>
                <w:bCs/>
                <w:sz w:val="22"/>
                <w:szCs w:val="22"/>
              </w:rPr>
              <w:t xml:space="preserve"> </w:t>
            </w:r>
          </w:p>
        </w:tc>
      </w:tr>
      <w:tr w:rsidR="00F753E8" w:rsidRPr="00B64150" w14:paraId="22E2FA60" w14:textId="77777777" w:rsidTr="006E1769">
        <w:trPr>
          <w:trHeight w:val="159"/>
          <w:jc w:val="center"/>
        </w:trPr>
        <w:tc>
          <w:tcPr>
            <w:tcW w:w="6715" w:type="dxa"/>
            <w:gridSpan w:val="2"/>
            <w:tcBorders>
              <w:top w:val="nil"/>
              <w:left w:val="nil"/>
              <w:bottom w:val="nil"/>
              <w:right w:val="nil"/>
            </w:tcBorders>
            <w:vAlign w:val="bottom"/>
          </w:tcPr>
          <w:p w14:paraId="37317359" w14:textId="77777777" w:rsidR="00F753E8" w:rsidRPr="008A0A4E" w:rsidRDefault="00F753E8" w:rsidP="006E1769">
            <w:pPr>
              <w:ind w:firstLine="609"/>
              <w:rPr>
                <w:rFonts w:ascii="Arial" w:hAnsi="Arial" w:cs="Arial"/>
                <w:color w:val="000000"/>
                <w:sz w:val="22"/>
                <w:szCs w:val="22"/>
              </w:rPr>
            </w:pPr>
            <w:r w:rsidRPr="008A0A4E">
              <w:rPr>
                <w:rFonts w:ascii="Arial" w:hAnsi="Arial" w:cs="Arial"/>
                <w:color w:val="000000"/>
                <w:sz w:val="22"/>
                <w:szCs w:val="22"/>
              </w:rPr>
              <w:t>Other Costs</w:t>
            </w:r>
          </w:p>
        </w:tc>
        <w:tc>
          <w:tcPr>
            <w:tcW w:w="1635" w:type="dxa"/>
            <w:tcBorders>
              <w:top w:val="nil"/>
              <w:left w:val="nil"/>
              <w:bottom w:val="nil"/>
              <w:right w:val="nil"/>
            </w:tcBorders>
          </w:tcPr>
          <w:p w14:paraId="7F230122" w14:textId="77777777" w:rsidR="00F753E8" w:rsidRPr="0022053B" w:rsidRDefault="00F753E8" w:rsidP="006E1769">
            <w:pPr>
              <w:jc w:val="right"/>
              <w:rPr>
                <w:rFonts w:ascii="Arial" w:hAnsi="Arial" w:cs="Arial"/>
                <w:color w:val="000000"/>
                <w:sz w:val="22"/>
                <w:szCs w:val="22"/>
              </w:rPr>
            </w:pPr>
            <w:r w:rsidRPr="0022053B">
              <w:rPr>
                <w:rFonts w:ascii="Arial" w:hAnsi="Arial" w:cs="Arial"/>
                <w:sz w:val="22"/>
                <w:szCs w:val="22"/>
              </w:rPr>
              <w:t xml:space="preserve"> 1,403 </w:t>
            </w:r>
          </w:p>
        </w:tc>
        <w:tc>
          <w:tcPr>
            <w:tcW w:w="601" w:type="dxa"/>
            <w:tcBorders>
              <w:top w:val="nil"/>
              <w:left w:val="nil"/>
              <w:bottom w:val="nil"/>
              <w:right w:val="nil"/>
            </w:tcBorders>
            <w:noWrap/>
          </w:tcPr>
          <w:p w14:paraId="7CEF7374" w14:textId="77777777" w:rsidR="00F753E8" w:rsidRPr="0022053B" w:rsidRDefault="00F753E8" w:rsidP="006E1769">
            <w:pPr>
              <w:ind w:left="318"/>
              <w:rPr>
                <w:rFonts w:ascii="Arial" w:hAnsi="Arial" w:cs="Arial"/>
                <w:color w:val="000000"/>
                <w:sz w:val="22"/>
                <w:szCs w:val="22"/>
              </w:rPr>
            </w:pPr>
          </w:p>
        </w:tc>
        <w:tc>
          <w:tcPr>
            <w:tcW w:w="1315" w:type="dxa"/>
            <w:tcBorders>
              <w:top w:val="nil"/>
              <w:left w:val="nil"/>
              <w:bottom w:val="single" w:sz="4" w:space="0" w:color="auto"/>
              <w:right w:val="nil"/>
            </w:tcBorders>
            <w:shd w:val="clear" w:color="auto" w:fill="auto"/>
          </w:tcPr>
          <w:p w14:paraId="092D1DF5" w14:textId="77777777" w:rsidR="00F753E8" w:rsidRPr="0022053B" w:rsidRDefault="00F753E8" w:rsidP="006E1769">
            <w:pPr>
              <w:jc w:val="right"/>
              <w:rPr>
                <w:rFonts w:ascii="Arial" w:hAnsi="Arial" w:cs="Arial"/>
                <w:b/>
                <w:bCs/>
                <w:color w:val="000000"/>
                <w:sz w:val="22"/>
                <w:szCs w:val="22"/>
              </w:rPr>
            </w:pPr>
            <w:r w:rsidRPr="0022053B">
              <w:rPr>
                <w:rFonts w:ascii="Arial" w:hAnsi="Arial" w:cs="Arial"/>
                <w:b/>
                <w:bCs/>
                <w:sz w:val="22"/>
                <w:szCs w:val="22"/>
              </w:rPr>
              <w:t xml:space="preserve"> 1,6</w:t>
            </w:r>
            <w:r>
              <w:rPr>
                <w:rFonts w:ascii="Arial" w:hAnsi="Arial" w:cs="Arial"/>
                <w:b/>
                <w:bCs/>
                <w:sz w:val="22"/>
                <w:szCs w:val="22"/>
              </w:rPr>
              <w:t>68</w:t>
            </w:r>
            <w:r w:rsidRPr="0022053B">
              <w:rPr>
                <w:rFonts w:ascii="Arial" w:hAnsi="Arial" w:cs="Arial"/>
                <w:b/>
                <w:bCs/>
                <w:sz w:val="22"/>
                <w:szCs w:val="22"/>
              </w:rPr>
              <w:t xml:space="preserve"> </w:t>
            </w:r>
          </w:p>
        </w:tc>
      </w:tr>
      <w:tr w:rsidR="00F753E8" w:rsidRPr="000F46F5" w14:paraId="7FE9071A" w14:textId="77777777" w:rsidTr="006E1769">
        <w:trPr>
          <w:trHeight w:val="78"/>
          <w:jc w:val="center"/>
        </w:trPr>
        <w:tc>
          <w:tcPr>
            <w:tcW w:w="6715" w:type="dxa"/>
            <w:gridSpan w:val="2"/>
            <w:tcBorders>
              <w:top w:val="nil"/>
              <w:left w:val="nil"/>
              <w:bottom w:val="nil"/>
              <w:right w:val="nil"/>
            </w:tcBorders>
            <w:shd w:val="clear" w:color="000000" w:fill="FFFFFF"/>
            <w:noWrap/>
            <w:vAlign w:val="bottom"/>
          </w:tcPr>
          <w:p w14:paraId="78ABFB74" w14:textId="77777777" w:rsidR="00F753E8" w:rsidRPr="008A0A4E" w:rsidRDefault="00F753E8" w:rsidP="006E1769">
            <w:pPr>
              <w:ind w:left="318"/>
              <w:rPr>
                <w:rFonts w:ascii="Arial" w:hAnsi="Arial" w:cs="Arial"/>
                <w:b/>
                <w:bCs/>
                <w:color w:val="000000"/>
                <w:sz w:val="22"/>
                <w:szCs w:val="22"/>
              </w:rPr>
            </w:pPr>
            <w:r w:rsidRPr="008A0A4E">
              <w:rPr>
                <w:rFonts w:ascii="Arial" w:hAnsi="Arial" w:cs="Arial"/>
                <w:b/>
                <w:bCs/>
                <w:color w:val="000000"/>
                <w:sz w:val="22"/>
                <w:szCs w:val="22"/>
              </w:rPr>
              <w:t> </w:t>
            </w:r>
          </w:p>
        </w:tc>
        <w:tc>
          <w:tcPr>
            <w:tcW w:w="1635" w:type="dxa"/>
            <w:tcBorders>
              <w:top w:val="single" w:sz="8" w:space="0" w:color="auto"/>
              <w:left w:val="nil"/>
              <w:bottom w:val="double" w:sz="6" w:space="0" w:color="auto"/>
              <w:right w:val="nil"/>
            </w:tcBorders>
            <w:shd w:val="clear" w:color="000000" w:fill="FFFFFF"/>
          </w:tcPr>
          <w:p w14:paraId="78DA9563" w14:textId="77777777" w:rsidR="00F753E8" w:rsidRPr="0022053B" w:rsidRDefault="00F753E8" w:rsidP="006E1769">
            <w:pPr>
              <w:jc w:val="right"/>
              <w:rPr>
                <w:rFonts w:ascii="Arial" w:hAnsi="Arial" w:cs="Arial"/>
                <w:color w:val="000000"/>
                <w:sz w:val="22"/>
                <w:szCs w:val="22"/>
              </w:rPr>
            </w:pPr>
            <w:r w:rsidRPr="0022053B">
              <w:rPr>
                <w:rFonts w:ascii="Arial" w:hAnsi="Arial" w:cs="Arial"/>
                <w:sz w:val="22"/>
                <w:szCs w:val="22"/>
              </w:rPr>
              <w:t xml:space="preserve"> 6,720 </w:t>
            </w:r>
          </w:p>
        </w:tc>
        <w:tc>
          <w:tcPr>
            <w:tcW w:w="601" w:type="dxa"/>
            <w:tcBorders>
              <w:top w:val="nil"/>
              <w:left w:val="nil"/>
              <w:bottom w:val="nil"/>
              <w:right w:val="nil"/>
            </w:tcBorders>
            <w:shd w:val="clear" w:color="000000" w:fill="FFFFFF"/>
            <w:noWrap/>
          </w:tcPr>
          <w:p w14:paraId="74A1E7BB" w14:textId="77777777" w:rsidR="00F753E8" w:rsidRPr="0022053B" w:rsidRDefault="00F753E8" w:rsidP="006E1769">
            <w:pPr>
              <w:ind w:left="318"/>
              <w:rPr>
                <w:rFonts w:ascii="Arial" w:hAnsi="Arial" w:cs="Arial"/>
                <w:color w:val="000000"/>
                <w:sz w:val="22"/>
                <w:szCs w:val="22"/>
              </w:rPr>
            </w:pPr>
          </w:p>
        </w:tc>
        <w:tc>
          <w:tcPr>
            <w:tcW w:w="1315" w:type="dxa"/>
            <w:tcBorders>
              <w:top w:val="single" w:sz="4" w:space="0" w:color="auto"/>
              <w:left w:val="nil"/>
              <w:bottom w:val="double" w:sz="4" w:space="0" w:color="auto"/>
              <w:right w:val="nil"/>
            </w:tcBorders>
            <w:shd w:val="clear" w:color="auto" w:fill="auto"/>
            <w:noWrap/>
          </w:tcPr>
          <w:p w14:paraId="0243D903" w14:textId="77777777" w:rsidR="00F753E8" w:rsidRPr="0022053B" w:rsidRDefault="00F753E8" w:rsidP="006E1769">
            <w:pPr>
              <w:jc w:val="right"/>
              <w:rPr>
                <w:rFonts w:ascii="Arial" w:hAnsi="Arial" w:cs="Arial"/>
                <w:b/>
                <w:bCs/>
                <w:color w:val="000000"/>
                <w:sz w:val="22"/>
                <w:szCs w:val="22"/>
              </w:rPr>
            </w:pPr>
            <w:r w:rsidRPr="0022053B">
              <w:rPr>
                <w:rFonts w:ascii="Arial" w:hAnsi="Arial" w:cs="Arial"/>
                <w:b/>
                <w:bCs/>
                <w:sz w:val="22"/>
                <w:szCs w:val="22"/>
              </w:rPr>
              <w:t xml:space="preserve"> </w:t>
            </w:r>
            <w:r>
              <w:rPr>
                <w:rFonts w:ascii="Arial" w:hAnsi="Arial" w:cs="Arial"/>
                <w:b/>
                <w:bCs/>
                <w:sz w:val="22"/>
                <w:szCs w:val="22"/>
              </w:rPr>
              <w:t>7,480</w:t>
            </w:r>
          </w:p>
        </w:tc>
      </w:tr>
      <w:tr w:rsidR="00F753E8" w:rsidRPr="00B64150" w14:paraId="33AE145D" w14:textId="77777777" w:rsidTr="006E1769">
        <w:trPr>
          <w:trHeight w:val="39"/>
          <w:jc w:val="center"/>
        </w:trPr>
        <w:tc>
          <w:tcPr>
            <w:tcW w:w="6715" w:type="dxa"/>
            <w:gridSpan w:val="2"/>
            <w:tcBorders>
              <w:top w:val="nil"/>
              <w:left w:val="nil"/>
              <w:bottom w:val="nil"/>
              <w:right w:val="nil"/>
            </w:tcBorders>
            <w:shd w:val="clear" w:color="000000" w:fill="FFFFFF"/>
            <w:noWrap/>
            <w:vAlign w:val="bottom"/>
          </w:tcPr>
          <w:p w14:paraId="29C2676F" w14:textId="77777777" w:rsidR="00F753E8" w:rsidRPr="00B8060E" w:rsidRDefault="00F753E8" w:rsidP="007337FE">
            <w:pPr>
              <w:pStyle w:val="ListParagraph"/>
              <w:numPr>
                <w:ilvl w:val="0"/>
                <w:numId w:val="90"/>
              </w:numPr>
              <w:tabs>
                <w:tab w:val="left" w:pos="1034"/>
                <w:tab w:val="left" w:pos="1318"/>
                <w:tab w:val="left" w:pos="1591"/>
              </w:tabs>
              <w:ind w:firstLine="94"/>
              <w:jc w:val="both"/>
              <w:rPr>
                <w:rFonts w:ascii="Arial" w:hAnsi="Arial" w:cs="Arial"/>
                <w:b/>
                <w:color w:val="000000"/>
              </w:rPr>
            </w:pPr>
            <w:r>
              <w:rPr>
                <w:rFonts w:ascii="Arial" w:hAnsi="Arial" w:cs="Arial"/>
                <w:b/>
                <w:color w:val="000000"/>
              </w:rPr>
              <w:t>Investment Income</w:t>
            </w:r>
          </w:p>
        </w:tc>
        <w:tc>
          <w:tcPr>
            <w:tcW w:w="1635" w:type="dxa"/>
            <w:tcBorders>
              <w:top w:val="nil"/>
              <w:left w:val="nil"/>
              <w:bottom w:val="nil"/>
              <w:right w:val="nil"/>
            </w:tcBorders>
            <w:shd w:val="clear" w:color="000000" w:fill="FFFFFF"/>
            <w:vAlign w:val="center"/>
          </w:tcPr>
          <w:p w14:paraId="2206E8F7" w14:textId="77777777" w:rsidR="00F753E8" w:rsidRDefault="00F753E8" w:rsidP="006E1769">
            <w:pPr>
              <w:ind w:right="34"/>
              <w:jc w:val="center"/>
              <w:rPr>
                <w:rFonts w:ascii="Arial" w:hAnsi="Arial" w:cs="Arial"/>
                <w:color w:val="000000"/>
                <w:sz w:val="22"/>
                <w:szCs w:val="22"/>
              </w:rPr>
            </w:pPr>
            <w:r>
              <w:rPr>
                <w:rFonts w:ascii="Arial" w:hAnsi="Arial" w:cs="Arial"/>
                <w:b/>
                <w:bCs/>
                <w:color w:val="000000"/>
                <w:sz w:val="22"/>
                <w:szCs w:val="22"/>
              </w:rPr>
              <w:t>2020/21</w:t>
            </w:r>
          </w:p>
        </w:tc>
        <w:tc>
          <w:tcPr>
            <w:tcW w:w="601" w:type="dxa"/>
            <w:tcBorders>
              <w:top w:val="nil"/>
              <w:left w:val="nil"/>
              <w:bottom w:val="nil"/>
              <w:right w:val="nil"/>
            </w:tcBorders>
            <w:shd w:val="clear" w:color="000000" w:fill="FFFFFF"/>
            <w:noWrap/>
            <w:vAlign w:val="center"/>
          </w:tcPr>
          <w:p w14:paraId="7E2404D3" w14:textId="77777777" w:rsidR="00F753E8" w:rsidRPr="00F928FC" w:rsidRDefault="00F753E8" w:rsidP="006E1769">
            <w:pPr>
              <w:jc w:val="center"/>
              <w:rPr>
                <w:rFonts w:ascii="Arial" w:hAnsi="Arial" w:cs="Arial"/>
                <w:color w:val="000000"/>
                <w:sz w:val="22"/>
                <w:szCs w:val="22"/>
              </w:rPr>
            </w:pPr>
            <w:r>
              <w:rPr>
                <w:rFonts w:ascii="Arial" w:hAnsi="Arial" w:cs="Arial"/>
                <w:color w:val="000000"/>
                <w:sz w:val="22"/>
                <w:szCs w:val="22"/>
              </w:rPr>
              <w:t> </w:t>
            </w:r>
          </w:p>
        </w:tc>
        <w:tc>
          <w:tcPr>
            <w:tcW w:w="1315" w:type="dxa"/>
            <w:tcBorders>
              <w:left w:val="nil"/>
              <w:bottom w:val="nil"/>
              <w:right w:val="nil"/>
            </w:tcBorders>
            <w:shd w:val="clear" w:color="000000" w:fill="FFFFFF"/>
            <w:noWrap/>
            <w:vAlign w:val="center"/>
          </w:tcPr>
          <w:p w14:paraId="46D9FC3A" w14:textId="77777777" w:rsidR="00F753E8" w:rsidRPr="00F928FC" w:rsidRDefault="00F753E8" w:rsidP="006E1769">
            <w:pPr>
              <w:ind w:right="34"/>
              <w:jc w:val="center"/>
              <w:rPr>
                <w:rFonts w:ascii="Arial" w:hAnsi="Arial" w:cs="Arial"/>
                <w:b/>
                <w:color w:val="000000"/>
                <w:sz w:val="22"/>
                <w:szCs w:val="22"/>
              </w:rPr>
            </w:pPr>
            <w:r>
              <w:rPr>
                <w:rFonts w:ascii="Arial" w:hAnsi="Arial" w:cs="Arial"/>
                <w:b/>
                <w:bCs/>
                <w:color w:val="000000"/>
                <w:sz w:val="22"/>
                <w:szCs w:val="22"/>
              </w:rPr>
              <w:t>2021/22</w:t>
            </w:r>
          </w:p>
        </w:tc>
      </w:tr>
      <w:tr w:rsidR="00F753E8" w:rsidRPr="00B64150" w14:paraId="2C2923A3" w14:textId="77777777" w:rsidTr="006E1769">
        <w:trPr>
          <w:trHeight w:val="155"/>
          <w:jc w:val="center"/>
        </w:trPr>
        <w:tc>
          <w:tcPr>
            <w:tcW w:w="6715" w:type="dxa"/>
            <w:gridSpan w:val="2"/>
            <w:tcBorders>
              <w:top w:val="nil"/>
              <w:left w:val="nil"/>
              <w:bottom w:val="nil"/>
              <w:right w:val="nil"/>
            </w:tcBorders>
            <w:shd w:val="clear" w:color="000000" w:fill="FFFFFF"/>
            <w:noWrap/>
            <w:vAlign w:val="bottom"/>
          </w:tcPr>
          <w:p w14:paraId="384FFEB7" w14:textId="77777777" w:rsidR="00F753E8" w:rsidRPr="00F928FC" w:rsidRDefault="00F753E8" w:rsidP="006E1769">
            <w:pPr>
              <w:ind w:left="318"/>
              <w:rPr>
                <w:rFonts w:ascii="Arial" w:hAnsi="Arial" w:cs="Arial"/>
                <w:color w:val="000000"/>
                <w:sz w:val="22"/>
                <w:szCs w:val="22"/>
              </w:rPr>
            </w:pPr>
            <w:r w:rsidRPr="00F928FC">
              <w:rPr>
                <w:rFonts w:ascii="Arial" w:hAnsi="Arial" w:cs="Arial"/>
                <w:color w:val="000000"/>
                <w:sz w:val="22"/>
                <w:szCs w:val="22"/>
              </w:rPr>
              <w:t> </w:t>
            </w:r>
          </w:p>
        </w:tc>
        <w:tc>
          <w:tcPr>
            <w:tcW w:w="1635" w:type="dxa"/>
            <w:tcBorders>
              <w:top w:val="nil"/>
              <w:left w:val="nil"/>
              <w:bottom w:val="nil"/>
              <w:right w:val="nil"/>
            </w:tcBorders>
            <w:shd w:val="clear" w:color="000000" w:fill="FFFFFF"/>
            <w:vAlign w:val="bottom"/>
          </w:tcPr>
          <w:p w14:paraId="6FEB7E88" w14:textId="77777777" w:rsidR="00F753E8" w:rsidRPr="00F928FC" w:rsidRDefault="00F753E8" w:rsidP="006E1769">
            <w:pPr>
              <w:ind w:left="318" w:right="34"/>
              <w:jc w:val="center"/>
              <w:rPr>
                <w:rFonts w:ascii="Arial" w:hAnsi="Arial" w:cs="Arial"/>
                <w:color w:val="000000"/>
                <w:sz w:val="22"/>
                <w:szCs w:val="22"/>
              </w:rPr>
            </w:pPr>
            <w:r w:rsidRPr="008A0A4E">
              <w:rPr>
                <w:rFonts w:ascii="Arial" w:hAnsi="Arial" w:cs="Arial"/>
                <w:bCs/>
                <w:color w:val="000000"/>
                <w:sz w:val="22"/>
                <w:szCs w:val="22"/>
              </w:rPr>
              <w:t>£000</w:t>
            </w:r>
          </w:p>
        </w:tc>
        <w:tc>
          <w:tcPr>
            <w:tcW w:w="601" w:type="dxa"/>
            <w:tcBorders>
              <w:top w:val="nil"/>
              <w:left w:val="nil"/>
              <w:bottom w:val="nil"/>
              <w:right w:val="nil"/>
            </w:tcBorders>
            <w:shd w:val="clear" w:color="000000" w:fill="FFFFFF"/>
            <w:noWrap/>
            <w:vAlign w:val="bottom"/>
          </w:tcPr>
          <w:p w14:paraId="38620F42" w14:textId="77777777" w:rsidR="00F753E8" w:rsidRPr="00F928FC" w:rsidRDefault="00F753E8" w:rsidP="006E1769">
            <w:pPr>
              <w:ind w:left="318"/>
              <w:jc w:val="center"/>
              <w:rPr>
                <w:rFonts w:ascii="Arial" w:hAnsi="Arial" w:cs="Arial"/>
                <w:color w:val="000000"/>
                <w:sz w:val="22"/>
                <w:szCs w:val="22"/>
              </w:rPr>
            </w:pPr>
            <w:r w:rsidRPr="008A0A4E">
              <w:rPr>
                <w:rFonts w:ascii="Arial" w:hAnsi="Arial" w:cs="Arial"/>
                <w:color w:val="000000"/>
                <w:sz w:val="22"/>
                <w:szCs w:val="22"/>
              </w:rPr>
              <w:t> </w:t>
            </w:r>
          </w:p>
        </w:tc>
        <w:tc>
          <w:tcPr>
            <w:tcW w:w="1315" w:type="dxa"/>
            <w:tcBorders>
              <w:top w:val="nil"/>
              <w:left w:val="nil"/>
              <w:bottom w:val="nil"/>
              <w:right w:val="nil"/>
            </w:tcBorders>
            <w:shd w:val="clear" w:color="000000" w:fill="FFFFFF"/>
            <w:noWrap/>
            <w:vAlign w:val="bottom"/>
          </w:tcPr>
          <w:p w14:paraId="24F02787" w14:textId="77777777" w:rsidR="00F753E8" w:rsidRPr="00F928FC" w:rsidRDefault="00F753E8" w:rsidP="006E1769">
            <w:pPr>
              <w:ind w:left="318" w:right="34"/>
              <w:jc w:val="center"/>
              <w:rPr>
                <w:rFonts w:ascii="Arial" w:hAnsi="Arial" w:cs="Arial"/>
                <w:b/>
                <w:color w:val="000000"/>
                <w:sz w:val="22"/>
                <w:szCs w:val="22"/>
              </w:rPr>
            </w:pPr>
            <w:r w:rsidRPr="008A0A4E">
              <w:rPr>
                <w:rFonts w:ascii="Arial" w:hAnsi="Arial" w:cs="Arial"/>
                <w:b/>
                <w:bCs/>
                <w:color w:val="000000"/>
                <w:sz w:val="22"/>
                <w:szCs w:val="22"/>
              </w:rPr>
              <w:t>£000</w:t>
            </w:r>
          </w:p>
        </w:tc>
      </w:tr>
      <w:tr w:rsidR="00F753E8" w:rsidRPr="00B64150" w14:paraId="39798981" w14:textId="77777777" w:rsidTr="006E1769">
        <w:trPr>
          <w:trHeight w:val="129"/>
          <w:jc w:val="center"/>
        </w:trPr>
        <w:tc>
          <w:tcPr>
            <w:tcW w:w="6715" w:type="dxa"/>
            <w:gridSpan w:val="2"/>
            <w:tcBorders>
              <w:top w:val="nil"/>
              <w:left w:val="nil"/>
              <w:bottom w:val="nil"/>
              <w:right w:val="nil"/>
            </w:tcBorders>
            <w:shd w:val="clear" w:color="000000" w:fill="FFFFFF"/>
            <w:noWrap/>
            <w:vAlign w:val="bottom"/>
          </w:tcPr>
          <w:p w14:paraId="4148E388" w14:textId="77777777" w:rsidR="00F753E8" w:rsidRPr="008A0A4E" w:rsidRDefault="00F753E8" w:rsidP="006E1769">
            <w:pPr>
              <w:ind w:left="318" w:firstLine="278"/>
              <w:rPr>
                <w:rFonts w:ascii="Arial" w:hAnsi="Arial" w:cs="Arial"/>
                <w:color w:val="000000"/>
                <w:sz w:val="22"/>
                <w:szCs w:val="22"/>
              </w:rPr>
            </w:pPr>
            <w:r w:rsidRPr="008A0A4E">
              <w:rPr>
                <w:rFonts w:ascii="Arial" w:hAnsi="Arial" w:cs="Arial"/>
                <w:color w:val="000000"/>
                <w:sz w:val="22"/>
                <w:szCs w:val="22"/>
              </w:rPr>
              <w:t>Fixed Interest Securities</w:t>
            </w:r>
          </w:p>
        </w:tc>
        <w:tc>
          <w:tcPr>
            <w:tcW w:w="1635" w:type="dxa"/>
            <w:tcBorders>
              <w:top w:val="nil"/>
              <w:left w:val="nil"/>
              <w:bottom w:val="nil"/>
              <w:right w:val="nil"/>
            </w:tcBorders>
            <w:shd w:val="clear" w:color="000000" w:fill="FFFFFF"/>
          </w:tcPr>
          <w:p w14:paraId="244D9E8B" w14:textId="77777777" w:rsidR="00F753E8" w:rsidRPr="00C20D0B" w:rsidRDefault="00F753E8" w:rsidP="006E1769">
            <w:pPr>
              <w:jc w:val="right"/>
              <w:rPr>
                <w:rFonts w:ascii="Arial" w:hAnsi="Arial" w:cs="Arial"/>
                <w:bCs/>
                <w:color w:val="000000"/>
                <w:sz w:val="22"/>
                <w:szCs w:val="22"/>
              </w:rPr>
            </w:pPr>
            <w:r w:rsidRPr="00C20D0B">
              <w:rPr>
                <w:rFonts w:ascii="Arial" w:hAnsi="Arial" w:cs="Arial"/>
                <w:sz w:val="22"/>
                <w:szCs w:val="22"/>
              </w:rPr>
              <w:t>428</w:t>
            </w:r>
          </w:p>
        </w:tc>
        <w:tc>
          <w:tcPr>
            <w:tcW w:w="601" w:type="dxa"/>
            <w:tcBorders>
              <w:top w:val="nil"/>
              <w:left w:val="nil"/>
              <w:bottom w:val="nil"/>
              <w:right w:val="nil"/>
            </w:tcBorders>
            <w:shd w:val="clear" w:color="000000" w:fill="FFFFFF"/>
            <w:noWrap/>
          </w:tcPr>
          <w:p w14:paraId="50C7EE92" w14:textId="77777777" w:rsidR="00F753E8" w:rsidRPr="00C20D0B" w:rsidRDefault="00F753E8" w:rsidP="006E1769">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21183A19" w14:textId="77777777" w:rsidR="00F753E8" w:rsidRPr="007771B5" w:rsidRDefault="00F753E8" w:rsidP="006E1769">
            <w:pPr>
              <w:jc w:val="right"/>
              <w:rPr>
                <w:rFonts w:ascii="Arial" w:hAnsi="Arial" w:cs="Arial"/>
                <w:b/>
                <w:bCs/>
                <w:sz w:val="22"/>
                <w:szCs w:val="22"/>
              </w:rPr>
            </w:pPr>
            <w:r w:rsidRPr="007771B5">
              <w:rPr>
                <w:rFonts w:ascii="Arial" w:hAnsi="Arial" w:cs="Arial"/>
                <w:b/>
                <w:bCs/>
              </w:rPr>
              <w:t xml:space="preserve"> 442 </w:t>
            </w:r>
          </w:p>
        </w:tc>
      </w:tr>
      <w:tr w:rsidR="00F753E8" w:rsidRPr="00B64150" w14:paraId="62C3F137" w14:textId="77777777" w:rsidTr="006E1769">
        <w:trPr>
          <w:trHeight w:val="129"/>
          <w:jc w:val="center"/>
        </w:trPr>
        <w:tc>
          <w:tcPr>
            <w:tcW w:w="6715" w:type="dxa"/>
            <w:gridSpan w:val="2"/>
            <w:tcBorders>
              <w:top w:val="nil"/>
              <w:left w:val="nil"/>
              <w:bottom w:val="nil"/>
              <w:right w:val="nil"/>
            </w:tcBorders>
            <w:shd w:val="clear" w:color="000000" w:fill="FFFFFF"/>
            <w:noWrap/>
            <w:vAlign w:val="bottom"/>
          </w:tcPr>
          <w:p w14:paraId="069CEB17" w14:textId="77777777" w:rsidR="00F753E8" w:rsidRPr="008A0A4E" w:rsidRDefault="00F753E8" w:rsidP="006E1769">
            <w:pPr>
              <w:ind w:left="318" w:firstLine="278"/>
              <w:rPr>
                <w:rFonts w:ascii="Arial" w:hAnsi="Arial" w:cs="Arial"/>
                <w:color w:val="000000"/>
                <w:sz w:val="22"/>
                <w:szCs w:val="22"/>
              </w:rPr>
            </w:pPr>
            <w:r w:rsidRPr="008A0A4E">
              <w:rPr>
                <w:rFonts w:ascii="Arial" w:hAnsi="Arial" w:cs="Arial"/>
                <w:color w:val="000000"/>
                <w:sz w:val="22"/>
                <w:szCs w:val="22"/>
              </w:rPr>
              <w:t>Equity Dividends</w:t>
            </w:r>
          </w:p>
        </w:tc>
        <w:tc>
          <w:tcPr>
            <w:tcW w:w="1635" w:type="dxa"/>
            <w:tcBorders>
              <w:top w:val="nil"/>
              <w:left w:val="nil"/>
              <w:bottom w:val="nil"/>
              <w:right w:val="nil"/>
            </w:tcBorders>
            <w:shd w:val="clear" w:color="000000" w:fill="FFFFFF"/>
          </w:tcPr>
          <w:p w14:paraId="4CF380EF" w14:textId="77777777" w:rsidR="00F753E8" w:rsidRPr="00C20D0B" w:rsidRDefault="00F753E8" w:rsidP="006E1769">
            <w:pPr>
              <w:jc w:val="right"/>
              <w:rPr>
                <w:rFonts w:ascii="Arial" w:hAnsi="Arial" w:cs="Arial"/>
                <w:bCs/>
                <w:color w:val="000000"/>
                <w:sz w:val="22"/>
                <w:szCs w:val="22"/>
              </w:rPr>
            </w:pPr>
            <w:r w:rsidRPr="00C20D0B">
              <w:rPr>
                <w:rFonts w:ascii="Arial" w:hAnsi="Arial" w:cs="Arial"/>
                <w:sz w:val="22"/>
                <w:szCs w:val="22"/>
              </w:rPr>
              <w:t>9,192</w:t>
            </w:r>
          </w:p>
        </w:tc>
        <w:tc>
          <w:tcPr>
            <w:tcW w:w="601" w:type="dxa"/>
            <w:tcBorders>
              <w:top w:val="nil"/>
              <w:left w:val="nil"/>
              <w:bottom w:val="nil"/>
              <w:right w:val="nil"/>
            </w:tcBorders>
            <w:shd w:val="clear" w:color="000000" w:fill="FFFFFF"/>
            <w:noWrap/>
          </w:tcPr>
          <w:p w14:paraId="34A637C7" w14:textId="77777777" w:rsidR="00F753E8" w:rsidRPr="00C20D0B" w:rsidRDefault="00F753E8" w:rsidP="006E1769">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67B696CC" w14:textId="77777777" w:rsidR="00F753E8" w:rsidRPr="007771B5" w:rsidRDefault="00F753E8" w:rsidP="006E1769">
            <w:pPr>
              <w:jc w:val="right"/>
              <w:rPr>
                <w:rFonts w:ascii="Arial" w:hAnsi="Arial" w:cs="Arial"/>
                <w:b/>
                <w:bCs/>
                <w:sz w:val="22"/>
                <w:szCs w:val="22"/>
              </w:rPr>
            </w:pPr>
            <w:r w:rsidRPr="007771B5">
              <w:rPr>
                <w:rFonts w:ascii="Arial" w:hAnsi="Arial" w:cs="Arial"/>
                <w:b/>
                <w:bCs/>
              </w:rPr>
              <w:t xml:space="preserve"> 1</w:t>
            </w:r>
            <w:r>
              <w:rPr>
                <w:rFonts w:ascii="Arial" w:hAnsi="Arial" w:cs="Arial"/>
                <w:b/>
                <w:bCs/>
              </w:rPr>
              <w:t>3,294</w:t>
            </w:r>
          </w:p>
        </w:tc>
      </w:tr>
      <w:tr w:rsidR="00F753E8" w:rsidRPr="00B64150" w14:paraId="517358E5" w14:textId="77777777" w:rsidTr="006E1769">
        <w:trPr>
          <w:trHeight w:val="129"/>
          <w:jc w:val="center"/>
        </w:trPr>
        <w:tc>
          <w:tcPr>
            <w:tcW w:w="6715" w:type="dxa"/>
            <w:gridSpan w:val="2"/>
            <w:tcBorders>
              <w:top w:val="nil"/>
              <w:left w:val="nil"/>
              <w:bottom w:val="nil"/>
              <w:right w:val="nil"/>
            </w:tcBorders>
            <w:shd w:val="clear" w:color="000000" w:fill="FFFFFF"/>
            <w:noWrap/>
            <w:vAlign w:val="bottom"/>
          </w:tcPr>
          <w:p w14:paraId="1209B468" w14:textId="77777777" w:rsidR="00F753E8" w:rsidRPr="008A0A4E" w:rsidRDefault="00F753E8" w:rsidP="006E1769">
            <w:pPr>
              <w:ind w:left="318" w:firstLine="278"/>
              <w:rPr>
                <w:rFonts w:ascii="Arial" w:hAnsi="Arial" w:cs="Arial"/>
                <w:color w:val="000000"/>
                <w:sz w:val="22"/>
                <w:szCs w:val="22"/>
              </w:rPr>
            </w:pPr>
            <w:r w:rsidRPr="008A0A4E">
              <w:rPr>
                <w:rFonts w:ascii="Arial" w:hAnsi="Arial" w:cs="Arial"/>
                <w:color w:val="000000"/>
                <w:sz w:val="22"/>
                <w:szCs w:val="22"/>
              </w:rPr>
              <w:t>Pooled Property Income</w:t>
            </w:r>
          </w:p>
        </w:tc>
        <w:tc>
          <w:tcPr>
            <w:tcW w:w="1635" w:type="dxa"/>
            <w:tcBorders>
              <w:top w:val="nil"/>
              <w:left w:val="nil"/>
              <w:bottom w:val="nil"/>
              <w:right w:val="nil"/>
            </w:tcBorders>
            <w:shd w:val="clear" w:color="000000" w:fill="FFFFFF"/>
          </w:tcPr>
          <w:p w14:paraId="195AC310" w14:textId="77777777" w:rsidR="00F753E8" w:rsidRPr="00C20D0B" w:rsidRDefault="00F753E8" w:rsidP="006E1769">
            <w:pPr>
              <w:jc w:val="right"/>
              <w:rPr>
                <w:rFonts w:ascii="Arial" w:hAnsi="Arial" w:cs="Arial"/>
                <w:bCs/>
                <w:color w:val="000000"/>
                <w:sz w:val="22"/>
                <w:szCs w:val="22"/>
              </w:rPr>
            </w:pPr>
            <w:r w:rsidRPr="00C20D0B">
              <w:rPr>
                <w:rFonts w:ascii="Arial" w:hAnsi="Arial" w:cs="Arial"/>
                <w:sz w:val="22"/>
                <w:szCs w:val="22"/>
              </w:rPr>
              <w:t>2,522</w:t>
            </w:r>
          </w:p>
        </w:tc>
        <w:tc>
          <w:tcPr>
            <w:tcW w:w="601" w:type="dxa"/>
            <w:tcBorders>
              <w:top w:val="nil"/>
              <w:left w:val="nil"/>
              <w:bottom w:val="nil"/>
              <w:right w:val="nil"/>
            </w:tcBorders>
            <w:shd w:val="clear" w:color="000000" w:fill="FFFFFF"/>
            <w:noWrap/>
          </w:tcPr>
          <w:p w14:paraId="49FA0904" w14:textId="77777777" w:rsidR="00F753E8" w:rsidRPr="00C20D0B" w:rsidRDefault="00F753E8" w:rsidP="006E1769">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1838ADE1" w14:textId="77777777" w:rsidR="00F753E8" w:rsidRPr="007771B5" w:rsidRDefault="00F753E8" w:rsidP="006E1769">
            <w:pPr>
              <w:jc w:val="right"/>
              <w:rPr>
                <w:rFonts w:ascii="Arial" w:hAnsi="Arial" w:cs="Arial"/>
                <w:b/>
                <w:bCs/>
                <w:sz w:val="22"/>
                <w:szCs w:val="22"/>
              </w:rPr>
            </w:pPr>
            <w:r w:rsidRPr="007771B5">
              <w:rPr>
                <w:rFonts w:ascii="Arial" w:hAnsi="Arial" w:cs="Arial"/>
                <w:b/>
                <w:bCs/>
              </w:rPr>
              <w:t xml:space="preserve"> 2,2</w:t>
            </w:r>
            <w:r>
              <w:rPr>
                <w:rFonts w:ascii="Arial" w:hAnsi="Arial" w:cs="Arial"/>
                <w:b/>
                <w:bCs/>
              </w:rPr>
              <w:t>75</w:t>
            </w:r>
            <w:r w:rsidRPr="007771B5">
              <w:rPr>
                <w:rFonts w:ascii="Arial" w:hAnsi="Arial" w:cs="Arial"/>
                <w:b/>
                <w:bCs/>
              </w:rPr>
              <w:t xml:space="preserve"> </w:t>
            </w:r>
          </w:p>
        </w:tc>
      </w:tr>
      <w:tr w:rsidR="00F753E8" w:rsidRPr="00B64150" w14:paraId="4DCCA21A" w14:textId="77777777" w:rsidTr="006E1769">
        <w:trPr>
          <w:trHeight w:val="129"/>
          <w:jc w:val="center"/>
        </w:trPr>
        <w:tc>
          <w:tcPr>
            <w:tcW w:w="6715" w:type="dxa"/>
            <w:gridSpan w:val="2"/>
            <w:tcBorders>
              <w:top w:val="nil"/>
              <w:left w:val="nil"/>
              <w:bottom w:val="nil"/>
              <w:right w:val="nil"/>
            </w:tcBorders>
            <w:shd w:val="clear" w:color="000000" w:fill="FFFFFF"/>
            <w:noWrap/>
            <w:vAlign w:val="bottom"/>
          </w:tcPr>
          <w:p w14:paraId="51261FF5" w14:textId="77777777" w:rsidR="00F753E8" w:rsidRPr="008A0A4E" w:rsidRDefault="00F753E8" w:rsidP="006E1769">
            <w:pPr>
              <w:ind w:left="318" w:firstLine="278"/>
              <w:rPr>
                <w:rFonts w:ascii="Arial" w:hAnsi="Arial" w:cs="Arial"/>
                <w:color w:val="000000"/>
                <w:sz w:val="22"/>
                <w:szCs w:val="22"/>
              </w:rPr>
            </w:pPr>
            <w:r w:rsidRPr="008A0A4E">
              <w:rPr>
                <w:rFonts w:ascii="Arial" w:hAnsi="Arial" w:cs="Arial"/>
                <w:color w:val="000000"/>
                <w:sz w:val="22"/>
                <w:szCs w:val="22"/>
              </w:rPr>
              <w:t>Interest - Manager's Cash</w:t>
            </w:r>
          </w:p>
        </w:tc>
        <w:tc>
          <w:tcPr>
            <w:tcW w:w="1635" w:type="dxa"/>
            <w:tcBorders>
              <w:top w:val="nil"/>
              <w:left w:val="nil"/>
              <w:bottom w:val="nil"/>
              <w:right w:val="nil"/>
            </w:tcBorders>
            <w:shd w:val="clear" w:color="000000" w:fill="FFFFFF"/>
          </w:tcPr>
          <w:p w14:paraId="3EA4E0E1" w14:textId="77777777" w:rsidR="00F753E8" w:rsidRPr="00C20D0B" w:rsidRDefault="00F753E8" w:rsidP="006E1769">
            <w:pPr>
              <w:jc w:val="right"/>
              <w:rPr>
                <w:rFonts w:ascii="Arial" w:hAnsi="Arial" w:cs="Arial"/>
                <w:bCs/>
                <w:color w:val="000000"/>
                <w:sz w:val="22"/>
                <w:szCs w:val="22"/>
              </w:rPr>
            </w:pPr>
            <w:r w:rsidRPr="00C20D0B">
              <w:rPr>
                <w:rFonts w:ascii="Arial" w:hAnsi="Arial" w:cs="Arial"/>
                <w:sz w:val="22"/>
                <w:szCs w:val="22"/>
              </w:rPr>
              <w:t>136</w:t>
            </w:r>
          </w:p>
        </w:tc>
        <w:tc>
          <w:tcPr>
            <w:tcW w:w="601" w:type="dxa"/>
            <w:tcBorders>
              <w:top w:val="nil"/>
              <w:left w:val="nil"/>
              <w:bottom w:val="nil"/>
              <w:right w:val="nil"/>
            </w:tcBorders>
            <w:shd w:val="clear" w:color="000000" w:fill="FFFFFF"/>
            <w:noWrap/>
          </w:tcPr>
          <w:p w14:paraId="565400A3" w14:textId="77777777" w:rsidR="00F753E8" w:rsidRPr="00C20D0B" w:rsidRDefault="00F753E8" w:rsidP="006E1769">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6FA95271" w14:textId="77777777" w:rsidR="00F753E8" w:rsidRPr="007771B5" w:rsidRDefault="00F753E8" w:rsidP="006E1769">
            <w:pPr>
              <w:jc w:val="right"/>
              <w:rPr>
                <w:rFonts w:ascii="Arial" w:hAnsi="Arial" w:cs="Arial"/>
                <w:b/>
                <w:bCs/>
                <w:sz w:val="22"/>
                <w:szCs w:val="22"/>
              </w:rPr>
            </w:pPr>
            <w:r w:rsidRPr="007771B5">
              <w:rPr>
                <w:rFonts w:ascii="Arial" w:hAnsi="Arial" w:cs="Arial"/>
                <w:b/>
                <w:bCs/>
              </w:rPr>
              <w:t xml:space="preserve"> 825 </w:t>
            </w:r>
          </w:p>
        </w:tc>
      </w:tr>
      <w:tr w:rsidR="00F753E8" w:rsidRPr="00B64150" w14:paraId="50F2FEB3" w14:textId="77777777" w:rsidTr="006E1769">
        <w:trPr>
          <w:trHeight w:val="129"/>
          <w:jc w:val="center"/>
        </w:trPr>
        <w:tc>
          <w:tcPr>
            <w:tcW w:w="6715" w:type="dxa"/>
            <w:gridSpan w:val="2"/>
            <w:tcBorders>
              <w:top w:val="nil"/>
              <w:left w:val="nil"/>
              <w:bottom w:val="nil"/>
              <w:right w:val="nil"/>
            </w:tcBorders>
            <w:shd w:val="clear" w:color="000000" w:fill="FFFFFF"/>
            <w:noWrap/>
            <w:vAlign w:val="bottom"/>
          </w:tcPr>
          <w:p w14:paraId="3E738C66" w14:textId="77777777" w:rsidR="00F753E8" w:rsidRPr="008A0A4E" w:rsidRDefault="00F753E8" w:rsidP="006E1769">
            <w:pPr>
              <w:ind w:left="318" w:firstLine="278"/>
              <w:rPr>
                <w:rFonts w:ascii="Arial" w:hAnsi="Arial" w:cs="Arial"/>
                <w:color w:val="000000"/>
                <w:sz w:val="22"/>
                <w:szCs w:val="22"/>
              </w:rPr>
            </w:pPr>
            <w:r w:rsidRPr="008A0A4E">
              <w:rPr>
                <w:rFonts w:ascii="Arial" w:hAnsi="Arial" w:cs="Arial"/>
                <w:color w:val="000000"/>
                <w:sz w:val="22"/>
                <w:szCs w:val="22"/>
              </w:rPr>
              <w:t>Interest - LBBD balance</w:t>
            </w:r>
          </w:p>
        </w:tc>
        <w:tc>
          <w:tcPr>
            <w:tcW w:w="1635" w:type="dxa"/>
            <w:tcBorders>
              <w:top w:val="nil"/>
              <w:left w:val="nil"/>
              <w:bottom w:val="nil"/>
              <w:right w:val="nil"/>
            </w:tcBorders>
            <w:shd w:val="clear" w:color="000000" w:fill="FFFFFF"/>
          </w:tcPr>
          <w:p w14:paraId="71DDED6F" w14:textId="77777777" w:rsidR="00F753E8" w:rsidRPr="00C20D0B" w:rsidRDefault="00F753E8" w:rsidP="006E1769">
            <w:pPr>
              <w:jc w:val="right"/>
              <w:rPr>
                <w:rFonts w:ascii="Arial" w:hAnsi="Arial" w:cs="Arial"/>
                <w:bCs/>
                <w:color w:val="000000"/>
                <w:sz w:val="22"/>
                <w:szCs w:val="22"/>
              </w:rPr>
            </w:pPr>
            <w:r w:rsidRPr="00C20D0B">
              <w:rPr>
                <w:rFonts w:ascii="Arial" w:hAnsi="Arial" w:cs="Arial"/>
                <w:sz w:val="22"/>
                <w:szCs w:val="22"/>
              </w:rPr>
              <w:t>22</w:t>
            </w:r>
          </w:p>
        </w:tc>
        <w:tc>
          <w:tcPr>
            <w:tcW w:w="601" w:type="dxa"/>
            <w:tcBorders>
              <w:top w:val="nil"/>
              <w:left w:val="nil"/>
              <w:bottom w:val="nil"/>
              <w:right w:val="nil"/>
            </w:tcBorders>
            <w:shd w:val="clear" w:color="000000" w:fill="FFFFFF"/>
            <w:noWrap/>
          </w:tcPr>
          <w:p w14:paraId="69EAA6FE" w14:textId="77777777" w:rsidR="00F753E8" w:rsidRPr="00C20D0B" w:rsidRDefault="00F753E8" w:rsidP="006E1769">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6A155F39" w14:textId="77777777" w:rsidR="00F753E8" w:rsidRPr="007771B5" w:rsidRDefault="00F753E8" w:rsidP="006E1769">
            <w:pPr>
              <w:jc w:val="right"/>
              <w:rPr>
                <w:rFonts w:ascii="Arial" w:hAnsi="Arial" w:cs="Arial"/>
                <w:b/>
                <w:bCs/>
                <w:sz w:val="22"/>
                <w:szCs w:val="22"/>
              </w:rPr>
            </w:pPr>
            <w:r w:rsidRPr="007771B5">
              <w:rPr>
                <w:rFonts w:ascii="Arial" w:hAnsi="Arial" w:cs="Arial"/>
                <w:b/>
                <w:bCs/>
              </w:rPr>
              <w:t xml:space="preserve"> 1 </w:t>
            </w:r>
          </w:p>
        </w:tc>
      </w:tr>
      <w:tr w:rsidR="00F753E8" w:rsidRPr="00B64150" w14:paraId="00DDE3B5" w14:textId="77777777" w:rsidTr="006E1769">
        <w:trPr>
          <w:trHeight w:val="129"/>
          <w:jc w:val="center"/>
        </w:trPr>
        <w:tc>
          <w:tcPr>
            <w:tcW w:w="6715" w:type="dxa"/>
            <w:gridSpan w:val="2"/>
            <w:tcBorders>
              <w:top w:val="nil"/>
              <w:left w:val="nil"/>
              <w:bottom w:val="nil"/>
              <w:right w:val="nil"/>
            </w:tcBorders>
            <w:shd w:val="clear" w:color="000000" w:fill="FFFFFF"/>
            <w:noWrap/>
            <w:vAlign w:val="bottom"/>
          </w:tcPr>
          <w:p w14:paraId="1521EF93" w14:textId="77777777" w:rsidR="00F753E8" w:rsidRPr="008A0A4E" w:rsidRDefault="00F753E8" w:rsidP="006E1769">
            <w:pPr>
              <w:ind w:left="318" w:firstLine="278"/>
              <w:rPr>
                <w:rFonts w:ascii="Arial" w:hAnsi="Arial" w:cs="Arial"/>
                <w:color w:val="000000"/>
                <w:sz w:val="22"/>
                <w:szCs w:val="22"/>
              </w:rPr>
            </w:pPr>
            <w:r w:rsidRPr="008A0A4E">
              <w:rPr>
                <w:rFonts w:ascii="Arial" w:hAnsi="Arial" w:cs="Arial"/>
                <w:color w:val="000000"/>
                <w:sz w:val="22"/>
                <w:szCs w:val="22"/>
              </w:rPr>
              <w:t>Other Income</w:t>
            </w:r>
          </w:p>
        </w:tc>
        <w:tc>
          <w:tcPr>
            <w:tcW w:w="1635" w:type="dxa"/>
            <w:tcBorders>
              <w:top w:val="nil"/>
              <w:left w:val="nil"/>
              <w:bottom w:val="nil"/>
              <w:right w:val="nil"/>
            </w:tcBorders>
            <w:shd w:val="clear" w:color="000000" w:fill="FFFFFF"/>
          </w:tcPr>
          <w:p w14:paraId="51F08603" w14:textId="77777777" w:rsidR="00F753E8" w:rsidRPr="00C20D0B" w:rsidRDefault="00F753E8" w:rsidP="006E1769">
            <w:pPr>
              <w:jc w:val="right"/>
              <w:rPr>
                <w:rFonts w:ascii="Arial" w:hAnsi="Arial" w:cs="Arial"/>
                <w:bCs/>
                <w:color w:val="000000"/>
                <w:sz w:val="22"/>
                <w:szCs w:val="22"/>
              </w:rPr>
            </w:pPr>
            <w:r w:rsidRPr="00C20D0B">
              <w:rPr>
                <w:rFonts w:ascii="Arial" w:hAnsi="Arial" w:cs="Arial"/>
                <w:sz w:val="22"/>
                <w:szCs w:val="22"/>
              </w:rPr>
              <w:t>300</w:t>
            </w:r>
          </w:p>
        </w:tc>
        <w:tc>
          <w:tcPr>
            <w:tcW w:w="601" w:type="dxa"/>
            <w:tcBorders>
              <w:top w:val="nil"/>
              <w:left w:val="nil"/>
              <w:bottom w:val="nil"/>
              <w:right w:val="nil"/>
            </w:tcBorders>
            <w:shd w:val="clear" w:color="000000" w:fill="FFFFFF"/>
            <w:noWrap/>
          </w:tcPr>
          <w:p w14:paraId="1351EFFE" w14:textId="77777777" w:rsidR="00F753E8" w:rsidRPr="00C20D0B" w:rsidRDefault="00F753E8" w:rsidP="006E1769">
            <w:pPr>
              <w:ind w:left="318"/>
              <w:jc w:val="right"/>
              <w:rPr>
                <w:rFonts w:ascii="Arial" w:hAnsi="Arial" w:cs="Arial"/>
                <w:color w:val="000000"/>
                <w:sz w:val="22"/>
                <w:szCs w:val="22"/>
              </w:rPr>
            </w:pPr>
          </w:p>
        </w:tc>
        <w:tc>
          <w:tcPr>
            <w:tcW w:w="1315" w:type="dxa"/>
            <w:tcBorders>
              <w:top w:val="nil"/>
              <w:left w:val="nil"/>
              <w:bottom w:val="nil"/>
              <w:right w:val="nil"/>
            </w:tcBorders>
            <w:shd w:val="clear" w:color="000000" w:fill="FFFFFF"/>
            <w:noWrap/>
          </w:tcPr>
          <w:p w14:paraId="4970A104" w14:textId="77777777" w:rsidR="00F753E8" w:rsidRPr="007771B5" w:rsidRDefault="00F753E8" w:rsidP="006E1769">
            <w:pPr>
              <w:jc w:val="right"/>
              <w:rPr>
                <w:rFonts w:ascii="Arial" w:hAnsi="Arial" w:cs="Arial"/>
                <w:b/>
                <w:bCs/>
                <w:sz w:val="22"/>
                <w:szCs w:val="22"/>
              </w:rPr>
            </w:pPr>
            <w:r w:rsidRPr="007771B5">
              <w:rPr>
                <w:rFonts w:ascii="Arial" w:hAnsi="Arial" w:cs="Arial"/>
                <w:b/>
                <w:bCs/>
              </w:rPr>
              <w:t xml:space="preserve"> 1 </w:t>
            </w:r>
          </w:p>
        </w:tc>
      </w:tr>
      <w:tr w:rsidR="00F753E8" w:rsidRPr="00B64150" w14:paraId="6A3DDF6D" w14:textId="77777777" w:rsidTr="006E1769">
        <w:trPr>
          <w:trHeight w:val="85"/>
          <w:jc w:val="center"/>
        </w:trPr>
        <w:tc>
          <w:tcPr>
            <w:tcW w:w="6715" w:type="dxa"/>
            <w:gridSpan w:val="2"/>
            <w:tcBorders>
              <w:top w:val="nil"/>
              <w:left w:val="nil"/>
              <w:bottom w:val="nil"/>
              <w:right w:val="nil"/>
            </w:tcBorders>
            <w:shd w:val="clear" w:color="000000" w:fill="FFFFFF"/>
            <w:noWrap/>
            <w:vAlign w:val="bottom"/>
          </w:tcPr>
          <w:p w14:paraId="5B7554A5" w14:textId="77777777" w:rsidR="00F753E8" w:rsidRPr="008A0A4E" w:rsidRDefault="00F753E8" w:rsidP="006E1769">
            <w:pPr>
              <w:rPr>
                <w:rFonts w:ascii="Arial" w:hAnsi="Arial" w:cs="Arial"/>
                <w:color w:val="000000"/>
                <w:sz w:val="22"/>
                <w:szCs w:val="22"/>
              </w:rPr>
            </w:pPr>
          </w:p>
        </w:tc>
        <w:tc>
          <w:tcPr>
            <w:tcW w:w="1635" w:type="dxa"/>
            <w:tcBorders>
              <w:top w:val="single" w:sz="8" w:space="0" w:color="auto"/>
              <w:left w:val="nil"/>
              <w:bottom w:val="double" w:sz="6" w:space="0" w:color="auto"/>
              <w:right w:val="nil"/>
            </w:tcBorders>
            <w:shd w:val="clear" w:color="000000" w:fill="FFFFFF"/>
          </w:tcPr>
          <w:p w14:paraId="3F3D1921" w14:textId="77777777" w:rsidR="00F753E8" w:rsidRPr="00C20D0B" w:rsidRDefault="00F753E8" w:rsidP="006E1769">
            <w:pPr>
              <w:jc w:val="right"/>
              <w:rPr>
                <w:rFonts w:ascii="Arial" w:hAnsi="Arial" w:cs="Arial"/>
                <w:bCs/>
                <w:color w:val="000000"/>
                <w:sz w:val="22"/>
                <w:szCs w:val="22"/>
              </w:rPr>
            </w:pPr>
            <w:r w:rsidRPr="00C20D0B">
              <w:rPr>
                <w:rFonts w:ascii="Arial" w:hAnsi="Arial" w:cs="Arial"/>
                <w:sz w:val="22"/>
                <w:szCs w:val="22"/>
              </w:rPr>
              <w:t>12,600</w:t>
            </w:r>
          </w:p>
        </w:tc>
        <w:tc>
          <w:tcPr>
            <w:tcW w:w="601" w:type="dxa"/>
            <w:tcBorders>
              <w:top w:val="nil"/>
              <w:left w:val="nil"/>
              <w:bottom w:val="nil"/>
              <w:right w:val="nil"/>
            </w:tcBorders>
            <w:shd w:val="clear" w:color="000000" w:fill="FFFFFF"/>
            <w:noWrap/>
          </w:tcPr>
          <w:p w14:paraId="25F9EE77" w14:textId="77777777" w:rsidR="00F753E8" w:rsidRPr="00C20D0B" w:rsidRDefault="00F753E8" w:rsidP="006E1769">
            <w:pPr>
              <w:ind w:left="318"/>
              <w:rPr>
                <w:rFonts w:ascii="Arial" w:hAnsi="Arial" w:cs="Arial"/>
                <w:color w:val="000000"/>
                <w:sz w:val="22"/>
                <w:szCs w:val="22"/>
              </w:rPr>
            </w:pPr>
          </w:p>
        </w:tc>
        <w:tc>
          <w:tcPr>
            <w:tcW w:w="1315" w:type="dxa"/>
            <w:tcBorders>
              <w:top w:val="single" w:sz="8" w:space="0" w:color="auto"/>
              <w:left w:val="nil"/>
              <w:bottom w:val="double" w:sz="6" w:space="0" w:color="auto"/>
              <w:right w:val="nil"/>
            </w:tcBorders>
            <w:shd w:val="clear" w:color="000000" w:fill="FFFFFF"/>
            <w:noWrap/>
          </w:tcPr>
          <w:p w14:paraId="003E1F28" w14:textId="77777777" w:rsidR="00F753E8" w:rsidRPr="007771B5" w:rsidRDefault="00F753E8" w:rsidP="006E1769">
            <w:pPr>
              <w:jc w:val="right"/>
              <w:rPr>
                <w:rFonts w:ascii="Arial" w:hAnsi="Arial" w:cs="Arial"/>
                <w:b/>
                <w:bCs/>
                <w:sz w:val="22"/>
                <w:szCs w:val="22"/>
              </w:rPr>
            </w:pPr>
            <w:r w:rsidRPr="007771B5">
              <w:rPr>
                <w:rFonts w:ascii="Arial" w:hAnsi="Arial" w:cs="Arial"/>
                <w:b/>
                <w:bCs/>
              </w:rPr>
              <w:t xml:space="preserve"> 1</w:t>
            </w:r>
            <w:r>
              <w:rPr>
                <w:rFonts w:ascii="Arial" w:hAnsi="Arial" w:cs="Arial"/>
                <w:b/>
                <w:bCs/>
              </w:rPr>
              <w:t>6,838</w:t>
            </w:r>
            <w:r w:rsidRPr="007771B5">
              <w:rPr>
                <w:rFonts w:ascii="Arial" w:hAnsi="Arial" w:cs="Arial"/>
                <w:b/>
                <w:bCs/>
              </w:rPr>
              <w:t xml:space="preserve"> </w:t>
            </w:r>
          </w:p>
        </w:tc>
      </w:tr>
    </w:tbl>
    <w:p w14:paraId="72E9C827" w14:textId="77777777" w:rsidR="0077550B" w:rsidRDefault="0077550B" w:rsidP="00F753E8">
      <w:pPr>
        <w:jc w:val="both"/>
        <w:rPr>
          <w:rFonts w:ascii="Arial" w:hAnsi="Arial" w:cs="Arial"/>
        </w:rPr>
      </w:pPr>
    </w:p>
    <w:p w14:paraId="44B88B06" w14:textId="77777777" w:rsidR="0077550B" w:rsidRPr="00072EAC" w:rsidRDefault="0077550B" w:rsidP="00F753E8">
      <w:pPr>
        <w:jc w:val="both"/>
        <w:rPr>
          <w:rFonts w:ascii="Arial" w:hAnsi="Arial" w:cs="Arial"/>
        </w:rPr>
      </w:pPr>
    </w:p>
    <w:p w14:paraId="45A35352" w14:textId="77777777" w:rsidR="00F753E8" w:rsidRDefault="00F753E8" w:rsidP="007337FE">
      <w:pPr>
        <w:pStyle w:val="ListParagraph"/>
        <w:numPr>
          <w:ilvl w:val="0"/>
          <w:numId w:val="90"/>
        </w:numPr>
        <w:spacing w:after="0" w:line="240" w:lineRule="auto"/>
        <w:jc w:val="both"/>
        <w:rPr>
          <w:rFonts w:ascii="Arial" w:hAnsi="Arial" w:cs="Arial"/>
        </w:rPr>
      </w:pPr>
      <w:r w:rsidRPr="007B6CEB">
        <w:rPr>
          <w:rFonts w:ascii="Arial" w:hAnsi="Arial" w:cs="Arial"/>
          <w:b/>
          <w:color w:val="000000"/>
        </w:rPr>
        <w:t>Investments</w:t>
      </w:r>
      <w:r w:rsidRPr="002F56EF">
        <w:rPr>
          <w:rFonts w:ascii="Arial" w:hAnsi="Arial" w:cs="Arial"/>
          <w:b/>
          <w:color w:val="000000"/>
        </w:rPr>
        <w:t xml:space="preserve">: </w:t>
      </w:r>
      <w:r w:rsidRPr="00E31FC5">
        <w:rPr>
          <w:rFonts w:ascii="Arial" w:hAnsi="Arial" w:cs="Arial"/>
        </w:rPr>
        <w:t>The movement in the opening and closing value of investm</w:t>
      </w:r>
      <w:r w:rsidRPr="008A0A4E">
        <w:rPr>
          <w:rFonts w:ascii="Arial" w:hAnsi="Arial" w:cs="Arial"/>
        </w:rPr>
        <w:t>ents during the year, together with related direct transaction costs were as follows:</w:t>
      </w:r>
    </w:p>
    <w:p w14:paraId="25C0416A" w14:textId="77777777" w:rsidR="00F753E8" w:rsidRDefault="00F753E8" w:rsidP="00F753E8">
      <w:pPr>
        <w:pStyle w:val="ListParagraph"/>
        <w:spacing w:after="0" w:line="240" w:lineRule="auto"/>
        <w:ind w:left="360"/>
        <w:jc w:val="both"/>
        <w:rPr>
          <w:rFonts w:ascii="Arial" w:hAnsi="Arial" w:cs="Arial"/>
        </w:rPr>
      </w:pPr>
    </w:p>
    <w:tbl>
      <w:tblPr>
        <w:tblW w:w="11095" w:type="dxa"/>
        <w:jc w:val="center"/>
        <w:tblLook w:val="04A0" w:firstRow="1" w:lastRow="0" w:firstColumn="1" w:lastColumn="0" w:noHBand="0" w:noVBand="1"/>
      </w:tblPr>
      <w:tblGrid>
        <w:gridCol w:w="2262"/>
        <w:gridCol w:w="1371"/>
        <w:gridCol w:w="1329"/>
        <w:gridCol w:w="1706"/>
        <w:gridCol w:w="1371"/>
        <w:gridCol w:w="1407"/>
        <w:gridCol w:w="1649"/>
      </w:tblGrid>
      <w:tr w:rsidR="00F753E8" w:rsidRPr="00B21860" w14:paraId="2748228C" w14:textId="77777777" w:rsidTr="006E1769">
        <w:trPr>
          <w:trHeight w:val="70"/>
          <w:jc w:val="center"/>
        </w:trPr>
        <w:tc>
          <w:tcPr>
            <w:tcW w:w="2262" w:type="dxa"/>
            <w:shd w:val="clear" w:color="FFFFFF" w:fill="FFFFFF"/>
            <w:vAlign w:val="bottom"/>
            <w:hideMark/>
          </w:tcPr>
          <w:p w14:paraId="5B9A4411" w14:textId="77777777" w:rsidR="00F753E8" w:rsidRPr="00B21860" w:rsidRDefault="00F753E8" w:rsidP="006E1769">
            <w:pPr>
              <w:tabs>
                <w:tab w:val="left" w:pos="284"/>
              </w:tabs>
              <w:jc w:val="both"/>
              <w:rPr>
                <w:rFonts w:ascii="Arial" w:hAnsi="Arial" w:cs="Arial"/>
                <w:color w:val="000000"/>
                <w:sz w:val="22"/>
                <w:szCs w:val="22"/>
              </w:rPr>
            </w:pPr>
            <w:r w:rsidRPr="00B21860">
              <w:rPr>
                <w:rFonts w:ascii="Arial" w:hAnsi="Arial" w:cs="Arial"/>
                <w:color w:val="000000"/>
                <w:sz w:val="22"/>
                <w:szCs w:val="22"/>
              </w:rPr>
              <w:t> </w:t>
            </w:r>
          </w:p>
        </w:tc>
        <w:tc>
          <w:tcPr>
            <w:tcW w:w="1371" w:type="dxa"/>
            <w:shd w:val="clear" w:color="FFFFFF" w:fill="FFFFFF"/>
            <w:noWrap/>
            <w:vAlign w:val="bottom"/>
            <w:hideMark/>
          </w:tcPr>
          <w:p w14:paraId="483221BB"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Value</w:t>
            </w:r>
          </w:p>
        </w:tc>
        <w:tc>
          <w:tcPr>
            <w:tcW w:w="1329" w:type="dxa"/>
            <w:shd w:val="clear" w:color="FFFFFF" w:fill="FFFFFF"/>
            <w:noWrap/>
            <w:vAlign w:val="bottom"/>
            <w:hideMark/>
          </w:tcPr>
          <w:p w14:paraId="4644EFCE" w14:textId="77777777" w:rsidR="00F753E8" w:rsidRPr="00B21860" w:rsidRDefault="00F753E8" w:rsidP="006E1769">
            <w:pPr>
              <w:tabs>
                <w:tab w:val="left" w:pos="284"/>
              </w:tabs>
              <w:jc w:val="center"/>
              <w:rPr>
                <w:rFonts w:ascii="Arial" w:hAnsi="Arial" w:cs="Arial"/>
                <w:b/>
                <w:bCs/>
                <w:color w:val="000000"/>
                <w:sz w:val="22"/>
                <w:szCs w:val="22"/>
              </w:rPr>
            </w:pPr>
          </w:p>
        </w:tc>
        <w:tc>
          <w:tcPr>
            <w:tcW w:w="1706" w:type="dxa"/>
            <w:shd w:val="clear" w:color="FFFFFF" w:fill="FFFFFF"/>
            <w:noWrap/>
            <w:vAlign w:val="bottom"/>
            <w:hideMark/>
          </w:tcPr>
          <w:p w14:paraId="5DB088C0" w14:textId="77777777" w:rsidR="00F753E8" w:rsidRPr="00B21860" w:rsidRDefault="00F753E8" w:rsidP="006E1769">
            <w:pPr>
              <w:tabs>
                <w:tab w:val="left" w:pos="284"/>
              </w:tabs>
              <w:jc w:val="center"/>
              <w:rPr>
                <w:rFonts w:ascii="Arial" w:hAnsi="Arial" w:cs="Arial"/>
                <w:b/>
                <w:bCs/>
                <w:color w:val="000000"/>
                <w:sz w:val="22"/>
                <w:szCs w:val="22"/>
              </w:rPr>
            </w:pPr>
          </w:p>
        </w:tc>
        <w:tc>
          <w:tcPr>
            <w:tcW w:w="1371" w:type="dxa"/>
            <w:shd w:val="clear" w:color="FFFFFF" w:fill="FFFFFF"/>
            <w:noWrap/>
            <w:vAlign w:val="bottom"/>
            <w:hideMark/>
          </w:tcPr>
          <w:p w14:paraId="587B2290"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Change in</w:t>
            </w:r>
          </w:p>
        </w:tc>
        <w:tc>
          <w:tcPr>
            <w:tcW w:w="1407" w:type="dxa"/>
            <w:shd w:val="clear" w:color="FFFFFF" w:fill="FFFFFF"/>
            <w:noWrap/>
            <w:vAlign w:val="bottom"/>
            <w:hideMark/>
          </w:tcPr>
          <w:p w14:paraId="06E9CEF9"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Cash</w:t>
            </w:r>
          </w:p>
        </w:tc>
        <w:tc>
          <w:tcPr>
            <w:tcW w:w="1649" w:type="dxa"/>
            <w:shd w:val="clear" w:color="FFFFFF" w:fill="FFFFFF"/>
            <w:noWrap/>
            <w:vAlign w:val="bottom"/>
            <w:hideMark/>
          </w:tcPr>
          <w:p w14:paraId="52B5E612"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Value</w:t>
            </w:r>
          </w:p>
        </w:tc>
      </w:tr>
      <w:tr w:rsidR="00F753E8" w:rsidRPr="00B21860" w14:paraId="498CE2E9" w14:textId="77777777" w:rsidTr="006E1769">
        <w:trPr>
          <w:trHeight w:val="70"/>
          <w:jc w:val="center"/>
        </w:trPr>
        <w:tc>
          <w:tcPr>
            <w:tcW w:w="2262" w:type="dxa"/>
            <w:shd w:val="clear" w:color="FFFFFF" w:fill="FFFFFF"/>
            <w:vAlign w:val="bottom"/>
            <w:hideMark/>
          </w:tcPr>
          <w:p w14:paraId="15621ED1" w14:textId="77777777" w:rsidR="00F753E8" w:rsidRPr="00B21860" w:rsidRDefault="00F753E8" w:rsidP="006E1769">
            <w:pPr>
              <w:tabs>
                <w:tab w:val="left" w:pos="284"/>
              </w:tabs>
              <w:jc w:val="both"/>
              <w:rPr>
                <w:rFonts w:ascii="Arial" w:hAnsi="Arial" w:cs="Arial"/>
                <w:color w:val="000000"/>
                <w:sz w:val="22"/>
                <w:szCs w:val="22"/>
              </w:rPr>
            </w:pPr>
            <w:r w:rsidRPr="00B21860">
              <w:rPr>
                <w:rFonts w:ascii="Arial" w:hAnsi="Arial" w:cs="Arial"/>
                <w:color w:val="000000"/>
                <w:sz w:val="22"/>
                <w:szCs w:val="22"/>
              </w:rPr>
              <w:t> </w:t>
            </w:r>
          </w:p>
        </w:tc>
        <w:tc>
          <w:tcPr>
            <w:tcW w:w="1371" w:type="dxa"/>
            <w:shd w:val="clear" w:color="FFFFFF" w:fill="FFFFFF"/>
            <w:noWrap/>
            <w:vAlign w:val="bottom"/>
            <w:hideMark/>
          </w:tcPr>
          <w:p w14:paraId="7044F61D"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31/03/202</w:t>
            </w:r>
            <w:r>
              <w:rPr>
                <w:rFonts w:ascii="Arial" w:hAnsi="Arial" w:cs="Arial"/>
                <w:b/>
                <w:bCs/>
                <w:color w:val="000000"/>
                <w:sz w:val="22"/>
                <w:szCs w:val="22"/>
              </w:rPr>
              <w:t>1</w:t>
            </w:r>
          </w:p>
        </w:tc>
        <w:tc>
          <w:tcPr>
            <w:tcW w:w="1329" w:type="dxa"/>
            <w:shd w:val="clear" w:color="FFFFFF" w:fill="FFFFFF"/>
            <w:noWrap/>
            <w:vAlign w:val="bottom"/>
            <w:hideMark/>
          </w:tcPr>
          <w:p w14:paraId="20A2AD99"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Purchases</w:t>
            </w:r>
          </w:p>
        </w:tc>
        <w:tc>
          <w:tcPr>
            <w:tcW w:w="1706" w:type="dxa"/>
            <w:shd w:val="clear" w:color="FFFFFF" w:fill="FFFFFF"/>
            <w:noWrap/>
            <w:vAlign w:val="bottom"/>
            <w:hideMark/>
          </w:tcPr>
          <w:p w14:paraId="1BEA9230"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Sales</w:t>
            </w:r>
          </w:p>
        </w:tc>
        <w:tc>
          <w:tcPr>
            <w:tcW w:w="1371" w:type="dxa"/>
            <w:shd w:val="clear" w:color="FFFFFF" w:fill="FFFFFF"/>
            <w:noWrap/>
            <w:vAlign w:val="bottom"/>
            <w:hideMark/>
          </w:tcPr>
          <w:p w14:paraId="10F6F97B"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Fair Value</w:t>
            </w:r>
          </w:p>
        </w:tc>
        <w:tc>
          <w:tcPr>
            <w:tcW w:w="1407" w:type="dxa"/>
            <w:shd w:val="clear" w:color="FFFFFF" w:fill="FFFFFF"/>
            <w:noWrap/>
            <w:vAlign w:val="bottom"/>
            <w:hideMark/>
          </w:tcPr>
          <w:p w14:paraId="6DCDA671"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Movement</w:t>
            </w:r>
          </w:p>
        </w:tc>
        <w:tc>
          <w:tcPr>
            <w:tcW w:w="1649" w:type="dxa"/>
            <w:shd w:val="clear" w:color="FFFFFF" w:fill="FFFFFF"/>
            <w:noWrap/>
            <w:vAlign w:val="bottom"/>
            <w:hideMark/>
          </w:tcPr>
          <w:p w14:paraId="05773730" w14:textId="77777777" w:rsidR="00F753E8" w:rsidRPr="00B21860" w:rsidRDefault="00F753E8" w:rsidP="006E1769">
            <w:pPr>
              <w:tabs>
                <w:tab w:val="left" w:pos="284"/>
              </w:tabs>
              <w:jc w:val="center"/>
              <w:rPr>
                <w:rFonts w:ascii="Arial" w:hAnsi="Arial" w:cs="Arial"/>
                <w:b/>
                <w:bCs/>
                <w:color w:val="000000"/>
                <w:sz w:val="22"/>
                <w:szCs w:val="22"/>
              </w:rPr>
            </w:pPr>
            <w:r w:rsidRPr="00B21860">
              <w:rPr>
                <w:rFonts w:ascii="Arial" w:hAnsi="Arial" w:cs="Arial"/>
                <w:b/>
                <w:bCs/>
                <w:color w:val="000000"/>
                <w:sz w:val="22"/>
                <w:szCs w:val="22"/>
              </w:rPr>
              <w:t>31/03/202</w:t>
            </w:r>
            <w:r>
              <w:rPr>
                <w:rFonts w:ascii="Arial" w:hAnsi="Arial" w:cs="Arial"/>
                <w:b/>
                <w:bCs/>
                <w:color w:val="000000"/>
                <w:sz w:val="22"/>
                <w:szCs w:val="22"/>
              </w:rPr>
              <w:t>2</w:t>
            </w:r>
          </w:p>
        </w:tc>
      </w:tr>
      <w:tr w:rsidR="00F753E8" w:rsidRPr="00B21860" w14:paraId="096EEE81" w14:textId="77777777" w:rsidTr="006E1769">
        <w:trPr>
          <w:trHeight w:val="70"/>
          <w:jc w:val="center"/>
        </w:trPr>
        <w:tc>
          <w:tcPr>
            <w:tcW w:w="2262" w:type="dxa"/>
            <w:shd w:val="clear" w:color="FFFFFF" w:fill="FFFFFF"/>
            <w:vAlign w:val="bottom"/>
            <w:hideMark/>
          </w:tcPr>
          <w:p w14:paraId="3CE9E082" w14:textId="77777777" w:rsidR="00F753E8" w:rsidRPr="00B21860" w:rsidRDefault="00F753E8" w:rsidP="006E1769">
            <w:pPr>
              <w:tabs>
                <w:tab w:val="left" w:pos="284"/>
              </w:tabs>
              <w:jc w:val="both"/>
              <w:rPr>
                <w:rFonts w:ascii="Arial" w:hAnsi="Arial" w:cs="Arial"/>
                <w:color w:val="000000"/>
                <w:sz w:val="22"/>
                <w:szCs w:val="22"/>
              </w:rPr>
            </w:pPr>
            <w:r w:rsidRPr="00B21860">
              <w:rPr>
                <w:rFonts w:ascii="Arial" w:hAnsi="Arial" w:cs="Arial"/>
                <w:color w:val="000000"/>
                <w:sz w:val="22"/>
                <w:szCs w:val="22"/>
              </w:rPr>
              <w:t> </w:t>
            </w:r>
          </w:p>
        </w:tc>
        <w:tc>
          <w:tcPr>
            <w:tcW w:w="1371" w:type="dxa"/>
            <w:shd w:val="clear" w:color="FFFFFF" w:fill="FFFFFF"/>
            <w:noWrap/>
            <w:vAlign w:val="bottom"/>
            <w:hideMark/>
          </w:tcPr>
          <w:p w14:paraId="7356A939" w14:textId="77777777" w:rsidR="00F753E8" w:rsidRPr="00B21860" w:rsidRDefault="00F753E8" w:rsidP="006E1769">
            <w:pPr>
              <w:tabs>
                <w:tab w:val="left" w:pos="284"/>
              </w:tabs>
              <w:jc w:val="center"/>
              <w:rPr>
                <w:rFonts w:ascii="Arial" w:hAnsi="Arial" w:cs="Arial"/>
                <w:b/>
                <w:bCs/>
                <w:color w:val="000000"/>
                <w:sz w:val="22"/>
                <w:szCs w:val="22"/>
              </w:rPr>
            </w:pPr>
            <w:r w:rsidRPr="00387917">
              <w:rPr>
                <w:rFonts w:ascii="Arial" w:hAnsi="Arial" w:cs="Arial"/>
                <w:b/>
                <w:color w:val="000000"/>
                <w:sz w:val="22"/>
                <w:szCs w:val="22"/>
              </w:rPr>
              <w:t>£000</w:t>
            </w:r>
          </w:p>
        </w:tc>
        <w:tc>
          <w:tcPr>
            <w:tcW w:w="1329" w:type="dxa"/>
            <w:shd w:val="clear" w:color="FFFFFF" w:fill="FFFFFF"/>
            <w:noWrap/>
            <w:vAlign w:val="bottom"/>
            <w:hideMark/>
          </w:tcPr>
          <w:p w14:paraId="5EA6F348" w14:textId="77777777" w:rsidR="00F753E8" w:rsidRPr="00B21860" w:rsidRDefault="00F753E8" w:rsidP="006E1769">
            <w:pPr>
              <w:tabs>
                <w:tab w:val="left" w:pos="284"/>
              </w:tabs>
              <w:jc w:val="center"/>
              <w:rPr>
                <w:rFonts w:ascii="Arial" w:hAnsi="Arial" w:cs="Arial"/>
                <w:b/>
                <w:bCs/>
                <w:color w:val="000000"/>
                <w:sz w:val="22"/>
                <w:szCs w:val="22"/>
              </w:rPr>
            </w:pPr>
            <w:r w:rsidRPr="00387917">
              <w:rPr>
                <w:rFonts w:ascii="Arial" w:hAnsi="Arial" w:cs="Arial"/>
                <w:b/>
                <w:color w:val="000000"/>
                <w:sz w:val="22"/>
                <w:szCs w:val="22"/>
              </w:rPr>
              <w:t>£000</w:t>
            </w:r>
          </w:p>
        </w:tc>
        <w:tc>
          <w:tcPr>
            <w:tcW w:w="1706" w:type="dxa"/>
            <w:shd w:val="clear" w:color="FFFFFF" w:fill="FFFFFF"/>
            <w:noWrap/>
            <w:vAlign w:val="bottom"/>
            <w:hideMark/>
          </w:tcPr>
          <w:p w14:paraId="45CFE97F" w14:textId="77777777" w:rsidR="00F753E8" w:rsidRPr="00B21860" w:rsidRDefault="00F753E8" w:rsidP="006E1769">
            <w:pPr>
              <w:tabs>
                <w:tab w:val="left" w:pos="284"/>
              </w:tabs>
              <w:jc w:val="center"/>
              <w:rPr>
                <w:rFonts w:ascii="Arial" w:hAnsi="Arial" w:cs="Arial"/>
                <w:b/>
                <w:bCs/>
                <w:color w:val="000000"/>
                <w:sz w:val="22"/>
                <w:szCs w:val="22"/>
              </w:rPr>
            </w:pPr>
            <w:r w:rsidRPr="00387917">
              <w:rPr>
                <w:rFonts w:ascii="Arial" w:hAnsi="Arial" w:cs="Arial"/>
                <w:b/>
                <w:color w:val="000000"/>
                <w:sz w:val="22"/>
                <w:szCs w:val="22"/>
              </w:rPr>
              <w:t>£000</w:t>
            </w:r>
          </w:p>
        </w:tc>
        <w:tc>
          <w:tcPr>
            <w:tcW w:w="1371" w:type="dxa"/>
            <w:shd w:val="clear" w:color="FFFFFF" w:fill="FFFFFF"/>
            <w:noWrap/>
            <w:vAlign w:val="bottom"/>
            <w:hideMark/>
          </w:tcPr>
          <w:p w14:paraId="543D8CE5" w14:textId="77777777" w:rsidR="00F753E8" w:rsidRPr="00B21860" w:rsidRDefault="00F753E8" w:rsidP="006E1769">
            <w:pPr>
              <w:tabs>
                <w:tab w:val="left" w:pos="284"/>
              </w:tabs>
              <w:jc w:val="center"/>
              <w:rPr>
                <w:rFonts w:ascii="Arial" w:hAnsi="Arial" w:cs="Arial"/>
                <w:b/>
                <w:bCs/>
                <w:color w:val="000000"/>
                <w:sz w:val="22"/>
                <w:szCs w:val="22"/>
              </w:rPr>
            </w:pPr>
            <w:r w:rsidRPr="00387917">
              <w:rPr>
                <w:rFonts w:ascii="Arial" w:hAnsi="Arial" w:cs="Arial"/>
                <w:b/>
                <w:color w:val="000000"/>
                <w:sz w:val="22"/>
                <w:szCs w:val="22"/>
              </w:rPr>
              <w:t>£000</w:t>
            </w:r>
          </w:p>
        </w:tc>
        <w:tc>
          <w:tcPr>
            <w:tcW w:w="1407" w:type="dxa"/>
            <w:shd w:val="clear" w:color="FFFFFF" w:fill="FFFFFF"/>
            <w:noWrap/>
            <w:vAlign w:val="bottom"/>
            <w:hideMark/>
          </w:tcPr>
          <w:p w14:paraId="58530C46" w14:textId="77777777" w:rsidR="00F753E8" w:rsidRPr="00B21860" w:rsidRDefault="00F753E8" w:rsidP="006E1769">
            <w:pPr>
              <w:tabs>
                <w:tab w:val="left" w:pos="284"/>
              </w:tabs>
              <w:jc w:val="center"/>
              <w:rPr>
                <w:rFonts w:ascii="Arial" w:hAnsi="Arial" w:cs="Arial"/>
                <w:b/>
                <w:bCs/>
                <w:color w:val="000000"/>
                <w:sz w:val="22"/>
                <w:szCs w:val="22"/>
              </w:rPr>
            </w:pPr>
            <w:r w:rsidRPr="00387917">
              <w:rPr>
                <w:rFonts w:ascii="Arial" w:hAnsi="Arial" w:cs="Arial"/>
                <w:b/>
                <w:color w:val="000000"/>
                <w:sz w:val="22"/>
                <w:szCs w:val="22"/>
              </w:rPr>
              <w:t>£000</w:t>
            </w:r>
          </w:p>
        </w:tc>
        <w:tc>
          <w:tcPr>
            <w:tcW w:w="1649" w:type="dxa"/>
            <w:shd w:val="clear" w:color="FFFFFF" w:fill="FFFFFF"/>
            <w:noWrap/>
            <w:vAlign w:val="bottom"/>
            <w:hideMark/>
          </w:tcPr>
          <w:p w14:paraId="050AC687" w14:textId="77777777" w:rsidR="00F753E8" w:rsidRPr="00B21860" w:rsidRDefault="00F753E8" w:rsidP="006E1769">
            <w:pPr>
              <w:tabs>
                <w:tab w:val="left" w:pos="284"/>
              </w:tabs>
              <w:jc w:val="center"/>
              <w:rPr>
                <w:rFonts w:ascii="Arial" w:hAnsi="Arial" w:cs="Arial"/>
                <w:b/>
                <w:bCs/>
                <w:color w:val="000000"/>
                <w:sz w:val="22"/>
                <w:szCs w:val="22"/>
              </w:rPr>
            </w:pPr>
            <w:r w:rsidRPr="00387917">
              <w:rPr>
                <w:rFonts w:ascii="Arial" w:hAnsi="Arial" w:cs="Arial"/>
                <w:b/>
                <w:color w:val="000000"/>
                <w:sz w:val="22"/>
                <w:szCs w:val="22"/>
              </w:rPr>
              <w:t>£000</w:t>
            </w:r>
          </w:p>
        </w:tc>
      </w:tr>
      <w:tr w:rsidR="00F753E8" w:rsidRPr="00B21860" w14:paraId="39D7A837" w14:textId="77777777" w:rsidTr="006E1769">
        <w:trPr>
          <w:trHeight w:val="70"/>
          <w:jc w:val="center"/>
        </w:trPr>
        <w:tc>
          <w:tcPr>
            <w:tcW w:w="2262" w:type="dxa"/>
            <w:shd w:val="clear" w:color="FFFFFF" w:fill="FFFFFF"/>
            <w:hideMark/>
          </w:tcPr>
          <w:p w14:paraId="7FC08CF2"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Pooled Unit Trusts</w:t>
            </w:r>
          </w:p>
        </w:tc>
        <w:tc>
          <w:tcPr>
            <w:tcW w:w="1371" w:type="dxa"/>
            <w:shd w:val="clear" w:color="FFFFFF" w:fill="FFFFFF"/>
            <w:noWrap/>
            <w:hideMark/>
          </w:tcPr>
          <w:p w14:paraId="18EC2810"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1,041,546</w:t>
            </w:r>
          </w:p>
        </w:tc>
        <w:tc>
          <w:tcPr>
            <w:tcW w:w="1329" w:type="dxa"/>
            <w:shd w:val="clear" w:color="FFFFFF" w:fill="FFFFFF"/>
            <w:noWrap/>
            <w:hideMark/>
          </w:tcPr>
          <w:p w14:paraId="36C9A2F0"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6,676 </w:t>
            </w:r>
          </w:p>
        </w:tc>
        <w:tc>
          <w:tcPr>
            <w:tcW w:w="1706" w:type="dxa"/>
            <w:shd w:val="clear" w:color="FFFFFF" w:fill="FFFFFF"/>
            <w:noWrap/>
            <w:hideMark/>
          </w:tcPr>
          <w:p w14:paraId="707CA2B5"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shd w:val="clear" w:color="FFFFFF" w:fill="FFFFFF"/>
            <w:noWrap/>
            <w:hideMark/>
          </w:tcPr>
          <w:p w14:paraId="787AEB91"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22,063</w:t>
            </w:r>
          </w:p>
        </w:tc>
        <w:tc>
          <w:tcPr>
            <w:tcW w:w="1407" w:type="dxa"/>
            <w:shd w:val="clear" w:color="FFFFFF" w:fill="FFFFFF"/>
            <w:noWrap/>
            <w:hideMark/>
          </w:tcPr>
          <w:p w14:paraId="1EAC1695"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4AEB242D"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1,070,285 </w:t>
            </w:r>
          </w:p>
        </w:tc>
      </w:tr>
      <w:tr w:rsidR="00F753E8" w:rsidRPr="00B21860" w14:paraId="70039BBB" w14:textId="77777777" w:rsidTr="006E1769">
        <w:trPr>
          <w:trHeight w:val="70"/>
          <w:jc w:val="center"/>
        </w:trPr>
        <w:tc>
          <w:tcPr>
            <w:tcW w:w="2262" w:type="dxa"/>
            <w:shd w:val="clear" w:color="FFFFFF" w:fill="FFFFFF"/>
            <w:hideMark/>
          </w:tcPr>
          <w:p w14:paraId="215D25F7"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Property Unit Trusts</w:t>
            </w:r>
          </w:p>
        </w:tc>
        <w:tc>
          <w:tcPr>
            <w:tcW w:w="1371" w:type="dxa"/>
            <w:shd w:val="clear" w:color="FFFFFF" w:fill="FFFFFF"/>
            <w:noWrap/>
            <w:hideMark/>
          </w:tcPr>
          <w:p w14:paraId="0D86425C"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60,250</w:t>
            </w:r>
          </w:p>
        </w:tc>
        <w:tc>
          <w:tcPr>
            <w:tcW w:w="1329" w:type="dxa"/>
            <w:shd w:val="clear" w:color="FFFFFF" w:fill="FFFFFF"/>
            <w:noWrap/>
            <w:hideMark/>
          </w:tcPr>
          <w:p w14:paraId="72AC7DCA"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13,371 </w:t>
            </w:r>
          </w:p>
        </w:tc>
        <w:tc>
          <w:tcPr>
            <w:tcW w:w="1706" w:type="dxa"/>
            <w:shd w:val="clear" w:color="FFFFFF" w:fill="FFFFFF"/>
            <w:noWrap/>
            <w:hideMark/>
          </w:tcPr>
          <w:p w14:paraId="5E629B54"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(31,823)</w:t>
            </w:r>
          </w:p>
        </w:tc>
        <w:tc>
          <w:tcPr>
            <w:tcW w:w="1371" w:type="dxa"/>
            <w:shd w:val="clear" w:color="FFFFFF" w:fill="FFFFFF"/>
            <w:noWrap/>
            <w:hideMark/>
          </w:tcPr>
          <w:p w14:paraId="07EDC38E"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20,615</w:t>
            </w:r>
          </w:p>
        </w:tc>
        <w:tc>
          <w:tcPr>
            <w:tcW w:w="1407" w:type="dxa"/>
            <w:shd w:val="clear" w:color="FFFFFF" w:fill="FFFFFF"/>
            <w:noWrap/>
            <w:hideMark/>
          </w:tcPr>
          <w:p w14:paraId="4773D07D"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41122433"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62,413 </w:t>
            </w:r>
          </w:p>
        </w:tc>
      </w:tr>
      <w:tr w:rsidR="00F753E8" w:rsidRPr="00B21860" w14:paraId="7A7AD084" w14:textId="77777777" w:rsidTr="006E1769">
        <w:trPr>
          <w:trHeight w:val="70"/>
          <w:jc w:val="center"/>
        </w:trPr>
        <w:tc>
          <w:tcPr>
            <w:tcW w:w="2262" w:type="dxa"/>
            <w:shd w:val="clear" w:color="FFFFFF" w:fill="FFFFFF"/>
            <w:hideMark/>
          </w:tcPr>
          <w:p w14:paraId="557A41A7"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Pooled Alternatives</w:t>
            </w:r>
          </w:p>
        </w:tc>
        <w:tc>
          <w:tcPr>
            <w:tcW w:w="1371" w:type="dxa"/>
            <w:shd w:val="clear" w:color="FFFFFF" w:fill="FFFFFF"/>
            <w:noWrap/>
            <w:hideMark/>
          </w:tcPr>
          <w:p w14:paraId="4E359316"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96,192</w:t>
            </w:r>
          </w:p>
        </w:tc>
        <w:tc>
          <w:tcPr>
            <w:tcW w:w="1329" w:type="dxa"/>
            <w:shd w:val="clear" w:color="FFFFFF" w:fill="FFFFFF"/>
            <w:noWrap/>
            <w:hideMark/>
          </w:tcPr>
          <w:p w14:paraId="785890A6"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53,124 </w:t>
            </w:r>
          </w:p>
        </w:tc>
        <w:tc>
          <w:tcPr>
            <w:tcW w:w="1706" w:type="dxa"/>
            <w:shd w:val="clear" w:color="FFFFFF" w:fill="FFFFFF"/>
            <w:noWrap/>
            <w:hideMark/>
          </w:tcPr>
          <w:p w14:paraId="78B23274"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(42,155)</w:t>
            </w:r>
          </w:p>
        </w:tc>
        <w:tc>
          <w:tcPr>
            <w:tcW w:w="1371" w:type="dxa"/>
            <w:shd w:val="clear" w:color="FFFFFF" w:fill="FFFFFF"/>
            <w:noWrap/>
            <w:hideMark/>
          </w:tcPr>
          <w:p w14:paraId="6746799C"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24,052</w:t>
            </w:r>
          </w:p>
        </w:tc>
        <w:tc>
          <w:tcPr>
            <w:tcW w:w="1407" w:type="dxa"/>
            <w:shd w:val="clear" w:color="FFFFFF" w:fill="FFFFFF"/>
            <w:noWrap/>
            <w:hideMark/>
          </w:tcPr>
          <w:p w14:paraId="15B43E0D"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3EBD2D2C"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131,213 </w:t>
            </w:r>
          </w:p>
        </w:tc>
      </w:tr>
      <w:tr w:rsidR="00F753E8" w:rsidRPr="00B21860" w14:paraId="527F1411" w14:textId="77777777" w:rsidTr="006E1769">
        <w:trPr>
          <w:trHeight w:val="70"/>
          <w:jc w:val="center"/>
        </w:trPr>
        <w:tc>
          <w:tcPr>
            <w:tcW w:w="2262" w:type="dxa"/>
            <w:shd w:val="clear" w:color="FFFFFF" w:fill="FFFFFF"/>
            <w:hideMark/>
          </w:tcPr>
          <w:p w14:paraId="549E487F"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Infrastructure</w:t>
            </w:r>
          </w:p>
        </w:tc>
        <w:tc>
          <w:tcPr>
            <w:tcW w:w="1371" w:type="dxa"/>
            <w:shd w:val="clear" w:color="FFFFFF" w:fill="FFFFFF"/>
            <w:noWrap/>
            <w:hideMark/>
          </w:tcPr>
          <w:p w14:paraId="57500362"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99,190</w:t>
            </w:r>
          </w:p>
        </w:tc>
        <w:tc>
          <w:tcPr>
            <w:tcW w:w="1329" w:type="dxa"/>
            <w:shd w:val="clear" w:color="FFFFFF" w:fill="FFFFFF"/>
            <w:noWrap/>
            <w:hideMark/>
          </w:tcPr>
          <w:p w14:paraId="339E98E0"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649 </w:t>
            </w:r>
          </w:p>
        </w:tc>
        <w:tc>
          <w:tcPr>
            <w:tcW w:w="1706" w:type="dxa"/>
            <w:shd w:val="clear" w:color="FFFFFF" w:fill="FFFFFF"/>
            <w:noWrap/>
            <w:hideMark/>
          </w:tcPr>
          <w:p w14:paraId="665B8DC8"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shd w:val="clear" w:color="FFFFFF" w:fill="FFFFFF"/>
            <w:noWrap/>
            <w:hideMark/>
          </w:tcPr>
          <w:p w14:paraId="615B2BA3"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4,311</w:t>
            </w:r>
          </w:p>
        </w:tc>
        <w:tc>
          <w:tcPr>
            <w:tcW w:w="1407" w:type="dxa"/>
            <w:shd w:val="clear" w:color="FFFFFF" w:fill="FFFFFF"/>
            <w:noWrap/>
            <w:hideMark/>
          </w:tcPr>
          <w:p w14:paraId="01A60155"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588DC9AF"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104,150 </w:t>
            </w:r>
          </w:p>
        </w:tc>
      </w:tr>
      <w:tr w:rsidR="00F753E8" w:rsidRPr="00B21860" w14:paraId="3D577875" w14:textId="77777777" w:rsidTr="006E1769">
        <w:trPr>
          <w:trHeight w:val="70"/>
          <w:jc w:val="center"/>
        </w:trPr>
        <w:tc>
          <w:tcPr>
            <w:tcW w:w="2262" w:type="dxa"/>
            <w:shd w:val="clear" w:color="FFFFFF" w:fill="FFFFFF"/>
            <w:hideMark/>
          </w:tcPr>
          <w:p w14:paraId="7031BF24"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Other Investments</w:t>
            </w:r>
          </w:p>
        </w:tc>
        <w:tc>
          <w:tcPr>
            <w:tcW w:w="1371" w:type="dxa"/>
            <w:shd w:val="clear" w:color="FFFFFF" w:fill="FFFFFF"/>
            <w:noWrap/>
            <w:hideMark/>
          </w:tcPr>
          <w:p w14:paraId="3F7EC8A8"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150</w:t>
            </w:r>
          </w:p>
        </w:tc>
        <w:tc>
          <w:tcPr>
            <w:tcW w:w="1329" w:type="dxa"/>
            <w:shd w:val="clear" w:color="FFFFFF" w:fill="FFFFFF"/>
            <w:noWrap/>
            <w:hideMark/>
          </w:tcPr>
          <w:p w14:paraId="7DE4A32E" w14:textId="77777777" w:rsidR="00F753E8" w:rsidRPr="00EE007C" w:rsidRDefault="00F753E8" w:rsidP="006E1769">
            <w:pPr>
              <w:tabs>
                <w:tab w:val="left" w:pos="284"/>
              </w:tabs>
              <w:jc w:val="right"/>
              <w:rPr>
                <w:rFonts w:ascii="Arial" w:hAnsi="Arial" w:cs="Arial"/>
                <w:b/>
                <w:bCs/>
                <w:color w:val="000000"/>
                <w:sz w:val="22"/>
                <w:szCs w:val="22"/>
              </w:rPr>
            </w:pPr>
          </w:p>
        </w:tc>
        <w:tc>
          <w:tcPr>
            <w:tcW w:w="1706" w:type="dxa"/>
            <w:shd w:val="clear" w:color="FFFFFF" w:fill="FFFFFF"/>
            <w:noWrap/>
            <w:hideMark/>
          </w:tcPr>
          <w:p w14:paraId="475506DC"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shd w:val="clear" w:color="FFFFFF" w:fill="FFFFFF"/>
            <w:noWrap/>
            <w:hideMark/>
          </w:tcPr>
          <w:p w14:paraId="23F4F62C" w14:textId="77777777" w:rsidR="00F753E8" w:rsidRPr="00EE007C" w:rsidRDefault="00F753E8" w:rsidP="006E1769">
            <w:pPr>
              <w:tabs>
                <w:tab w:val="left" w:pos="284"/>
              </w:tabs>
              <w:jc w:val="right"/>
              <w:rPr>
                <w:rFonts w:ascii="Arial" w:hAnsi="Arial" w:cs="Arial"/>
                <w:b/>
                <w:bCs/>
                <w:color w:val="000000"/>
                <w:sz w:val="22"/>
                <w:szCs w:val="22"/>
              </w:rPr>
            </w:pPr>
          </w:p>
        </w:tc>
        <w:tc>
          <w:tcPr>
            <w:tcW w:w="1407" w:type="dxa"/>
            <w:shd w:val="clear" w:color="FFFFFF" w:fill="FFFFFF"/>
            <w:noWrap/>
            <w:hideMark/>
          </w:tcPr>
          <w:p w14:paraId="0794BE12"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704C61F9"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150 </w:t>
            </w:r>
          </w:p>
        </w:tc>
      </w:tr>
      <w:tr w:rsidR="00F753E8" w:rsidRPr="00B21860" w14:paraId="17F6D4D2" w14:textId="77777777" w:rsidTr="006E1769">
        <w:trPr>
          <w:trHeight w:val="163"/>
          <w:jc w:val="center"/>
        </w:trPr>
        <w:tc>
          <w:tcPr>
            <w:tcW w:w="2262" w:type="dxa"/>
            <w:shd w:val="clear" w:color="FFFFFF" w:fill="FFFFFF"/>
            <w:hideMark/>
          </w:tcPr>
          <w:p w14:paraId="5FB4E2AA" w14:textId="77777777" w:rsidR="00F753E8" w:rsidRPr="00BE3468" w:rsidRDefault="00F753E8" w:rsidP="006E1769">
            <w:pPr>
              <w:tabs>
                <w:tab w:val="left" w:pos="284"/>
              </w:tabs>
              <w:jc w:val="both"/>
              <w:rPr>
                <w:rFonts w:ascii="Arial" w:hAnsi="Arial" w:cs="Arial"/>
                <w:color w:val="000000"/>
                <w:sz w:val="22"/>
                <w:szCs w:val="22"/>
              </w:rPr>
            </w:pPr>
          </w:p>
        </w:tc>
        <w:tc>
          <w:tcPr>
            <w:tcW w:w="1371" w:type="dxa"/>
            <w:shd w:val="clear" w:color="FFFFFF" w:fill="FFFFFF"/>
            <w:noWrap/>
            <w:hideMark/>
          </w:tcPr>
          <w:p w14:paraId="39687C82" w14:textId="77777777" w:rsidR="00F753E8" w:rsidRPr="00EE007C" w:rsidRDefault="00F753E8" w:rsidP="006E1769">
            <w:pPr>
              <w:tabs>
                <w:tab w:val="left" w:pos="284"/>
              </w:tabs>
              <w:jc w:val="right"/>
              <w:rPr>
                <w:rFonts w:ascii="Arial" w:hAnsi="Arial" w:cs="Arial"/>
                <w:b/>
                <w:bCs/>
                <w:color w:val="000000"/>
                <w:sz w:val="22"/>
                <w:szCs w:val="22"/>
              </w:rPr>
            </w:pPr>
          </w:p>
        </w:tc>
        <w:tc>
          <w:tcPr>
            <w:tcW w:w="1329" w:type="dxa"/>
            <w:shd w:val="clear" w:color="FFFFFF" w:fill="FFFFFF"/>
            <w:noWrap/>
            <w:hideMark/>
          </w:tcPr>
          <w:p w14:paraId="787D5E84" w14:textId="77777777" w:rsidR="00F753E8" w:rsidRPr="00EE007C" w:rsidRDefault="00F753E8" w:rsidP="006E1769">
            <w:pPr>
              <w:tabs>
                <w:tab w:val="left" w:pos="284"/>
              </w:tabs>
              <w:jc w:val="right"/>
              <w:rPr>
                <w:rFonts w:ascii="Arial" w:hAnsi="Arial" w:cs="Arial"/>
                <w:b/>
                <w:bCs/>
                <w:color w:val="000000"/>
                <w:sz w:val="22"/>
                <w:szCs w:val="22"/>
              </w:rPr>
            </w:pPr>
          </w:p>
        </w:tc>
        <w:tc>
          <w:tcPr>
            <w:tcW w:w="1706" w:type="dxa"/>
            <w:shd w:val="clear" w:color="FFFFFF" w:fill="FFFFFF"/>
            <w:noWrap/>
            <w:hideMark/>
          </w:tcPr>
          <w:p w14:paraId="7C9FDF3E"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shd w:val="clear" w:color="FFFFFF" w:fill="FFFFFF"/>
            <w:noWrap/>
            <w:hideMark/>
          </w:tcPr>
          <w:p w14:paraId="1C443FF1" w14:textId="77777777" w:rsidR="00F753E8" w:rsidRPr="00EE007C" w:rsidRDefault="00F753E8" w:rsidP="006E1769">
            <w:pPr>
              <w:tabs>
                <w:tab w:val="left" w:pos="284"/>
              </w:tabs>
              <w:jc w:val="right"/>
              <w:rPr>
                <w:rFonts w:ascii="Arial" w:hAnsi="Arial" w:cs="Arial"/>
                <w:b/>
                <w:bCs/>
                <w:color w:val="000000"/>
                <w:sz w:val="22"/>
                <w:szCs w:val="22"/>
              </w:rPr>
            </w:pPr>
          </w:p>
        </w:tc>
        <w:tc>
          <w:tcPr>
            <w:tcW w:w="1407" w:type="dxa"/>
            <w:shd w:val="clear" w:color="FFFFFF" w:fill="FFFFFF"/>
            <w:noWrap/>
            <w:hideMark/>
          </w:tcPr>
          <w:p w14:paraId="0155C21E"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5204A9E7" w14:textId="77777777" w:rsidR="00F753E8" w:rsidRPr="00EE007C" w:rsidRDefault="00F753E8" w:rsidP="006E1769">
            <w:pPr>
              <w:tabs>
                <w:tab w:val="left" w:pos="284"/>
              </w:tabs>
              <w:jc w:val="right"/>
              <w:rPr>
                <w:rFonts w:ascii="Arial" w:hAnsi="Arial" w:cs="Arial"/>
                <w:b/>
                <w:bCs/>
                <w:color w:val="000000"/>
                <w:sz w:val="22"/>
                <w:szCs w:val="22"/>
              </w:rPr>
            </w:pPr>
          </w:p>
        </w:tc>
      </w:tr>
      <w:tr w:rsidR="00F753E8" w:rsidRPr="00B21860" w14:paraId="4DE87D19" w14:textId="77777777" w:rsidTr="006E1769">
        <w:trPr>
          <w:trHeight w:val="87"/>
          <w:jc w:val="center"/>
        </w:trPr>
        <w:tc>
          <w:tcPr>
            <w:tcW w:w="2262" w:type="dxa"/>
            <w:shd w:val="clear" w:color="FFFFFF" w:fill="FFFFFF"/>
            <w:hideMark/>
          </w:tcPr>
          <w:p w14:paraId="734F2951"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Derivative Contracts</w:t>
            </w:r>
          </w:p>
        </w:tc>
        <w:tc>
          <w:tcPr>
            <w:tcW w:w="1371" w:type="dxa"/>
            <w:shd w:val="clear" w:color="FFFFFF" w:fill="FFFFFF"/>
            <w:noWrap/>
            <w:hideMark/>
          </w:tcPr>
          <w:p w14:paraId="3EF10EFF" w14:textId="77777777" w:rsidR="00F753E8" w:rsidRPr="00EE007C" w:rsidRDefault="00F753E8" w:rsidP="006E1769">
            <w:pPr>
              <w:tabs>
                <w:tab w:val="left" w:pos="284"/>
              </w:tabs>
              <w:jc w:val="right"/>
              <w:rPr>
                <w:rFonts w:ascii="Arial" w:hAnsi="Arial" w:cs="Arial"/>
                <w:b/>
                <w:bCs/>
                <w:color w:val="000000"/>
                <w:sz w:val="22"/>
                <w:szCs w:val="22"/>
              </w:rPr>
            </w:pPr>
          </w:p>
        </w:tc>
        <w:tc>
          <w:tcPr>
            <w:tcW w:w="1329" w:type="dxa"/>
            <w:shd w:val="clear" w:color="FFFFFF" w:fill="FFFFFF"/>
            <w:noWrap/>
            <w:hideMark/>
          </w:tcPr>
          <w:p w14:paraId="40D92F2B" w14:textId="77777777" w:rsidR="00F753E8" w:rsidRPr="00EE007C" w:rsidRDefault="00F753E8" w:rsidP="006E1769">
            <w:pPr>
              <w:tabs>
                <w:tab w:val="left" w:pos="284"/>
              </w:tabs>
              <w:jc w:val="right"/>
              <w:rPr>
                <w:rFonts w:ascii="Arial" w:hAnsi="Arial" w:cs="Arial"/>
                <w:b/>
                <w:bCs/>
                <w:color w:val="000000"/>
                <w:sz w:val="22"/>
                <w:szCs w:val="22"/>
              </w:rPr>
            </w:pPr>
          </w:p>
        </w:tc>
        <w:tc>
          <w:tcPr>
            <w:tcW w:w="1706" w:type="dxa"/>
            <w:shd w:val="clear" w:color="FFFFFF" w:fill="FFFFFF"/>
            <w:noWrap/>
            <w:hideMark/>
          </w:tcPr>
          <w:p w14:paraId="66F358FD"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shd w:val="clear" w:color="FFFFFF" w:fill="FFFFFF"/>
            <w:noWrap/>
            <w:hideMark/>
          </w:tcPr>
          <w:p w14:paraId="20A9CFFB" w14:textId="77777777" w:rsidR="00F753E8" w:rsidRPr="00EE007C" w:rsidRDefault="00F753E8" w:rsidP="006E1769">
            <w:pPr>
              <w:tabs>
                <w:tab w:val="left" w:pos="284"/>
              </w:tabs>
              <w:jc w:val="right"/>
              <w:rPr>
                <w:rFonts w:ascii="Arial" w:hAnsi="Arial" w:cs="Arial"/>
                <w:b/>
                <w:bCs/>
                <w:color w:val="000000"/>
                <w:sz w:val="22"/>
                <w:szCs w:val="22"/>
              </w:rPr>
            </w:pPr>
          </w:p>
        </w:tc>
        <w:tc>
          <w:tcPr>
            <w:tcW w:w="1407" w:type="dxa"/>
            <w:shd w:val="clear" w:color="FFFFFF" w:fill="FFFFFF"/>
            <w:noWrap/>
            <w:hideMark/>
          </w:tcPr>
          <w:p w14:paraId="2D9CA381"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6D39651A" w14:textId="77777777" w:rsidR="00F753E8" w:rsidRPr="00EE007C" w:rsidRDefault="00F753E8" w:rsidP="006E1769">
            <w:pPr>
              <w:tabs>
                <w:tab w:val="left" w:pos="284"/>
              </w:tabs>
              <w:jc w:val="right"/>
              <w:rPr>
                <w:rFonts w:ascii="Arial" w:hAnsi="Arial" w:cs="Arial"/>
                <w:b/>
                <w:bCs/>
                <w:color w:val="000000"/>
                <w:sz w:val="22"/>
                <w:szCs w:val="22"/>
              </w:rPr>
            </w:pPr>
          </w:p>
        </w:tc>
      </w:tr>
      <w:tr w:rsidR="00F753E8" w:rsidRPr="00B21860" w14:paraId="633E80FE" w14:textId="77777777" w:rsidTr="006E1769">
        <w:trPr>
          <w:trHeight w:val="70"/>
          <w:jc w:val="center"/>
        </w:trPr>
        <w:tc>
          <w:tcPr>
            <w:tcW w:w="2262" w:type="dxa"/>
            <w:shd w:val="clear" w:color="FFFFFF" w:fill="FFFFFF"/>
            <w:hideMark/>
          </w:tcPr>
          <w:p w14:paraId="6B13FC39"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Futures</w:t>
            </w:r>
          </w:p>
        </w:tc>
        <w:tc>
          <w:tcPr>
            <w:tcW w:w="1371" w:type="dxa"/>
            <w:shd w:val="clear" w:color="FFFFFF" w:fill="FFFFFF"/>
            <w:noWrap/>
            <w:hideMark/>
          </w:tcPr>
          <w:p w14:paraId="78C0163B"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287</w:t>
            </w:r>
          </w:p>
        </w:tc>
        <w:tc>
          <w:tcPr>
            <w:tcW w:w="1329" w:type="dxa"/>
            <w:shd w:val="clear" w:color="FFFFFF" w:fill="FFFFFF"/>
            <w:noWrap/>
            <w:hideMark/>
          </w:tcPr>
          <w:p w14:paraId="7C21DBA0"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5,527 </w:t>
            </w:r>
          </w:p>
        </w:tc>
        <w:tc>
          <w:tcPr>
            <w:tcW w:w="1706" w:type="dxa"/>
            <w:shd w:val="clear" w:color="FFFFFF" w:fill="FFFFFF"/>
            <w:noWrap/>
            <w:hideMark/>
          </w:tcPr>
          <w:p w14:paraId="39F3959E"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(1,674)</w:t>
            </w:r>
          </w:p>
        </w:tc>
        <w:tc>
          <w:tcPr>
            <w:tcW w:w="1371" w:type="dxa"/>
            <w:shd w:val="clear" w:color="FFFFFF" w:fill="FFFFFF"/>
            <w:noWrap/>
            <w:hideMark/>
          </w:tcPr>
          <w:p w14:paraId="50BF980D"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(4,646)</w:t>
            </w:r>
          </w:p>
        </w:tc>
        <w:tc>
          <w:tcPr>
            <w:tcW w:w="1407" w:type="dxa"/>
            <w:shd w:val="clear" w:color="FFFFFF" w:fill="FFFFFF"/>
            <w:noWrap/>
            <w:hideMark/>
          </w:tcPr>
          <w:p w14:paraId="613919C4"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669E5562"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(505)</w:t>
            </w:r>
          </w:p>
        </w:tc>
      </w:tr>
      <w:tr w:rsidR="00F753E8" w:rsidRPr="00B21860" w14:paraId="6F0364DA" w14:textId="77777777" w:rsidTr="006E1769">
        <w:trPr>
          <w:trHeight w:val="260"/>
          <w:jc w:val="center"/>
        </w:trPr>
        <w:tc>
          <w:tcPr>
            <w:tcW w:w="2262" w:type="dxa"/>
            <w:shd w:val="clear" w:color="FFFFFF" w:fill="FFFFFF"/>
            <w:hideMark/>
          </w:tcPr>
          <w:p w14:paraId="6FE77BCB" w14:textId="77777777" w:rsidR="00F753E8" w:rsidRPr="000E76AB" w:rsidRDefault="00F753E8" w:rsidP="006E1769">
            <w:pPr>
              <w:tabs>
                <w:tab w:val="left" w:pos="284"/>
              </w:tabs>
              <w:jc w:val="both"/>
              <w:rPr>
                <w:rFonts w:ascii="Arial" w:hAnsi="Arial" w:cs="Arial"/>
                <w:color w:val="000000"/>
                <w:sz w:val="22"/>
                <w:szCs w:val="22"/>
              </w:rPr>
            </w:pPr>
          </w:p>
        </w:tc>
        <w:tc>
          <w:tcPr>
            <w:tcW w:w="1371" w:type="dxa"/>
            <w:shd w:val="clear" w:color="FFFFFF" w:fill="FFFFFF"/>
            <w:noWrap/>
            <w:hideMark/>
          </w:tcPr>
          <w:p w14:paraId="1E850DB0" w14:textId="77777777" w:rsidR="00F753E8" w:rsidRPr="00EE007C" w:rsidRDefault="00F753E8" w:rsidP="006E1769">
            <w:pPr>
              <w:tabs>
                <w:tab w:val="left" w:pos="284"/>
              </w:tabs>
              <w:jc w:val="right"/>
              <w:rPr>
                <w:rFonts w:ascii="Arial" w:hAnsi="Arial" w:cs="Arial"/>
                <w:b/>
                <w:bCs/>
                <w:color w:val="000000"/>
                <w:sz w:val="22"/>
                <w:szCs w:val="22"/>
              </w:rPr>
            </w:pPr>
          </w:p>
        </w:tc>
        <w:tc>
          <w:tcPr>
            <w:tcW w:w="1329" w:type="dxa"/>
            <w:shd w:val="clear" w:color="FFFFFF" w:fill="FFFFFF"/>
            <w:noWrap/>
            <w:hideMark/>
          </w:tcPr>
          <w:p w14:paraId="716AE4FD" w14:textId="77777777" w:rsidR="00F753E8" w:rsidRPr="00EE007C" w:rsidRDefault="00F753E8" w:rsidP="006E1769">
            <w:pPr>
              <w:tabs>
                <w:tab w:val="left" w:pos="284"/>
              </w:tabs>
              <w:jc w:val="right"/>
              <w:rPr>
                <w:rFonts w:ascii="Arial" w:hAnsi="Arial" w:cs="Arial"/>
                <w:b/>
                <w:bCs/>
                <w:color w:val="000000"/>
                <w:sz w:val="22"/>
                <w:szCs w:val="22"/>
              </w:rPr>
            </w:pPr>
          </w:p>
        </w:tc>
        <w:tc>
          <w:tcPr>
            <w:tcW w:w="1706" w:type="dxa"/>
            <w:shd w:val="clear" w:color="FFFFFF" w:fill="FFFFFF"/>
            <w:noWrap/>
            <w:hideMark/>
          </w:tcPr>
          <w:p w14:paraId="2CDFA5C3"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shd w:val="clear" w:color="FFFFFF" w:fill="FFFFFF"/>
            <w:noWrap/>
            <w:hideMark/>
          </w:tcPr>
          <w:p w14:paraId="1AE6FA64" w14:textId="77777777" w:rsidR="00F753E8" w:rsidRPr="00EE007C" w:rsidRDefault="00F753E8" w:rsidP="006E1769">
            <w:pPr>
              <w:tabs>
                <w:tab w:val="left" w:pos="284"/>
              </w:tabs>
              <w:jc w:val="right"/>
              <w:rPr>
                <w:rFonts w:ascii="Arial" w:hAnsi="Arial" w:cs="Arial"/>
                <w:b/>
                <w:bCs/>
                <w:color w:val="000000"/>
                <w:sz w:val="22"/>
                <w:szCs w:val="22"/>
              </w:rPr>
            </w:pPr>
          </w:p>
        </w:tc>
        <w:tc>
          <w:tcPr>
            <w:tcW w:w="1407" w:type="dxa"/>
            <w:shd w:val="clear" w:color="FFFFFF" w:fill="FFFFFF"/>
            <w:noWrap/>
            <w:hideMark/>
          </w:tcPr>
          <w:p w14:paraId="2A208BEC"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3DA49C0D" w14:textId="77777777" w:rsidR="00F753E8" w:rsidRPr="00EE007C" w:rsidRDefault="00F753E8" w:rsidP="006E1769">
            <w:pPr>
              <w:tabs>
                <w:tab w:val="left" w:pos="284"/>
              </w:tabs>
              <w:jc w:val="right"/>
              <w:rPr>
                <w:rFonts w:ascii="Arial" w:hAnsi="Arial" w:cs="Arial"/>
                <w:b/>
                <w:bCs/>
                <w:color w:val="000000"/>
                <w:sz w:val="22"/>
                <w:szCs w:val="22"/>
              </w:rPr>
            </w:pPr>
          </w:p>
        </w:tc>
      </w:tr>
      <w:tr w:rsidR="00F753E8" w:rsidRPr="00B21860" w14:paraId="49A6A5A0" w14:textId="77777777" w:rsidTr="006E1769">
        <w:trPr>
          <w:trHeight w:val="70"/>
          <w:jc w:val="center"/>
        </w:trPr>
        <w:tc>
          <w:tcPr>
            <w:tcW w:w="2262" w:type="dxa"/>
            <w:shd w:val="clear" w:color="FFFFFF" w:fill="FFFFFF"/>
            <w:hideMark/>
          </w:tcPr>
          <w:p w14:paraId="7040FFFF"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Cash Deposits</w:t>
            </w:r>
          </w:p>
        </w:tc>
        <w:tc>
          <w:tcPr>
            <w:tcW w:w="1371" w:type="dxa"/>
            <w:shd w:val="clear" w:color="FFFFFF" w:fill="FFFFFF"/>
            <w:noWrap/>
            <w:hideMark/>
          </w:tcPr>
          <w:p w14:paraId="08A9BCC5" w14:textId="77777777" w:rsidR="00F753E8" w:rsidRPr="00EE007C" w:rsidRDefault="00F753E8" w:rsidP="006E1769">
            <w:pPr>
              <w:tabs>
                <w:tab w:val="left" w:pos="284"/>
              </w:tabs>
              <w:jc w:val="right"/>
              <w:rPr>
                <w:rFonts w:ascii="Arial" w:hAnsi="Arial" w:cs="Arial"/>
                <w:b/>
                <w:bCs/>
                <w:color w:val="000000"/>
                <w:sz w:val="22"/>
                <w:szCs w:val="22"/>
              </w:rPr>
            </w:pPr>
          </w:p>
        </w:tc>
        <w:tc>
          <w:tcPr>
            <w:tcW w:w="1329" w:type="dxa"/>
            <w:shd w:val="clear" w:color="FFFFFF" w:fill="FFFFFF"/>
            <w:noWrap/>
            <w:hideMark/>
          </w:tcPr>
          <w:p w14:paraId="72BB9107" w14:textId="77777777" w:rsidR="00F753E8" w:rsidRPr="00EE007C" w:rsidRDefault="00F753E8" w:rsidP="006E1769">
            <w:pPr>
              <w:tabs>
                <w:tab w:val="left" w:pos="284"/>
              </w:tabs>
              <w:jc w:val="right"/>
              <w:rPr>
                <w:rFonts w:ascii="Arial" w:hAnsi="Arial" w:cs="Arial"/>
                <w:b/>
                <w:bCs/>
                <w:color w:val="000000"/>
                <w:sz w:val="22"/>
                <w:szCs w:val="22"/>
              </w:rPr>
            </w:pPr>
          </w:p>
        </w:tc>
        <w:tc>
          <w:tcPr>
            <w:tcW w:w="1706" w:type="dxa"/>
            <w:shd w:val="clear" w:color="FFFFFF" w:fill="FFFFFF"/>
            <w:noWrap/>
            <w:hideMark/>
          </w:tcPr>
          <w:p w14:paraId="20B7B3FA"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shd w:val="clear" w:color="FFFFFF" w:fill="FFFFFF"/>
            <w:noWrap/>
            <w:hideMark/>
          </w:tcPr>
          <w:p w14:paraId="4280502B" w14:textId="77777777" w:rsidR="00F753E8" w:rsidRPr="00EE007C" w:rsidRDefault="00F753E8" w:rsidP="006E1769">
            <w:pPr>
              <w:tabs>
                <w:tab w:val="left" w:pos="284"/>
              </w:tabs>
              <w:jc w:val="right"/>
              <w:rPr>
                <w:rFonts w:ascii="Arial" w:hAnsi="Arial" w:cs="Arial"/>
                <w:b/>
                <w:bCs/>
                <w:color w:val="000000"/>
                <w:sz w:val="22"/>
                <w:szCs w:val="22"/>
              </w:rPr>
            </w:pPr>
          </w:p>
        </w:tc>
        <w:tc>
          <w:tcPr>
            <w:tcW w:w="1407" w:type="dxa"/>
            <w:shd w:val="clear" w:color="FFFFFF" w:fill="FFFFFF"/>
            <w:noWrap/>
            <w:hideMark/>
          </w:tcPr>
          <w:p w14:paraId="4F904D00"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6DE6C87F" w14:textId="77777777" w:rsidR="00F753E8" w:rsidRPr="00EE007C" w:rsidRDefault="00F753E8" w:rsidP="006E1769">
            <w:pPr>
              <w:tabs>
                <w:tab w:val="left" w:pos="284"/>
              </w:tabs>
              <w:jc w:val="right"/>
              <w:rPr>
                <w:rFonts w:ascii="Arial" w:hAnsi="Arial" w:cs="Arial"/>
                <w:b/>
                <w:bCs/>
                <w:color w:val="000000"/>
                <w:sz w:val="22"/>
                <w:szCs w:val="22"/>
              </w:rPr>
            </w:pPr>
          </w:p>
        </w:tc>
      </w:tr>
      <w:tr w:rsidR="00F753E8" w:rsidRPr="00B21860" w14:paraId="0E4CFFE4" w14:textId="77777777" w:rsidTr="006E1769">
        <w:trPr>
          <w:trHeight w:val="70"/>
          <w:jc w:val="center"/>
        </w:trPr>
        <w:tc>
          <w:tcPr>
            <w:tcW w:w="2262" w:type="dxa"/>
            <w:shd w:val="clear" w:color="FFFFFF" w:fill="FFFFFF"/>
            <w:hideMark/>
          </w:tcPr>
          <w:p w14:paraId="192CBDC6"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Custodian</w:t>
            </w:r>
          </w:p>
        </w:tc>
        <w:tc>
          <w:tcPr>
            <w:tcW w:w="1371" w:type="dxa"/>
            <w:shd w:val="clear" w:color="FFFFFF" w:fill="FFFFFF"/>
            <w:noWrap/>
            <w:hideMark/>
          </w:tcPr>
          <w:p w14:paraId="647915D1"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14,327</w:t>
            </w:r>
          </w:p>
        </w:tc>
        <w:tc>
          <w:tcPr>
            <w:tcW w:w="1329" w:type="dxa"/>
            <w:shd w:val="clear" w:color="FFFFFF" w:fill="FFFFFF"/>
            <w:noWrap/>
            <w:hideMark/>
          </w:tcPr>
          <w:p w14:paraId="1446D84F"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 xml:space="preserve"> -   </w:t>
            </w:r>
          </w:p>
        </w:tc>
        <w:tc>
          <w:tcPr>
            <w:tcW w:w="1706" w:type="dxa"/>
            <w:shd w:val="clear" w:color="FFFFFF" w:fill="FFFFFF"/>
            <w:noWrap/>
            <w:hideMark/>
          </w:tcPr>
          <w:p w14:paraId="7CE4F8F5"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1,868</w:t>
            </w:r>
          </w:p>
        </w:tc>
        <w:tc>
          <w:tcPr>
            <w:tcW w:w="1371" w:type="dxa"/>
            <w:shd w:val="clear" w:color="FFFFFF" w:fill="FFFFFF"/>
            <w:noWrap/>
            <w:hideMark/>
          </w:tcPr>
          <w:p w14:paraId="772FB9EC"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0</w:t>
            </w:r>
          </w:p>
        </w:tc>
        <w:tc>
          <w:tcPr>
            <w:tcW w:w="1407" w:type="dxa"/>
            <w:shd w:val="clear" w:color="FFFFFF" w:fill="FFFFFF"/>
            <w:noWrap/>
            <w:hideMark/>
          </w:tcPr>
          <w:p w14:paraId="7CFC9ABA"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(2,492)</w:t>
            </w:r>
          </w:p>
        </w:tc>
        <w:tc>
          <w:tcPr>
            <w:tcW w:w="1649" w:type="dxa"/>
            <w:shd w:val="clear" w:color="FFFFFF" w:fill="FFFFFF"/>
            <w:noWrap/>
            <w:hideMark/>
          </w:tcPr>
          <w:p w14:paraId="01C8C57D"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13,702</w:t>
            </w:r>
          </w:p>
        </w:tc>
      </w:tr>
      <w:tr w:rsidR="00F753E8" w:rsidRPr="00B21860" w14:paraId="712CA99A" w14:textId="77777777" w:rsidTr="006E1769">
        <w:trPr>
          <w:trHeight w:val="70"/>
          <w:jc w:val="center"/>
        </w:trPr>
        <w:tc>
          <w:tcPr>
            <w:tcW w:w="2262" w:type="dxa"/>
            <w:shd w:val="clear" w:color="FFFFFF" w:fill="FFFFFF"/>
            <w:hideMark/>
          </w:tcPr>
          <w:p w14:paraId="3B017924"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In-House</w:t>
            </w:r>
          </w:p>
        </w:tc>
        <w:tc>
          <w:tcPr>
            <w:tcW w:w="1371" w:type="dxa"/>
            <w:shd w:val="clear" w:color="FFFFFF" w:fill="FFFFFF"/>
            <w:noWrap/>
            <w:hideMark/>
          </w:tcPr>
          <w:p w14:paraId="4291241C"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39</w:t>
            </w:r>
          </w:p>
        </w:tc>
        <w:tc>
          <w:tcPr>
            <w:tcW w:w="1329" w:type="dxa"/>
            <w:shd w:val="clear" w:color="FFFFFF" w:fill="FFFFFF"/>
            <w:noWrap/>
            <w:hideMark/>
          </w:tcPr>
          <w:p w14:paraId="55230B54" w14:textId="77777777" w:rsidR="00F753E8" w:rsidRPr="00EE007C" w:rsidRDefault="00F753E8" w:rsidP="006E1769">
            <w:pPr>
              <w:tabs>
                <w:tab w:val="left" w:pos="284"/>
              </w:tabs>
              <w:jc w:val="right"/>
              <w:rPr>
                <w:rFonts w:ascii="Arial" w:hAnsi="Arial" w:cs="Arial"/>
                <w:b/>
                <w:bCs/>
                <w:color w:val="000000"/>
                <w:sz w:val="22"/>
                <w:szCs w:val="22"/>
              </w:rPr>
            </w:pPr>
          </w:p>
        </w:tc>
        <w:tc>
          <w:tcPr>
            <w:tcW w:w="1706" w:type="dxa"/>
            <w:shd w:val="clear" w:color="FFFFFF" w:fill="FFFFFF"/>
            <w:noWrap/>
            <w:hideMark/>
          </w:tcPr>
          <w:p w14:paraId="3C768875"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shd w:val="clear" w:color="FFFFFF" w:fill="FFFFFF"/>
            <w:noWrap/>
            <w:hideMark/>
          </w:tcPr>
          <w:p w14:paraId="2A5DBC68" w14:textId="77777777" w:rsidR="00F753E8" w:rsidRPr="00EE007C" w:rsidRDefault="00F753E8" w:rsidP="006E1769">
            <w:pPr>
              <w:tabs>
                <w:tab w:val="left" w:pos="284"/>
              </w:tabs>
              <w:jc w:val="right"/>
              <w:rPr>
                <w:rFonts w:ascii="Arial" w:hAnsi="Arial" w:cs="Arial"/>
                <w:b/>
                <w:bCs/>
                <w:color w:val="000000"/>
                <w:sz w:val="22"/>
                <w:szCs w:val="22"/>
              </w:rPr>
            </w:pPr>
          </w:p>
        </w:tc>
        <w:tc>
          <w:tcPr>
            <w:tcW w:w="1407" w:type="dxa"/>
            <w:shd w:val="clear" w:color="FFFFFF" w:fill="FFFFFF"/>
            <w:noWrap/>
            <w:hideMark/>
          </w:tcPr>
          <w:p w14:paraId="6911BBB1"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74</w:t>
            </w:r>
          </w:p>
        </w:tc>
        <w:tc>
          <w:tcPr>
            <w:tcW w:w="1649" w:type="dxa"/>
            <w:shd w:val="clear" w:color="FFFFFF" w:fill="FFFFFF"/>
            <w:noWrap/>
            <w:hideMark/>
          </w:tcPr>
          <w:p w14:paraId="685A744D"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113</w:t>
            </w:r>
          </w:p>
        </w:tc>
      </w:tr>
      <w:tr w:rsidR="00F753E8" w:rsidRPr="00B21860" w14:paraId="583E18FE" w14:textId="77777777" w:rsidTr="006E1769">
        <w:trPr>
          <w:trHeight w:val="70"/>
          <w:jc w:val="center"/>
        </w:trPr>
        <w:tc>
          <w:tcPr>
            <w:tcW w:w="2262" w:type="dxa"/>
            <w:shd w:val="clear" w:color="FFFFFF" w:fill="FFFFFF"/>
            <w:hideMark/>
          </w:tcPr>
          <w:p w14:paraId="59736DE8"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Short</w:t>
            </w:r>
            <w:r>
              <w:rPr>
                <w:rFonts w:ascii="Arial" w:hAnsi="Arial" w:cs="Arial"/>
                <w:sz w:val="22"/>
                <w:szCs w:val="22"/>
              </w:rPr>
              <w:t>-</w:t>
            </w:r>
            <w:r w:rsidRPr="000E76AB">
              <w:rPr>
                <w:rFonts w:ascii="Arial" w:hAnsi="Arial" w:cs="Arial"/>
                <w:sz w:val="22"/>
                <w:szCs w:val="22"/>
              </w:rPr>
              <w:t xml:space="preserve">Term </w:t>
            </w:r>
            <w:r>
              <w:rPr>
                <w:rFonts w:ascii="Arial" w:hAnsi="Arial" w:cs="Arial"/>
                <w:sz w:val="22"/>
                <w:szCs w:val="22"/>
              </w:rPr>
              <w:t>Loan</w:t>
            </w:r>
          </w:p>
        </w:tc>
        <w:tc>
          <w:tcPr>
            <w:tcW w:w="1371" w:type="dxa"/>
            <w:shd w:val="clear" w:color="FFFFFF" w:fill="FFFFFF"/>
            <w:noWrap/>
            <w:hideMark/>
          </w:tcPr>
          <w:p w14:paraId="3C4C4BF3"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(29,200)</w:t>
            </w:r>
          </w:p>
        </w:tc>
        <w:tc>
          <w:tcPr>
            <w:tcW w:w="1329" w:type="dxa"/>
            <w:shd w:val="clear" w:color="FFFFFF" w:fill="FFFFFF"/>
            <w:noWrap/>
            <w:hideMark/>
          </w:tcPr>
          <w:p w14:paraId="560A8DFB" w14:textId="77777777" w:rsidR="00F753E8" w:rsidRPr="00EE007C" w:rsidRDefault="00F753E8" w:rsidP="006E1769">
            <w:pPr>
              <w:tabs>
                <w:tab w:val="left" w:pos="284"/>
              </w:tabs>
              <w:jc w:val="right"/>
              <w:rPr>
                <w:rFonts w:ascii="Arial" w:hAnsi="Arial" w:cs="Arial"/>
                <w:b/>
                <w:bCs/>
                <w:color w:val="000000"/>
                <w:sz w:val="22"/>
                <w:szCs w:val="22"/>
              </w:rPr>
            </w:pPr>
          </w:p>
        </w:tc>
        <w:tc>
          <w:tcPr>
            <w:tcW w:w="1706" w:type="dxa"/>
            <w:shd w:val="clear" w:color="FFFFFF" w:fill="FFFFFF"/>
            <w:noWrap/>
            <w:hideMark/>
          </w:tcPr>
          <w:p w14:paraId="6DF5B4D1"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shd w:val="clear" w:color="FFFFFF" w:fill="FFFFFF"/>
            <w:noWrap/>
            <w:hideMark/>
          </w:tcPr>
          <w:p w14:paraId="06269F94" w14:textId="77777777" w:rsidR="00F753E8" w:rsidRPr="00EE007C" w:rsidRDefault="00F753E8" w:rsidP="006E1769">
            <w:pPr>
              <w:tabs>
                <w:tab w:val="left" w:pos="284"/>
              </w:tabs>
              <w:jc w:val="right"/>
              <w:rPr>
                <w:rFonts w:ascii="Arial" w:hAnsi="Arial" w:cs="Arial"/>
                <w:b/>
                <w:bCs/>
                <w:color w:val="000000"/>
                <w:sz w:val="22"/>
                <w:szCs w:val="22"/>
              </w:rPr>
            </w:pPr>
          </w:p>
        </w:tc>
        <w:tc>
          <w:tcPr>
            <w:tcW w:w="1407" w:type="dxa"/>
            <w:shd w:val="clear" w:color="FFFFFF" w:fill="FFFFFF"/>
            <w:noWrap/>
            <w:hideMark/>
          </w:tcPr>
          <w:p w14:paraId="12C4A8BD"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5,050</w:t>
            </w:r>
          </w:p>
        </w:tc>
        <w:tc>
          <w:tcPr>
            <w:tcW w:w="1649" w:type="dxa"/>
            <w:shd w:val="clear" w:color="FFFFFF" w:fill="FFFFFF"/>
            <w:noWrap/>
            <w:hideMark/>
          </w:tcPr>
          <w:p w14:paraId="1D8A2870"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(24,150)</w:t>
            </w:r>
          </w:p>
        </w:tc>
      </w:tr>
      <w:tr w:rsidR="00F753E8" w:rsidRPr="00B21860" w14:paraId="4156AEEA" w14:textId="77777777" w:rsidTr="006E1769">
        <w:trPr>
          <w:trHeight w:val="70"/>
          <w:jc w:val="center"/>
        </w:trPr>
        <w:tc>
          <w:tcPr>
            <w:tcW w:w="2262" w:type="dxa"/>
            <w:shd w:val="clear" w:color="FFFFFF" w:fill="FFFFFF"/>
            <w:hideMark/>
          </w:tcPr>
          <w:p w14:paraId="6151ACFA"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Pending Trade Sales</w:t>
            </w:r>
          </w:p>
        </w:tc>
        <w:tc>
          <w:tcPr>
            <w:tcW w:w="1371" w:type="dxa"/>
            <w:shd w:val="clear" w:color="FFFFFF" w:fill="FFFFFF"/>
            <w:noWrap/>
            <w:hideMark/>
          </w:tcPr>
          <w:p w14:paraId="1565D175"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0</w:t>
            </w:r>
          </w:p>
        </w:tc>
        <w:tc>
          <w:tcPr>
            <w:tcW w:w="1329" w:type="dxa"/>
            <w:shd w:val="clear" w:color="FFFFFF" w:fill="FFFFFF"/>
            <w:noWrap/>
            <w:hideMark/>
          </w:tcPr>
          <w:p w14:paraId="7E2138C9" w14:textId="77777777" w:rsidR="00F753E8" w:rsidRPr="00EE007C" w:rsidRDefault="00F753E8" w:rsidP="006E1769">
            <w:pPr>
              <w:tabs>
                <w:tab w:val="left" w:pos="284"/>
              </w:tabs>
              <w:jc w:val="right"/>
              <w:rPr>
                <w:rFonts w:ascii="Arial" w:hAnsi="Arial" w:cs="Arial"/>
                <w:b/>
                <w:bCs/>
                <w:color w:val="000000"/>
                <w:sz w:val="22"/>
                <w:szCs w:val="22"/>
              </w:rPr>
            </w:pPr>
          </w:p>
        </w:tc>
        <w:tc>
          <w:tcPr>
            <w:tcW w:w="1706" w:type="dxa"/>
            <w:shd w:val="clear" w:color="FFFFFF" w:fill="FFFFFF"/>
            <w:noWrap/>
            <w:hideMark/>
          </w:tcPr>
          <w:p w14:paraId="5B8C7B91" w14:textId="77777777" w:rsidR="00F753E8" w:rsidRPr="00EE007C" w:rsidRDefault="00F753E8" w:rsidP="006E1769">
            <w:pPr>
              <w:jc w:val="right"/>
              <w:rPr>
                <w:rFonts w:ascii="Arial" w:hAnsi="Arial" w:cs="Arial"/>
                <w:b/>
                <w:bCs/>
                <w:color w:val="000000"/>
                <w:sz w:val="22"/>
                <w:szCs w:val="22"/>
              </w:rPr>
            </w:pPr>
            <w:r w:rsidRPr="00EE007C">
              <w:rPr>
                <w:rFonts w:ascii="Arial" w:hAnsi="Arial" w:cs="Arial"/>
                <w:sz w:val="22"/>
                <w:szCs w:val="22"/>
              </w:rPr>
              <w:t>3,518</w:t>
            </w:r>
          </w:p>
        </w:tc>
        <w:tc>
          <w:tcPr>
            <w:tcW w:w="1371" w:type="dxa"/>
            <w:shd w:val="clear" w:color="FFFFFF" w:fill="FFFFFF"/>
            <w:noWrap/>
            <w:hideMark/>
          </w:tcPr>
          <w:p w14:paraId="376D4FF4"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8</w:t>
            </w:r>
          </w:p>
        </w:tc>
        <w:tc>
          <w:tcPr>
            <w:tcW w:w="1407" w:type="dxa"/>
            <w:shd w:val="clear" w:color="FFFFFF" w:fill="FFFFFF"/>
            <w:noWrap/>
            <w:hideMark/>
          </w:tcPr>
          <w:p w14:paraId="77A11B27"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shd w:val="clear" w:color="FFFFFF" w:fill="FFFFFF"/>
            <w:noWrap/>
            <w:hideMark/>
          </w:tcPr>
          <w:p w14:paraId="7A9BAD5C"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3,527</w:t>
            </w:r>
          </w:p>
        </w:tc>
      </w:tr>
      <w:tr w:rsidR="00F753E8" w:rsidRPr="00B21860" w14:paraId="6EF0EED0" w14:textId="77777777" w:rsidTr="006E1769">
        <w:trPr>
          <w:trHeight w:val="70"/>
          <w:jc w:val="center"/>
        </w:trPr>
        <w:tc>
          <w:tcPr>
            <w:tcW w:w="2262" w:type="dxa"/>
            <w:shd w:val="clear" w:color="FFFFFF" w:fill="FFFFFF"/>
            <w:hideMark/>
          </w:tcPr>
          <w:p w14:paraId="358110AA"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Other Investments</w:t>
            </w:r>
          </w:p>
        </w:tc>
        <w:tc>
          <w:tcPr>
            <w:tcW w:w="1371" w:type="dxa"/>
            <w:tcBorders>
              <w:bottom w:val="single" w:sz="4" w:space="0" w:color="auto"/>
            </w:tcBorders>
            <w:shd w:val="clear" w:color="FFFFFF" w:fill="FFFFFF"/>
            <w:noWrap/>
            <w:hideMark/>
          </w:tcPr>
          <w:p w14:paraId="33691270"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9</w:t>
            </w:r>
          </w:p>
        </w:tc>
        <w:tc>
          <w:tcPr>
            <w:tcW w:w="1329" w:type="dxa"/>
            <w:tcBorders>
              <w:bottom w:val="single" w:sz="4" w:space="0" w:color="auto"/>
            </w:tcBorders>
            <w:shd w:val="clear" w:color="FFFFFF" w:fill="FFFFFF"/>
            <w:noWrap/>
            <w:hideMark/>
          </w:tcPr>
          <w:p w14:paraId="60F533DE" w14:textId="77777777" w:rsidR="00F753E8" w:rsidRPr="00EE007C" w:rsidRDefault="00F753E8" w:rsidP="006E1769">
            <w:pPr>
              <w:tabs>
                <w:tab w:val="left" w:pos="284"/>
              </w:tabs>
              <w:jc w:val="right"/>
              <w:rPr>
                <w:rFonts w:ascii="Arial" w:hAnsi="Arial" w:cs="Arial"/>
                <w:b/>
                <w:bCs/>
                <w:color w:val="000000"/>
                <w:sz w:val="22"/>
                <w:szCs w:val="22"/>
              </w:rPr>
            </w:pPr>
          </w:p>
        </w:tc>
        <w:tc>
          <w:tcPr>
            <w:tcW w:w="1706" w:type="dxa"/>
            <w:tcBorders>
              <w:bottom w:val="single" w:sz="4" w:space="0" w:color="auto"/>
            </w:tcBorders>
            <w:shd w:val="clear" w:color="FFFFFF" w:fill="FFFFFF"/>
            <w:noWrap/>
            <w:hideMark/>
          </w:tcPr>
          <w:p w14:paraId="39D3BC0B" w14:textId="77777777" w:rsidR="00F753E8" w:rsidRPr="00EE007C" w:rsidRDefault="00F753E8" w:rsidP="006E1769">
            <w:pPr>
              <w:tabs>
                <w:tab w:val="left" w:pos="284"/>
              </w:tabs>
              <w:jc w:val="right"/>
              <w:rPr>
                <w:rFonts w:ascii="Arial" w:hAnsi="Arial" w:cs="Arial"/>
                <w:b/>
                <w:bCs/>
                <w:color w:val="000000"/>
                <w:sz w:val="22"/>
                <w:szCs w:val="22"/>
              </w:rPr>
            </w:pPr>
          </w:p>
        </w:tc>
        <w:tc>
          <w:tcPr>
            <w:tcW w:w="1371" w:type="dxa"/>
            <w:tcBorders>
              <w:bottom w:val="single" w:sz="4" w:space="0" w:color="auto"/>
            </w:tcBorders>
            <w:shd w:val="clear" w:color="FFFFFF" w:fill="FFFFFF"/>
            <w:noWrap/>
            <w:hideMark/>
          </w:tcPr>
          <w:p w14:paraId="0AE1B729" w14:textId="77777777" w:rsidR="00F753E8" w:rsidRPr="00EE007C" w:rsidRDefault="00F753E8" w:rsidP="006E1769">
            <w:pPr>
              <w:tabs>
                <w:tab w:val="left" w:pos="284"/>
              </w:tabs>
              <w:jc w:val="right"/>
              <w:rPr>
                <w:rFonts w:ascii="Arial" w:hAnsi="Arial" w:cs="Arial"/>
                <w:b/>
                <w:bCs/>
                <w:color w:val="000000"/>
                <w:sz w:val="22"/>
                <w:szCs w:val="22"/>
              </w:rPr>
            </w:pPr>
          </w:p>
        </w:tc>
        <w:tc>
          <w:tcPr>
            <w:tcW w:w="1407" w:type="dxa"/>
            <w:tcBorders>
              <w:bottom w:val="single" w:sz="4" w:space="0" w:color="auto"/>
            </w:tcBorders>
            <w:shd w:val="clear" w:color="FFFFFF" w:fill="FFFFFF"/>
            <w:noWrap/>
            <w:hideMark/>
          </w:tcPr>
          <w:p w14:paraId="103C461C" w14:textId="77777777" w:rsidR="00F753E8" w:rsidRPr="00EE007C" w:rsidRDefault="00F753E8" w:rsidP="006E1769">
            <w:pPr>
              <w:tabs>
                <w:tab w:val="left" w:pos="284"/>
              </w:tabs>
              <w:jc w:val="right"/>
              <w:rPr>
                <w:rFonts w:ascii="Arial" w:hAnsi="Arial" w:cs="Arial"/>
                <w:b/>
                <w:bCs/>
                <w:color w:val="000000"/>
                <w:sz w:val="22"/>
                <w:szCs w:val="22"/>
              </w:rPr>
            </w:pPr>
          </w:p>
        </w:tc>
        <w:tc>
          <w:tcPr>
            <w:tcW w:w="1649" w:type="dxa"/>
            <w:tcBorders>
              <w:bottom w:val="single" w:sz="4" w:space="0" w:color="auto"/>
            </w:tcBorders>
            <w:shd w:val="clear" w:color="FFFFFF" w:fill="FFFFFF"/>
            <w:noWrap/>
            <w:hideMark/>
          </w:tcPr>
          <w:p w14:paraId="735A6C12"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0</w:t>
            </w:r>
          </w:p>
        </w:tc>
      </w:tr>
      <w:tr w:rsidR="00F753E8" w:rsidRPr="00B21860" w14:paraId="15CD3013" w14:textId="77777777" w:rsidTr="006E1769">
        <w:trPr>
          <w:trHeight w:val="77"/>
          <w:jc w:val="center"/>
        </w:trPr>
        <w:tc>
          <w:tcPr>
            <w:tcW w:w="2262" w:type="dxa"/>
            <w:shd w:val="clear" w:color="FFFFFF" w:fill="FFFFFF"/>
            <w:hideMark/>
          </w:tcPr>
          <w:p w14:paraId="2C06A091" w14:textId="77777777" w:rsidR="00F753E8" w:rsidRPr="000E76AB" w:rsidRDefault="00F753E8" w:rsidP="006E1769">
            <w:pPr>
              <w:tabs>
                <w:tab w:val="left" w:pos="284"/>
              </w:tabs>
              <w:jc w:val="both"/>
              <w:rPr>
                <w:rFonts w:ascii="Arial" w:hAnsi="Arial" w:cs="Arial"/>
                <w:color w:val="000000"/>
                <w:sz w:val="22"/>
                <w:szCs w:val="22"/>
              </w:rPr>
            </w:pPr>
            <w:r w:rsidRPr="000E76AB">
              <w:rPr>
                <w:rFonts w:ascii="Arial" w:hAnsi="Arial" w:cs="Arial"/>
                <w:sz w:val="22"/>
                <w:szCs w:val="22"/>
              </w:rPr>
              <w:t>Total</w:t>
            </w:r>
          </w:p>
        </w:tc>
        <w:tc>
          <w:tcPr>
            <w:tcW w:w="1371" w:type="dxa"/>
            <w:tcBorders>
              <w:top w:val="single" w:sz="4" w:space="0" w:color="auto"/>
              <w:bottom w:val="single" w:sz="4" w:space="0" w:color="auto"/>
            </w:tcBorders>
            <w:shd w:val="clear" w:color="FFFFFF" w:fill="FFFFFF"/>
            <w:noWrap/>
            <w:hideMark/>
          </w:tcPr>
          <w:p w14:paraId="154AB006"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1,282,790</w:t>
            </w:r>
          </w:p>
        </w:tc>
        <w:tc>
          <w:tcPr>
            <w:tcW w:w="1329" w:type="dxa"/>
            <w:tcBorders>
              <w:top w:val="single" w:sz="4" w:space="0" w:color="auto"/>
              <w:bottom w:val="single" w:sz="4" w:space="0" w:color="auto"/>
            </w:tcBorders>
            <w:shd w:val="clear" w:color="FFFFFF" w:fill="FFFFFF"/>
            <w:noWrap/>
            <w:hideMark/>
          </w:tcPr>
          <w:p w14:paraId="6D4F8562"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79,346</w:t>
            </w:r>
          </w:p>
        </w:tc>
        <w:tc>
          <w:tcPr>
            <w:tcW w:w="1706" w:type="dxa"/>
            <w:tcBorders>
              <w:top w:val="single" w:sz="4" w:space="0" w:color="auto"/>
              <w:bottom w:val="single" w:sz="4" w:space="0" w:color="auto"/>
            </w:tcBorders>
            <w:shd w:val="clear" w:color="FFFFFF" w:fill="FFFFFF"/>
            <w:noWrap/>
            <w:hideMark/>
          </w:tcPr>
          <w:p w14:paraId="1EBCEB14"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-70,266</w:t>
            </w:r>
          </w:p>
        </w:tc>
        <w:tc>
          <w:tcPr>
            <w:tcW w:w="1371" w:type="dxa"/>
            <w:tcBorders>
              <w:top w:val="single" w:sz="4" w:space="0" w:color="auto"/>
              <w:bottom w:val="single" w:sz="4" w:space="0" w:color="auto"/>
            </w:tcBorders>
            <w:shd w:val="clear" w:color="FFFFFF" w:fill="FFFFFF"/>
            <w:noWrap/>
            <w:hideMark/>
          </w:tcPr>
          <w:p w14:paraId="50931616"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66,404</w:t>
            </w:r>
          </w:p>
        </w:tc>
        <w:tc>
          <w:tcPr>
            <w:tcW w:w="1407" w:type="dxa"/>
            <w:tcBorders>
              <w:top w:val="single" w:sz="4" w:space="0" w:color="auto"/>
              <w:bottom w:val="single" w:sz="4" w:space="0" w:color="auto"/>
            </w:tcBorders>
            <w:shd w:val="clear" w:color="FFFFFF" w:fill="FFFFFF"/>
            <w:noWrap/>
            <w:hideMark/>
          </w:tcPr>
          <w:p w14:paraId="35C33032"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2,633</w:t>
            </w:r>
          </w:p>
        </w:tc>
        <w:tc>
          <w:tcPr>
            <w:tcW w:w="1649" w:type="dxa"/>
            <w:tcBorders>
              <w:top w:val="single" w:sz="4" w:space="0" w:color="auto"/>
              <w:bottom w:val="single" w:sz="4" w:space="0" w:color="auto"/>
            </w:tcBorders>
            <w:shd w:val="clear" w:color="FFFFFF" w:fill="FFFFFF"/>
            <w:noWrap/>
            <w:hideMark/>
          </w:tcPr>
          <w:p w14:paraId="1C1CBEB7" w14:textId="77777777" w:rsidR="00F753E8" w:rsidRPr="00EE007C" w:rsidRDefault="00F753E8" w:rsidP="006E1769">
            <w:pPr>
              <w:tabs>
                <w:tab w:val="left" w:pos="284"/>
              </w:tabs>
              <w:jc w:val="right"/>
              <w:rPr>
                <w:rFonts w:ascii="Arial" w:hAnsi="Arial" w:cs="Arial"/>
                <w:b/>
                <w:bCs/>
                <w:color w:val="000000"/>
                <w:sz w:val="22"/>
                <w:szCs w:val="22"/>
              </w:rPr>
            </w:pPr>
            <w:r w:rsidRPr="00EE007C">
              <w:rPr>
                <w:rFonts w:ascii="Arial" w:hAnsi="Arial" w:cs="Arial"/>
                <w:sz w:val="22"/>
                <w:szCs w:val="22"/>
              </w:rPr>
              <w:t>1,360,898</w:t>
            </w:r>
          </w:p>
        </w:tc>
      </w:tr>
    </w:tbl>
    <w:p w14:paraId="2ADA127A" w14:textId="77777777" w:rsidR="00F753E8" w:rsidRPr="008A0A4E" w:rsidRDefault="00F753E8" w:rsidP="00F753E8">
      <w:pPr>
        <w:tabs>
          <w:tab w:val="left" w:pos="284"/>
        </w:tabs>
        <w:jc w:val="both"/>
        <w:rPr>
          <w:rFonts w:ascii="Arial" w:hAnsi="Arial" w:cs="Arial"/>
          <w:sz w:val="22"/>
          <w:szCs w:val="22"/>
        </w:rPr>
      </w:pPr>
    </w:p>
    <w:tbl>
      <w:tblPr>
        <w:tblW w:w="11225" w:type="dxa"/>
        <w:jc w:val="center"/>
        <w:tblLook w:val="04A0" w:firstRow="1" w:lastRow="0" w:firstColumn="1" w:lastColumn="0" w:noHBand="0" w:noVBand="1"/>
      </w:tblPr>
      <w:tblGrid>
        <w:gridCol w:w="2442"/>
        <w:gridCol w:w="1561"/>
        <w:gridCol w:w="1516"/>
        <w:gridCol w:w="1152"/>
        <w:gridCol w:w="1557"/>
        <w:gridCol w:w="1531"/>
        <w:gridCol w:w="10"/>
        <w:gridCol w:w="1456"/>
      </w:tblGrid>
      <w:tr w:rsidR="00F753E8" w:rsidRPr="008F353B" w14:paraId="615B5B3A" w14:textId="77777777" w:rsidTr="006E1769">
        <w:trPr>
          <w:trHeight w:val="279"/>
          <w:jc w:val="center"/>
        </w:trPr>
        <w:tc>
          <w:tcPr>
            <w:tcW w:w="2442" w:type="dxa"/>
            <w:shd w:val="clear" w:color="FFFFFF" w:fill="FFFFFF"/>
            <w:vAlign w:val="bottom"/>
            <w:hideMark/>
          </w:tcPr>
          <w:p w14:paraId="0B03ACC3" w14:textId="77777777" w:rsidR="00F753E8" w:rsidRPr="00387917" w:rsidRDefault="00F753E8" w:rsidP="006E1769">
            <w:pPr>
              <w:rPr>
                <w:rFonts w:ascii="Arial" w:hAnsi="Arial" w:cs="Arial"/>
                <w:b/>
                <w:color w:val="000000"/>
                <w:sz w:val="22"/>
                <w:szCs w:val="22"/>
              </w:rPr>
            </w:pPr>
            <w:r w:rsidRPr="00387917">
              <w:rPr>
                <w:rFonts w:ascii="Arial" w:hAnsi="Arial" w:cs="Arial"/>
                <w:b/>
                <w:color w:val="000000"/>
                <w:sz w:val="22"/>
                <w:szCs w:val="22"/>
              </w:rPr>
              <w:t> </w:t>
            </w:r>
          </w:p>
        </w:tc>
        <w:tc>
          <w:tcPr>
            <w:tcW w:w="1561" w:type="dxa"/>
            <w:shd w:val="clear" w:color="FFFFFF" w:fill="FFFFFF"/>
            <w:noWrap/>
            <w:vAlign w:val="bottom"/>
            <w:hideMark/>
          </w:tcPr>
          <w:p w14:paraId="27077189"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Value</w:t>
            </w:r>
          </w:p>
        </w:tc>
        <w:tc>
          <w:tcPr>
            <w:tcW w:w="1516" w:type="dxa"/>
            <w:shd w:val="clear" w:color="FFFFFF" w:fill="FFFFFF"/>
            <w:noWrap/>
            <w:vAlign w:val="bottom"/>
            <w:hideMark/>
          </w:tcPr>
          <w:p w14:paraId="639B4D30" w14:textId="77777777" w:rsidR="00F753E8" w:rsidRPr="00D414D0" w:rsidRDefault="00F753E8" w:rsidP="006E1769">
            <w:pPr>
              <w:jc w:val="center"/>
              <w:rPr>
                <w:rFonts w:ascii="Arial" w:hAnsi="Arial" w:cs="Arial"/>
                <w:color w:val="000000"/>
                <w:sz w:val="22"/>
                <w:szCs w:val="22"/>
              </w:rPr>
            </w:pPr>
          </w:p>
        </w:tc>
        <w:tc>
          <w:tcPr>
            <w:tcW w:w="1152" w:type="dxa"/>
            <w:shd w:val="clear" w:color="FFFFFF" w:fill="FFFFFF"/>
            <w:noWrap/>
            <w:vAlign w:val="bottom"/>
            <w:hideMark/>
          </w:tcPr>
          <w:p w14:paraId="57ED2206" w14:textId="77777777" w:rsidR="00F753E8" w:rsidRPr="00D414D0" w:rsidRDefault="00F753E8" w:rsidP="006E1769">
            <w:pPr>
              <w:jc w:val="center"/>
              <w:rPr>
                <w:rFonts w:ascii="Arial" w:hAnsi="Arial" w:cs="Arial"/>
                <w:color w:val="000000"/>
                <w:sz w:val="22"/>
                <w:szCs w:val="22"/>
              </w:rPr>
            </w:pPr>
          </w:p>
        </w:tc>
        <w:tc>
          <w:tcPr>
            <w:tcW w:w="1557" w:type="dxa"/>
            <w:shd w:val="clear" w:color="FFFFFF" w:fill="FFFFFF"/>
            <w:noWrap/>
            <w:vAlign w:val="bottom"/>
            <w:hideMark/>
          </w:tcPr>
          <w:p w14:paraId="3F3F161F"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Change in</w:t>
            </w:r>
          </w:p>
        </w:tc>
        <w:tc>
          <w:tcPr>
            <w:tcW w:w="1531" w:type="dxa"/>
            <w:shd w:val="clear" w:color="FFFFFF" w:fill="FFFFFF"/>
            <w:noWrap/>
            <w:vAlign w:val="bottom"/>
            <w:hideMark/>
          </w:tcPr>
          <w:p w14:paraId="72408A36"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Cash</w:t>
            </w:r>
          </w:p>
        </w:tc>
        <w:tc>
          <w:tcPr>
            <w:tcW w:w="1466" w:type="dxa"/>
            <w:gridSpan w:val="2"/>
            <w:shd w:val="clear" w:color="FFFFFF" w:fill="FFFFFF"/>
            <w:noWrap/>
            <w:vAlign w:val="bottom"/>
            <w:hideMark/>
          </w:tcPr>
          <w:p w14:paraId="3103297D"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Value</w:t>
            </w:r>
          </w:p>
        </w:tc>
      </w:tr>
      <w:tr w:rsidR="00F753E8" w:rsidRPr="008F353B" w14:paraId="3F0194FB" w14:textId="77777777" w:rsidTr="006E1769">
        <w:trPr>
          <w:trHeight w:val="228"/>
          <w:jc w:val="center"/>
        </w:trPr>
        <w:tc>
          <w:tcPr>
            <w:tcW w:w="2442" w:type="dxa"/>
            <w:shd w:val="clear" w:color="FFFFFF" w:fill="FFFFFF"/>
            <w:vAlign w:val="bottom"/>
            <w:hideMark/>
          </w:tcPr>
          <w:p w14:paraId="08C7B077" w14:textId="77777777" w:rsidR="00F753E8" w:rsidRPr="008F353B" w:rsidRDefault="00F753E8" w:rsidP="006E1769">
            <w:pPr>
              <w:ind w:left="-384"/>
              <w:rPr>
                <w:rFonts w:ascii="Arial" w:hAnsi="Arial" w:cs="Arial"/>
                <w:bCs/>
                <w:color w:val="000000"/>
                <w:sz w:val="22"/>
                <w:szCs w:val="22"/>
              </w:rPr>
            </w:pPr>
            <w:r w:rsidRPr="008F353B">
              <w:rPr>
                <w:rFonts w:ascii="Arial" w:hAnsi="Arial" w:cs="Arial"/>
                <w:bCs/>
                <w:color w:val="000000"/>
                <w:sz w:val="22"/>
                <w:szCs w:val="22"/>
              </w:rPr>
              <w:t> </w:t>
            </w:r>
          </w:p>
        </w:tc>
        <w:tc>
          <w:tcPr>
            <w:tcW w:w="1561" w:type="dxa"/>
            <w:shd w:val="clear" w:color="FFFFFF" w:fill="FFFFFF"/>
            <w:noWrap/>
            <w:vAlign w:val="bottom"/>
            <w:hideMark/>
          </w:tcPr>
          <w:p w14:paraId="6FC98A63"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31/03/2020</w:t>
            </w:r>
          </w:p>
        </w:tc>
        <w:tc>
          <w:tcPr>
            <w:tcW w:w="1516" w:type="dxa"/>
            <w:shd w:val="clear" w:color="FFFFFF" w:fill="FFFFFF"/>
            <w:noWrap/>
            <w:vAlign w:val="bottom"/>
            <w:hideMark/>
          </w:tcPr>
          <w:p w14:paraId="21CEEAE8"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Purchases</w:t>
            </w:r>
          </w:p>
        </w:tc>
        <w:tc>
          <w:tcPr>
            <w:tcW w:w="1152" w:type="dxa"/>
            <w:shd w:val="clear" w:color="FFFFFF" w:fill="FFFFFF"/>
            <w:noWrap/>
            <w:vAlign w:val="bottom"/>
            <w:hideMark/>
          </w:tcPr>
          <w:p w14:paraId="1A169256"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Sales</w:t>
            </w:r>
          </w:p>
        </w:tc>
        <w:tc>
          <w:tcPr>
            <w:tcW w:w="1557" w:type="dxa"/>
            <w:shd w:val="clear" w:color="FFFFFF" w:fill="FFFFFF"/>
            <w:noWrap/>
            <w:vAlign w:val="bottom"/>
            <w:hideMark/>
          </w:tcPr>
          <w:p w14:paraId="6EF8AEBA"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Fair Value</w:t>
            </w:r>
          </w:p>
        </w:tc>
        <w:tc>
          <w:tcPr>
            <w:tcW w:w="1531" w:type="dxa"/>
            <w:shd w:val="clear" w:color="FFFFFF" w:fill="FFFFFF"/>
            <w:noWrap/>
            <w:vAlign w:val="bottom"/>
            <w:hideMark/>
          </w:tcPr>
          <w:p w14:paraId="55540C55"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Movement</w:t>
            </w:r>
          </w:p>
        </w:tc>
        <w:tc>
          <w:tcPr>
            <w:tcW w:w="1466" w:type="dxa"/>
            <w:gridSpan w:val="2"/>
            <w:shd w:val="clear" w:color="FFFFFF" w:fill="FFFFFF"/>
            <w:noWrap/>
            <w:vAlign w:val="bottom"/>
            <w:hideMark/>
          </w:tcPr>
          <w:p w14:paraId="1469EEF9"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31/03/2021</w:t>
            </w:r>
          </w:p>
        </w:tc>
      </w:tr>
      <w:tr w:rsidR="00F753E8" w:rsidRPr="00B64150" w14:paraId="7CF6E87D" w14:textId="77777777" w:rsidTr="006E1769">
        <w:trPr>
          <w:trHeight w:val="83"/>
          <w:jc w:val="center"/>
        </w:trPr>
        <w:tc>
          <w:tcPr>
            <w:tcW w:w="2442" w:type="dxa"/>
            <w:shd w:val="clear" w:color="FFFFFF" w:fill="FFFFFF"/>
            <w:vAlign w:val="bottom"/>
            <w:hideMark/>
          </w:tcPr>
          <w:p w14:paraId="3ABD48CF"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 </w:t>
            </w:r>
          </w:p>
        </w:tc>
        <w:tc>
          <w:tcPr>
            <w:tcW w:w="1561" w:type="dxa"/>
            <w:shd w:val="clear" w:color="FFFFFF" w:fill="FFFFFF"/>
            <w:noWrap/>
            <w:vAlign w:val="bottom"/>
            <w:hideMark/>
          </w:tcPr>
          <w:p w14:paraId="0A9F0F0F"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£000</w:t>
            </w:r>
          </w:p>
        </w:tc>
        <w:tc>
          <w:tcPr>
            <w:tcW w:w="1516" w:type="dxa"/>
            <w:shd w:val="clear" w:color="FFFFFF" w:fill="FFFFFF"/>
            <w:noWrap/>
            <w:vAlign w:val="bottom"/>
            <w:hideMark/>
          </w:tcPr>
          <w:p w14:paraId="13116E78"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£000</w:t>
            </w:r>
          </w:p>
        </w:tc>
        <w:tc>
          <w:tcPr>
            <w:tcW w:w="1152" w:type="dxa"/>
            <w:shd w:val="clear" w:color="FFFFFF" w:fill="FFFFFF"/>
            <w:noWrap/>
            <w:vAlign w:val="bottom"/>
            <w:hideMark/>
          </w:tcPr>
          <w:p w14:paraId="1EC7B807"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£000</w:t>
            </w:r>
          </w:p>
        </w:tc>
        <w:tc>
          <w:tcPr>
            <w:tcW w:w="1557" w:type="dxa"/>
            <w:shd w:val="clear" w:color="FFFFFF" w:fill="FFFFFF"/>
            <w:noWrap/>
            <w:vAlign w:val="bottom"/>
            <w:hideMark/>
          </w:tcPr>
          <w:p w14:paraId="6EEBB47D"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£000</w:t>
            </w:r>
          </w:p>
        </w:tc>
        <w:tc>
          <w:tcPr>
            <w:tcW w:w="1531" w:type="dxa"/>
            <w:shd w:val="clear" w:color="FFFFFF" w:fill="FFFFFF"/>
            <w:noWrap/>
            <w:vAlign w:val="bottom"/>
            <w:hideMark/>
          </w:tcPr>
          <w:p w14:paraId="63781858"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£000</w:t>
            </w:r>
          </w:p>
        </w:tc>
        <w:tc>
          <w:tcPr>
            <w:tcW w:w="1466" w:type="dxa"/>
            <w:gridSpan w:val="2"/>
            <w:shd w:val="clear" w:color="FFFFFF" w:fill="FFFFFF"/>
            <w:noWrap/>
            <w:vAlign w:val="bottom"/>
            <w:hideMark/>
          </w:tcPr>
          <w:p w14:paraId="114AC868" w14:textId="77777777" w:rsidR="00F753E8" w:rsidRPr="00D414D0" w:rsidRDefault="00F753E8" w:rsidP="006E1769">
            <w:pPr>
              <w:jc w:val="center"/>
              <w:rPr>
                <w:rFonts w:ascii="Arial" w:hAnsi="Arial" w:cs="Arial"/>
                <w:color w:val="000000"/>
                <w:sz w:val="22"/>
                <w:szCs w:val="22"/>
              </w:rPr>
            </w:pPr>
            <w:r w:rsidRPr="00D414D0">
              <w:rPr>
                <w:rFonts w:ascii="Arial" w:hAnsi="Arial" w:cs="Arial"/>
                <w:color w:val="000000"/>
                <w:sz w:val="22"/>
                <w:szCs w:val="22"/>
              </w:rPr>
              <w:t>£000</w:t>
            </w:r>
          </w:p>
        </w:tc>
      </w:tr>
      <w:tr w:rsidR="00F753E8" w:rsidRPr="00B64150" w14:paraId="1779E8BE" w14:textId="77777777" w:rsidTr="006E1769">
        <w:trPr>
          <w:trHeight w:val="279"/>
          <w:jc w:val="center"/>
        </w:trPr>
        <w:tc>
          <w:tcPr>
            <w:tcW w:w="2442" w:type="dxa"/>
            <w:shd w:val="clear" w:color="FFFFFF" w:fill="FFFFFF"/>
            <w:vAlign w:val="bottom"/>
            <w:hideMark/>
          </w:tcPr>
          <w:p w14:paraId="2741F1C8"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Pooled Unit Trusts</w:t>
            </w:r>
          </w:p>
        </w:tc>
        <w:tc>
          <w:tcPr>
            <w:tcW w:w="1561" w:type="dxa"/>
            <w:shd w:val="clear" w:color="FFFFFF" w:fill="FFFFFF"/>
            <w:noWrap/>
            <w:vAlign w:val="bottom"/>
          </w:tcPr>
          <w:p w14:paraId="27E54E90"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768,107</w:t>
            </w:r>
          </w:p>
        </w:tc>
        <w:tc>
          <w:tcPr>
            <w:tcW w:w="1516" w:type="dxa"/>
            <w:tcBorders>
              <w:top w:val="nil"/>
              <w:left w:val="nil"/>
              <w:bottom w:val="nil"/>
              <w:right w:val="nil"/>
            </w:tcBorders>
            <w:shd w:val="clear" w:color="000000" w:fill="FFFFFF"/>
            <w:noWrap/>
            <w:vAlign w:val="bottom"/>
          </w:tcPr>
          <w:p w14:paraId="2303BA0A"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5,803</w:t>
            </w:r>
          </w:p>
        </w:tc>
        <w:tc>
          <w:tcPr>
            <w:tcW w:w="1152" w:type="dxa"/>
            <w:tcBorders>
              <w:top w:val="nil"/>
              <w:left w:val="nil"/>
              <w:bottom w:val="nil"/>
              <w:right w:val="nil"/>
            </w:tcBorders>
            <w:shd w:val="clear" w:color="000000" w:fill="FFFFFF"/>
            <w:noWrap/>
            <w:vAlign w:val="bottom"/>
          </w:tcPr>
          <w:p w14:paraId="6104CF4C" w14:textId="77777777" w:rsidR="00F753E8" w:rsidRPr="00D414D0" w:rsidRDefault="00F753E8" w:rsidP="006E1769">
            <w:pPr>
              <w:jc w:val="right"/>
              <w:rPr>
                <w:rFonts w:ascii="Arial" w:hAnsi="Arial" w:cs="Arial"/>
                <w:sz w:val="22"/>
                <w:szCs w:val="22"/>
              </w:rPr>
            </w:pPr>
          </w:p>
        </w:tc>
        <w:tc>
          <w:tcPr>
            <w:tcW w:w="1557" w:type="dxa"/>
            <w:tcBorders>
              <w:top w:val="nil"/>
              <w:left w:val="nil"/>
              <w:bottom w:val="nil"/>
              <w:right w:val="nil"/>
            </w:tcBorders>
            <w:shd w:val="clear" w:color="auto" w:fill="auto"/>
            <w:noWrap/>
            <w:vAlign w:val="bottom"/>
          </w:tcPr>
          <w:p w14:paraId="10918342"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267,636</w:t>
            </w:r>
          </w:p>
        </w:tc>
        <w:tc>
          <w:tcPr>
            <w:tcW w:w="1531" w:type="dxa"/>
            <w:tcBorders>
              <w:top w:val="nil"/>
              <w:left w:val="nil"/>
              <w:bottom w:val="nil"/>
              <w:right w:val="nil"/>
            </w:tcBorders>
            <w:shd w:val="clear" w:color="000000" w:fill="FFFFFF"/>
            <w:noWrap/>
            <w:vAlign w:val="bottom"/>
          </w:tcPr>
          <w:p w14:paraId="39653CFD" w14:textId="77777777" w:rsidR="00F753E8" w:rsidRPr="00D414D0" w:rsidRDefault="00F753E8" w:rsidP="006E1769">
            <w:pPr>
              <w:jc w:val="right"/>
              <w:rPr>
                <w:rFonts w:ascii="Arial" w:hAnsi="Arial" w:cs="Arial"/>
                <w:color w:val="000000"/>
                <w:sz w:val="22"/>
                <w:szCs w:val="22"/>
              </w:rPr>
            </w:pPr>
          </w:p>
        </w:tc>
        <w:tc>
          <w:tcPr>
            <w:tcW w:w="1466" w:type="dxa"/>
            <w:gridSpan w:val="2"/>
            <w:tcBorders>
              <w:top w:val="nil"/>
              <w:left w:val="nil"/>
              <w:bottom w:val="nil"/>
              <w:right w:val="nil"/>
            </w:tcBorders>
            <w:shd w:val="clear" w:color="auto" w:fill="auto"/>
            <w:noWrap/>
            <w:vAlign w:val="bottom"/>
          </w:tcPr>
          <w:p w14:paraId="7BE190B8"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1,041,546</w:t>
            </w:r>
          </w:p>
        </w:tc>
      </w:tr>
      <w:tr w:rsidR="00F753E8" w:rsidRPr="00B64150" w14:paraId="731A5445" w14:textId="77777777" w:rsidTr="006E1769">
        <w:trPr>
          <w:trHeight w:val="279"/>
          <w:jc w:val="center"/>
        </w:trPr>
        <w:tc>
          <w:tcPr>
            <w:tcW w:w="2442" w:type="dxa"/>
            <w:shd w:val="clear" w:color="FFFFFF" w:fill="FFFFFF"/>
            <w:vAlign w:val="bottom"/>
            <w:hideMark/>
          </w:tcPr>
          <w:p w14:paraId="3AE28B47"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Property Unit Trusts</w:t>
            </w:r>
          </w:p>
        </w:tc>
        <w:tc>
          <w:tcPr>
            <w:tcW w:w="1561" w:type="dxa"/>
            <w:shd w:val="clear" w:color="FFFFFF" w:fill="FFFFFF"/>
            <w:noWrap/>
            <w:vAlign w:val="bottom"/>
          </w:tcPr>
          <w:p w14:paraId="2005FCDC"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59,985</w:t>
            </w:r>
          </w:p>
        </w:tc>
        <w:tc>
          <w:tcPr>
            <w:tcW w:w="1516" w:type="dxa"/>
            <w:tcBorders>
              <w:top w:val="nil"/>
              <w:left w:val="nil"/>
              <w:bottom w:val="nil"/>
              <w:right w:val="nil"/>
            </w:tcBorders>
            <w:shd w:val="clear" w:color="000000" w:fill="FFFFFF"/>
            <w:noWrap/>
            <w:vAlign w:val="bottom"/>
          </w:tcPr>
          <w:p w14:paraId="20C24423" w14:textId="77777777" w:rsidR="00F753E8" w:rsidRPr="00D414D0" w:rsidRDefault="00F753E8" w:rsidP="006E1769">
            <w:pPr>
              <w:jc w:val="right"/>
              <w:rPr>
                <w:rFonts w:ascii="Arial" w:hAnsi="Arial" w:cs="Arial"/>
                <w:sz w:val="22"/>
                <w:szCs w:val="22"/>
              </w:rPr>
            </w:pPr>
          </w:p>
        </w:tc>
        <w:tc>
          <w:tcPr>
            <w:tcW w:w="1152" w:type="dxa"/>
            <w:tcBorders>
              <w:top w:val="nil"/>
              <w:left w:val="nil"/>
              <w:bottom w:val="nil"/>
              <w:right w:val="nil"/>
            </w:tcBorders>
            <w:shd w:val="clear" w:color="000000" w:fill="FFFFFF"/>
            <w:noWrap/>
            <w:vAlign w:val="bottom"/>
          </w:tcPr>
          <w:p w14:paraId="57BCBFBD" w14:textId="77777777" w:rsidR="00F753E8" w:rsidRPr="00D414D0" w:rsidRDefault="00F753E8" w:rsidP="006E1769">
            <w:pPr>
              <w:jc w:val="right"/>
              <w:rPr>
                <w:rFonts w:ascii="Arial" w:hAnsi="Arial" w:cs="Arial"/>
                <w:sz w:val="22"/>
                <w:szCs w:val="22"/>
              </w:rPr>
            </w:pPr>
          </w:p>
        </w:tc>
        <w:tc>
          <w:tcPr>
            <w:tcW w:w="1557" w:type="dxa"/>
            <w:tcBorders>
              <w:top w:val="nil"/>
              <w:left w:val="nil"/>
              <w:bottom w:val="nil"/>
              <w:right w:val="nil"/>
            </w:tcBorders>
            <w:shd w:val="clear" w:color="auto" w:fill="auto"/>
            <w:noWrap/>
            <w:vAlign w:val="bottom"/>
          </w:tcPr>
          <w:p w14:paraId="7F14AB5E"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265</w:t>
            </w:r>
          </w:p>
        </w:tc>
        <w:tc>
          <w:tcPr>
            <w:tcW w:w="1531" w:type="dxa"/>
            <w:tcBorders>
              <w:top w:val="nil"/>
              <w:left w:val="nil"/>
              <w:bottom w:val="nil"/>
              <w:right w:val="nil"/>
            </w:tcBorders>
            <w:shd w:val="clear" w:color="000000" w:fill="FFFFFF"/>
            <w:noWrap/>
            <w:vAlign w:val="bottom"/>
          </w:tcPr>
          <w:p w14:paraId="56FF4310" w14:textId="77777777" w:rsidR="00F753E8" w:rsidRPr="00D414D0" w:rsidRDefault="00F753E8" w:rsidP="006E1769">
            <w:pPr>
              <w:jc w:val="right"/>
              <w:rPr>
                <w:rFonts w:ascii="Arial" w:hAnsi="Arial" w:cs="Arial"/>
                <w:sz w:val="22"/>
                <w:szCs w:val="22"/>
              </w:rPr>
            </w:pPr>
          </w:p>
        </w:tc>
        <w:tc>
          <w:tcPr>
            <w:tcW w:w="1466" w:type="dxa"/>
            <w:gridSpan w:val="2"/>
            <w:tcBorders>
              <w:top w:val="nil"/>
              <w:left w:val="nil"/>
              <w:bottom w:val="nil"/>
              <w:right w:val="nil"/>
            </w:tcBorders>
            <w:shd w:val="clear" w:color="auto" w:fill="auto"/>
            <w:noWrap/>
            <w:vAlign w:val="bottom"/>
          </w:tcPr>
          <w:p w14:paraId="19BC97DA"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60,250</w:t>
            </w:r>
          </w:p>
        </w:tc>
      </w:tr>
      <w:tr w:rsidR="00F753E8" w:rsidRPr="00B64150" w14:paraId="737547B4" w14:textId="77777777" w:rsidTr="006E1769">
        <w:trPr>
          <w:trHeight w:val="279"/>
          <w:jc w:val="center"/>
        </w:trPr>
        <w:tc>
          <w:tcPr>
            <w:tcW w:w="2442" w:type="dxa"/>
            <w:shd w:val="clear" w:color="FFFFFF" w:fill="FFFFFF"/>
            <w:vAlign w:val="bottom"/>
            <w:hideMark/>
          </w:tcPr>
          <w:p w14:paraId="541FBF3F"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Pooled Alternatives</w:t>
            </w:r>
          </w:p>
        </w:tc>
        <w:tc>
          <w:tcPr>
            <w:tcW w:w="1561" w:type="dxa"/>
            <w:shd w:val="clear" w:color="FFFFFF" w:fill="FFFFFF"/>
            <w:noWrap/>
            <w:vAlign w:val="bottom"/>
          </w:tcPr>
          <w:p w14:paraId="60F8A82E"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64,969</w:t>
            </w:r>
          </w:p>
        </w:tc>
        <w:tc>
          <w:tcPr>
            <w:tcW w:w="1516" w:type="dxa"/>
            <w:tcBorders>
              <w:top w:val="nil"/>
              <w:left w:val="nil"/>
              <w:bottom w:val="nil"/>
              <w:right w:val="nil"/>
            </w:tcBorders>
            <w:shd w:val="clear" w:color="000000" w:fill="FFFFFF"/>
            <w:noWrap/>
            <w:vAlign w:val="bottom"/>
          </w:tcPr>
          <w:p w14:paraId="3E58D3D0"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38,059</w:t>
            </w:r>
          </w:p>
        </w:tc>
        <w:tc>
          <w:tcPr>
            <w:tcW w:w="1152" w:type="dxa"/>
            <w:tcBorders>
              <w:top w:val="nil"/>
              <w:left w:val="nil"/>
              <w:bottom w:val="nil"/>
              <w:right w:val="nil"/>
            </w:tcBorders>
            <w:shd w:val="clear" w:color="auto" w:fill="auto"/>
            <w:noWrap/>
            <w:vAlign w:val="bottom"/>
          </w:tcPr>
          <w:p w14:paraId="70C2AA00"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(19,453)</w:t>
            </w:r>
          </w:p>
        </w:tc>
        <w:tc>
          <w:tcPr>
            <w:tcW w:w="1557" w:type="dxa"/>
            <w:shd w:val="clear" w:color="FFFFFF" w:fill="FFFFFF"/>
            <w:noWrap/>
            <w:vAlign w:val="bottom"/>
          </w:tcPr>
          <w:p w14:paraId="7700C13A"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12,617</w:t>
            </w:r>
          </w:p>
        </w:tc>
        <w:tc>
          <w:tcPr>
            <w:tcW w:w="1531" w:type="dxa"/>
            <w:shd w:val="clear" w:color="FFFFFF" w:fill="FFFFFF"/>
            <w:noWrap/>
            <w:vAlign w:val="bottom"/>
          </w:tcPr>
          <w:p w14:paraId="7301B864" w14:textId="77777777" w:rsidR="00F753E8" w:rsidRPr="00D414D0" w:rsidRDefault="00F753E8" w:rsidP="006E1769">
            <w:pPr>
              <w:jc w:val="right"/>
              <w:rPr>
                <w:rFonts w:ascii="Arial" w:hAnsi="Arial" w:cs="Arial"/>
                <w:sz w:val="22"/>
                <w:szCs w:val="22"/>
              </w:rPr>
            </w:pPr>
          </w:p>
        </w:tc>
        <w:tc>
          <w:tcPr>
            <w:tcW w:w="1466" w:type="dxa"/>
            <w:gridSpan w:val="2"/>
            <w:shd w:val="clear" w:color="FFFFFF" w:fill="FFFFFF"/>
            <w:noWrap/>
            <w:vAlign w:val="bottom"/>
          </w:tcPr>
          <w:p w14:paraId="240BCAF1"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96,192</w:t>
            </w:r>
          </w:p>
        </w:tc>
      </w:tr>
      <w:tr w:rsidR="00F753E8" w:rsidRPr="00B64150" w14:paraId="06F4473F" w14:textId="77777777" w:rsidTr="006E1769">
        <w:trPr>
          <w:trHeight w:val="279"/>
          <w:jc w:val="center"/>
        </w:trPr>
        <w:tc>
          <w:tcPr>
            <w:tcW w:w="2442" w:type="dxa"/>
            <w:shd w:val="clear" w:color="FFFFFF" w:fill="FFFFFF"/>
            <w:vAlign w:val="bottom"/>
            <w:hideMark/>
          </w:tcPr>
          <w:p w14:paraId="754CC185"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Infrastructure</w:t>
            </w:r>
          </w:p>
        </w:tc>
        <w:tc>
          <w:tcPr>
            <w:tcW w:w="1561" w:type="dxa"/>
            <w:shd w:val="clear" w:color="FFFFFF" w:fill="FFFFFF"/>
            <w:noWrap/>
            <w:vAlign w:val="bottom"/>
          </w:tcPr>
          <w:p w14:paraId="1CA8F258"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92,913</w:t>
            </w:r>
          </w:p>
        </w:tc>
        <w:tc>
          <w:tcPr>
            <w:tcW w:w="1516" w:type="dxa"/>
            <w:tcBorders>
              <w:top w:val="nil"/>
              <w:left w:val="nil"/>
              <w:bottom w:val="nil"/>
              <w:right w:val="nil"/>
            </w:tcBorders>
            <w:shd w:val="clear" w:color="000000" w:fill="FFFFFF"/>
            <w:noWrap/>
            <w:vAlign w:val="bottom"/>
          </w:tcPr>
          <w:p w14:paraId="1865EA85"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9,435</w:t>
            </w:r>
          </w:p>
        </w:tc>
        <w:tc>
          <w:tcPr>
            <w:tcW w:w="1152" w:type="dxa"/>
            <w:tcBorders>
              <w:top w:val="nil"/>
              <w:left w:val="nil"/>
              <w:bottom w:val="nil"/>
              <w:right w:val="nil"/>
            </w:tcBorders>
            <w:shd w:val="clear" w:color="auto" w:fill="auto"/>
            <w:noWrap/>
            <w:vAlign w:val="bottom"/>
          </w:tcPr>
          <w:p w14:paraId="18E2ADE9" w14:textId="77777777" w:rsidR="00F753E8" w:rsidRPr="00D414D0" w:rsidRDefault="00F753E8" w:rsidP="006E1769">
            <w:pPr>
              <w:jc w:val="right"/>
              <w:rPr>
                <w:rFonts w:ascii="Arial" w:hAnsi="Arial" w:cs="Arial"/>
                <w:sz w:val="22"/>
                <w:szCs w:val="22"/>
              </w:rPr>
            </w:pPr>
          </w:p>
        </w:tc>
        <w:tc>
          <w:tcPr>
            <w:tcW w:w="1557" w:type="dxa"/>
            <w:shd w:val="clear" w:color="FFFFFF" w:fill="FFFFFF"/>
            <w:noWrap/>
            <w:vAlign w:val="bottom"/>
          </w:tcPr>
          <w:p w14:paraId="4B3682F5"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(3,158)</w:t>
            </w:r>
          </w:p>
        </w:tc>
        <w:tc>
          <w:tcPr>
            <w:tcW w:w="1531" w:type="dxa"/>
            <w:shd w:val="clear" w:color="FFFFFF" w:fill="FFFFFF"/>
            <w:noWrap/>
            <w:vAlign w:val="bottom"/>
          </w:tcPr>
          <w:p w14:paraId="054ADD81" w14:textId="77777777" w:rsidR="00F753E8" w:rsidRPr="00D414D0" w:rsidRDefault="00F753E8" w:rsidP="006E1769">
            <w:pPr>
              <w:jc w:val="right"/>
              <w:rPr>
                <w:rFonts w:ascii="Arial" w:hAnsi="Arial" w:cs="Arial"/>
                <w:sz w:val="22"/>
                <w:szCs w:val="22"/>
              </w:rPr>
            </w:pPr>
          </w:p>
        </w:tc>
        <w:tc>
          <w:tcPr>
            <w:tcW w:w="1466" w:type="dxa"/>
            <w:gridSpan w:val="2"/>
            <w:shd w:val="clear" w:color="FFFFFF" w:fill="FFFFFF"/>
            <w:noWrap/>
            <w:vAlign w:val="bottom"/>
          </w:tcPr>
          <w:p w14:paraId="242051F1"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99,190</w:t>
            </w:r>
          </w:p>
        </w:tc>
      </w:tr>
      <w:tr w:rsidR="00F753E8" w:rsidRPr="00B64150" w14:paraId="000D17F7" w14:textId="77777777" w:rsidTr="006E1769">
        <w:trPr>
          <w:trHeight w:val="279"/>
          <w:jc w:val="center"/>
        </w:trPr>
        <w:tc>
          <w:tcPr>
            <w:tcW w:w="2442" w:type="dxa"/>
            <w:shd w:val="clear" w:color="FFFFFF" w:fill="FFFFFF"/>
            <w:vAlign w:val="bottom"/>
            <w:hideMark/>
          </w:tcPr>
          <w:p w14:paraId="645DF44E"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Other Investments</w:t>
            </w:r>
          </w:p>
        </w:tc>
        <w:tc>
          <w:tcPr>
            <w:tcW w:w="1561" w:type="dxa"/>
            <w:shd w:val="clear" w:color="FFFFFF" w:fill="FFFFFF"/>
            <w:noWrap/>
            <w:vAlign w:val="bottom"/>
          </w:tcPr>
          <w:p w14:paraId="03724BED"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150</w:t>
            </w:r>
          </w:p>
        </w:tc>
        <w:tc>
          <w:tcPr>
            <w:tcW w:w="1516" w:type="dxa"/>
            <w:tcBorders>
              <w:top w:val="nil"/>
              <w:left w:val="nil"/>
              <w:bottom w:val="nil"/>
              <w:right w:val="nil"/>
            </w:tcBorders>
            <w:shd w:val="clear" w:color="000000" w:fill="FFFFFF"/>
            <w:noWrap/>
            <w:vAlign w:val="bottom"/>
          </w:tcPr>
          <w:p w14:paraId="52D772AD" w14:textId="77777777" w:rsidR="00F753E8" w:rsidRPr="00D414D0" w:rsidRDefault="00F753E8" w:rsidP="006E1769">
            <w:pPr>
              <w:jc w:val="right"/>
              <w:rPr>
                <w:rFonts w:ascii="Arial" w:hAnsi="Arial" w:cs="Arial"/>
                <w:sz w:val="22"/>
                <w:szCs w:val="22"/>
              </w:rPr>
            </w:pPr>
          </w:p>
        </w:tc>
        <w:tc>
          <w:tcPr>
            <w:tcW w:w="1152" w:type="dxa"/>
            <w:tcBorders>
              <w:top w:val="nil"/>
              <w:left w:val="nil"/>
              <w:bottom w:val="nil"/>
              <w:right w:val="nil"/>
            </w:tcBorders>
            <w:shd w:val="clear" w:color="auto" w:fill="auto"/>
            <w:noWrap/>
            <w:vAlign w:val="bottom"/>
          </w:tcPr>
          <w:p w14:paraId="2E573DCD" w14:textId="77777777" w:rsidR="00F753E8" w:rsidRPr="00D414D0" w:rsidRDefault="00F753E8" w:rsidP="006E1769">
            <w:pPr>
              <w:jc w:val="right"/>
              <w:rPr>
                <w:rFonts w:ascii="Arial" w:hAnsi="Arial" w:cs="Arial"/>
                <w:sz w:val="22"/>
                <w:szCs w:val="22"/>
              </w:rPr>
            </w:pPr>
          </w:p>
        </w:tc>
        <w:tc>
          <w:tcPr>
            <w:tcW w:w="1557" w:type="dxa"/>
            <w:shd w:val="clear" w:color="FFFFFF" w:fill="FFFFFF"/>
            <w:noWrap/>
            <w:vAlign w:val="bottom"/>
          </w:tcPr>
          <w:p w14:paraId="63EAAAFA" w14:textId="77777777" w:rsidR="00F753E8" w:rsidRPr="00D414D0" w:rsidRDefault="00F753E8" w:rsidP="006E1769">
            <w:pPr>
              <w:jc w:val="right"/>
              <w:rPr>
                <w:rFonts w:ascii="Arial" w:hAnsi="Arial" w:cs="Arial"/>
                <w:sz w:val="22"/>
                <w:szCs w:val="22"/>
              </w:rPr>
            </w:pPr>
          </w:p>
        </w:tc>
        <w:tc>
          <w:tcPr>
            <w:tcW w:w="1531" w:type="dxa"/>
            <w:shd w:val="clear" w:color="FFFFFF" w:fill="FFFFFF"/>
            <w:noWrap/>
            <w:vAlign w:val="bottom"/>
          </w:tcPr>
          <w:p w14:paraId="3CAE19EE" w14:textId="77777777" w:rsidR="00F753E8" w:rsidRPr="00D414D0" w:rsidRDefault="00F753E8" w:rsidP="006E1769">
            <w:pPr>
              <w:jc w:val="right"/>
              <w:rPr>
                <w:rFonts w:ascii="Arial" w:hAnsi="Arial" w:cs="Arial"/>
                <w:sz w:val="22"/>
                <w:szCs w:val="22"/>
              </w:rPr>
            </w:pPr>
          </w:p>
        </w:tc>
        <w:tc>
          <w:tcPr>
            <w:tcW w:w="1466" w:type="dxa"/>
            <w:gridSpan w:val="2"/>
            <w:shd w:val="clear" w:color="FFFFFF" w:fill="FFFFFF"/>
            <w:noWrap/>
            <w:vAlign w:val="bottom"/>
          </w:tcPr>
          <w:p w14:paraId="7E258285"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150</w:t>
            </w:r>
          </w:p>
        </w:tc>
      </w:tr>
      <w:tr w:rsidR="00F753E8" w:rsidRPr="00B64150" w14:paraId="58D33C52" w14:textId="77777777" w:rsidTr="006E1769">
        <w:trPr>
          <w:trHeight w:val="90"/>
          <w:jc w:val="center"/>
        </w:trPr>
        <w:tc>
          <w:tcPr>
            <w:tcW w:w="2442" w:type="dxa"/>
            <w:shd w:val="clear" w:color="FFFFFF" w:fill="FFFFFF"/>
            <w:vAlign w:val="bottom"/>
            <w:hideMark/>
          </w:tcPr>
          <w:p w14:paraId="115D04B9"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 </w:t>
            </w:r>
          </w:p>
        </w:tc>
        <w:tc>
          <w:tcPr>
            <w:tcW w:w="1561" w:type="dxa"/>
            <w:shd w:val="clear" w:color="FFFFFF" w:fill="FFFFFF"/>
            <w:noWrap/>
            <w:vAlign w:val="bottom"/>
          </w:tcPr>
          <w:p w14:paraId="388AE435" w14:textId="77777777" w:rsidR="00F753E8" w:rsidRPr="00D414D0" w:rsidRDefault="00F753E8" w:rsidP="006E1769">
            <w:pPr>
              <w:jc w:val="right"/>
              <w:rPr>
                <w:rFonts w:ascii="Arial" w:hAnsi="Arial" w:cs="Arial"/>
                <w:sz w:val="22"/>
                <w:szCs w:val="22"/>
              </w:rPr>
            </w:pPr>
          </w:p>
        </w:tc>
        <w:tc>
          <w:tcPr>
            <w:tcW w:w="1516" w:type="dxa"/>
            <w:tcBorders>
              <w:top w:val="nil"/>
              <w:left w:val="nil"/>
              <w:bottom w:val="nil"/>
              <w:right w:val="nil"/>
            </w:tcBorders>
            <w:shd w:val="clear" w:color="000000" w:fill="FFFFFF"/>
            <w:noWrap/>
            <w:vAlign w:val="bottom"/>
          </w:tcPr>
          <w:p w14:paraId="436192D3" w14:textId="77777777" w:rsidR="00F753E8" w:rsidRPr="00D414D0" w:rsidRDefault="00F753E8" w:rsidP="006E1769">
            <w:pPr>
              <w:jc w:val="right"/>
              <w:rPr>
                <w:rFonts w:ascii="Arial" w:hAnsi="Arial" w:cs="Arial"/>
                <w:sz w:val="22"/>
                <w:szCs w:val="22"/>
              </w:rPr>
            </w:pPr>
          </w:p>
        </w:tc>
        <w:tc>
          <w:tcPr>
            <w:tcW w:w="1152" w:type="dxa"/>
            <w:tcBorders>
              <w:top w:val="nil"/>
              <w:left w:val="nil"/>
              <w:bottom w:val="nil"/>
              <w:right w:val="nil"/>
            </w:tcBorders>
            <w:shd w:val="clear" w:color="000000" w:fill="FFFFFF"/>
            <w:noWrap/>
            <w:vAlign w:val="bottom"/>
          </w:tcPr>
          <w:p w14:paraId="114A7A8D" w14:textId="77777777" w:rsidR="00F753E8" w:rsidRPr="00D414D0" w:rsidRDefault="00F753E8" w:rsidP="006E1769">
            <w:pPr>
              <w:jc w:val="right"/>
              <w:rPr>
                <w:rFonts w:ascii="Arial" w:hAnsi="Arial" w:cs="Arial"/>
                <w:sz w:val="22"/>
                <w:szCs w:val="22"/>
              </w:rPr>
            </w:pPr>
          </w:p>
        </w:tc>
        <w:tc>
          <w:tcPr>
            <w:tcW w:w="1557" w:type="dxa"/>
            <w:shd w:val="clear" w:color="FFFFFF" w:fill="FFFFFF"/>
            <w:noWrap/>
            <w:vAlign w:val="bottom"/>
          </w:tcPr>
          <w:p w14:paraId="714C3B27" w14:textId="77777777" w:rsidR="00F753E8" w:rsidRPr="00D414D0" w:rsidRDefault="00F753E8" w:rsidP="006E1769">
            <w:pPr>
              <w:jc w:val="right"/>
              <w:rPr>
                <w:rFonts w:ascii="Arial" w:hAnsi="Arial" w:cs="Arial"/>
                <w:sz w:val="22"/>
                <w:szCs w:val="22"/>
              </w:rPr>
            </w:pPr>
          </w:p>
        </w:tc>
        <w:tc>
          <w:tcPr>
            <w:tcW w:w="1531" w:type="dxa"/>
            <w:shd w:val="clear" w:color="FFFFFF" w:fill="FFFFFF"/>
            <w:noWrap/>
            <w:vAlign w:val="bottom"/>
          </w:tcPr>
          <w:p w14:paraId="14862F65" w14:textId="77777777" w:rsidR="00F753E8" w:rsidRPr="00D414D0" w:rsidRDefault="00F753E8" w:rsidP="006E1769">
            <w:pPr>
              <w:jc w:val="right"/>
              <w:rPr>
                <w:rFonts w:ascii="Arial" w:hAnsi="Arial" w:cs="Arial"/>
                <w:sz w:val="22"/>
                <w:szCs w:val="22"/>
              </w:rPr>
            </w:pPr>
          </w:p>
        </w:tc>
        <w:tc>
          <w:tcPr>
            <w:tcW w:w="1466" w:type="dxa"/>
            <w:gridSpan w:val="2"/>
            <w:shd w:val="clear" w:color="FFFFFF" w:fill="FFFFFF"/>
            <w:noWrap/>
            <w:vAlign w:val="bottom"/>
          </w:tcPr>
          <w:p w14:paraId="7AD502A4" w14:textId="77777777" w:rsidR="00F753E8" w:rsidRPr="00D414D0" w:rsidRDefault="00F753E8" w:rsidP="006E1769">
            <w:pPr>
              <w:jc w:val="right"/>
              <w:rPr>
                <w:rFonts w:ascii="Arial" w:hAnsi="Arial" w:cs="Arial"/>
                <w:sz w:val="22"/>
                <w:szCs w:val="22"/>
              </w:rPr>
            </w:pPr>
          </w:p>
        </w:tc>
      </w:tr>
      <w:tr w:rsidR="00F753E8" w:rsidRPr="00B64150" w14:paraId="40A9A228" w14:textId="77777777" w:rsidTr="006E1769">
        <w:trPr>
          <w:trHeight w:val="279"/>
          <w:jc w:val="center"/>
        </w:trPr>
        <w:tc>
          <w:tcPr>
            <w:tcW w:w="2442" w:type="dxa"/>
            <w:shd w:val="clear" w:color="FFFFFF" w:fill="FFFFFF"/>
            <w:vAlign w:val="bottom"/>
            <w:hideMark/>
          </w:tcPr>
          <w:p w14:paraId="3ABE019D"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Derivative Contracts</w:t>
            </w:r>
          </w:p>
        </w:tc>
        <w:tc>
          <w:tcPr>
            <w:tcW w:w="1561" w:type="dxa"/>
            <w:shd w:val="clear" w:color="FFFFFF" w:fill="FFFFFF"/>
            <w:noWrap/>
            <w:vAlign w:val="bottom"/>
          </w:tcPr>
          <w:p w14:paraId="2650A620" w14:textId="77777777" w:rsidR="00F753E8" w:rsidRPr="00D414D0" w:rsidRDefault="00F753E8" w:rsidP="006E1769">
            <w:pPr>
              <w:jc w:val="right"/>
              <w:rPr>
                <w:rFonts w:ascii="Arial" w:hAnsi="Arial" w:cs="Arial"/>
                <w:sz w:val="22"/>
                <w:szCs w:val="22"/>
              </w:rPr>
            </w:pPr>
          </w:p>
        </w:tc>
        <w:tc>
          <w:tcPr>
            <w:tcW w:w="1516" w:type="dxa"/>
            <w:tcBorders>
              <w:top w:val="nil"/>
              <w:left w:val="nil"/>
              <w:bottom w:val="nil"/>
              <w:right w:val="nil"/>
            </w:tcBorders>
            <w:shd w:val="clear" w:color="000000" w:fill="FFFFFF"/>
            <w:noWrap/>
            <w:vAlign w:val="bottom"/>
          </w:tcPr>
          <w:p w14:paraId="7F01D50A" w14:textId="77777777" w:rsidR="00F753E8" w:rsidRPr="00D414D0" w:rsidRDefault="00F753E8" w:rsidP="006E1769">
            <w:pPr>
              <w:jc w:val="right"/>
              <w:rPr>
                <w:rFonts w:ascii="Arial" w:hAnsi="Arial" w:cs="Arial"/>
                <w:sz w:val="22"/>
                <w:szCs w:val="22"/>
              </w:rPr>
            </w:pPr>
          </w:p>
        </w:tc>
        <w:tc>
          <w:tcPr>
            <w:tcW w:w="1152" w:type="dxa"/>
            <w:tcBorders>
              <w:top w:val="nil"/>
              <w:left w:val="nil"/>
              <w:bottom w:val="nil"/>
              <w:right w:val="nil"/>
            </w:tcBorders>
            <w:shd w:val="clear" w:color="000000" w:fill="FFFFFF"/>
            <w:noWrap/>
            <w:vAlign w:val="bottom"/>
          </w:tcPr>
          <w:p w14:paraId="0456E26A" w14:textId="77777777" w:rsidR="00F753E8" w:rsidRPr="00D414D0" w:rsidRDefault="00F753E8" w:rsidP="006E1769">
            <w:pPr>
              <w:jc w:val="right"/>
              <w:rPr>
                <w:rFonts w:ascii="Arial" w:hAnsi="Arial" w:cs="Arial"/>
                <w:sz w:val="22"/>
                <w:szCs w:val="22"/>
              </w:rPr>
            </w:pPr>
          </w:p>
        </w:tc>
        <w:tc>
          <w:tcPr>
            <w:tcW w:w="1557" w:type="dxa"/>
            <w:shd w:val="clear" w:color="FFFFFF" w:fill="FFFFFF"/>
            <w:noWrap/>
            <w:vAlign w:val="bottom"/>
          </w:tcPr>
          <w:p w14:paraId="1438A0B4" w14:textId="77777777" w:rsidR="00F753E8" w:rsidRPr="00D414D0" w:rsidRDefault="00F753E8" w:rsidP="006E1769">
            <w:pPr>
              <w:jc w:val="right"/>
              <w:rPr>
                <w:rFonts w:ascii="Arial" w:hAnsi="Arial" w:cs="Arial"/>
                <w:sz w:val="22"/>
                <w:szCs w:val="22"/>
              </w:rPr>
            </w:pPr>
          </w:p>
        </w:tc>
        <w:tc>
          <w:tcPr>
            <w:tcW w:w="1531" w:type="dxa"/>
            <w:shd w:val="clear" w:color="FFFFFF" w:fill="FFFFFF"/>
            <w:noWrap/>
            <w:vAlign w:val="bottom"/>
          </w:tcPr>
          <w:p w14:paraId="5B79C29A" w14:textId="77777777" w:rsidR="00F753E8" w:rsidRPr="00D414D0" w:rsidRDefault="00F753E8" w:rsidP="006E1769">
            <w:pPr>
              <w:jc w:val="right"/>
              <w:rPr>
                <w:rFonts w:ascii="Arial" w:hAnsi="Arial" w:cs="Arial"/>
                <w:sz w:val="22"/>
                <w:szCs w:val="22"/>
              </w:rPr>
            </w:pPr>
          </w:p>
        </w:tc>
        <w:tc>
          <w:tcPr>
            <w:tcW w:w="1466" w:type="dxa"/>
            <w:gridSpan w:val="2"/>
            <w:shd w:val="clear" w:color="FFFFFF" w:fill="FFFFFF"/>
            <w:noWrap/>
            <w:vAlign w:val="bottom"/>
          </w:tcPr>
          <w:p w14:paraId="692B6409" w14:textId="77777777" w:rsidR="00F753E8" w:rsidRPr="00D414D0" w:rsidRDefault="00F753E8" w:rsidP="006E1769">
            <w:pPr>
              <w:jc w:val="right"/>
              <w:rPr>
                <w:rFonts w:ascii="Arial" w:hAnsi="Arial" w:cs="Arial"/>
                <w:sz w:val="22"/>
                <w:szCs w:val="22"/>
              </w:rPr>
            </w:pPr>
          </w:p>
        </w:tc>
      </w:tr>
      <w:tr w:rsidR="00F753E8" w:rsidRPr="00B64150" w14:paraId="5A646A0C" w14:textId="77777777" w:rsidTr="006E1769">
        <w:trPr>
          <w:trHeight w:val="279"/>
          <w:jc w:val="center"/>
        </w:trPr>
        <w:tc>
          <w:tcPr>
            <w:tcW w:w="2442" w:type="dxa"/>
            <w:shd w:val="clear" w:color="FFFFFF" w:fill="FFFFFF"/>
            <w:vAlign w:val="bottom"/>
            <w:hideMark/>
          </w:tcPr>
          <w:p w14:paraId="46BEC028"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Futures</w:t>
            </w:r>
          </w:p>
        </w:tc>
        <w:tc>
          <w:tcPr>
            <w:tcW w:w="1561" w:type="dxa"/>
            <w:shd w:val="clear" w:color="FFFFFF" w:fill="FFFFFF"/>
            <w:noWrap/>
            <w:vAlign w:val="bottom"/>
          </w:tcPr>
          <w:p w14:paraId="1EDEA064"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(652)</w:t>
            </w:r>
          </w:p>
        </w:tc>
        <w:tc>
          <w:tcPr>
            <w:tcW w:w="1516" w:type="dxa"/>
            <w:tcBorders>
              <w:top w:val="nil"/>
              <w:left w:val="nil"/>
              <w:bottom w:val="nil"/>
              <w:right w:val="nil"/>
            </w:tcBorders>
            <w:shd w:val="clear" w:color="auto" w:fill="auto"/>
            <w:noWrap/>
            <w:vAlign w:val="bottom"/>
          </w:tcPr>
          <w:p w14:paraId="5DBBD858"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1,158</w:t>
            </w:r>
          </w:p>
        </w:tc>
        <w:tc>
          <w:tcPr>
            <w:tcW w:w="1152" w:type="dxa"/>
            <w:tcBorders>
              <w:top w:val="nil"/>
              <w:left w:val="nil"/>
              <w:bottom w:val="nil"/>
              <w:right w:val="nil"/>
            </w:tcBorders>
            <w:shd w:val="clear" w:color="auto" w:fill="auto"/>
            <w:noWrap/>
            <w:vAlign w:val="bottom"/>
          </w:tcPr>
          <w:p w14:paraId="0A6794C5"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(6,634)</w:t>
            </w:r>
          </w:p>
        </w:tc>
        <w:tc>
          <w:tcPr>
            <w:tcW w:w="1557" w:type="dxa"/>
            <w:shd w:val="clear" w:color="FFFFFF" w:fill="FFFFFF"/>
            <w:noWrap/>
            <w:vAlign w:val="bottom"/>
          </w:tcPr>
          <w:p w14:paraId="42C2F327"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6,415</w:t>
            </w:r>
          </w:p>
        </w:tc>
        <w:tc>
          <w:tcPr>
            <w:tcW w:w="1541" w:type="dxa"/>
            <w:gridSpan w:val="2"/>
            <w:shd w:val="clear" w:color="FFFFFF" w:fill="FFFFFF"/>
            <w:noWrap/>
            <w:vAlign w:val="bottom"/>
          </w:tcPr>
          <w:p w14:paraId="4BF6F1BD" w14:textId="77777777" w:rsidR="00F753E8" w:rsidRPr="00D414D0" w:rsidRDefault="00F753E8" w:rsidP="006E1769">
            <w:pPr>
              <w:jc w:val="right"/>
              <w:rPr>
                <w:rFonts w:ascii="Arial" w:hAnsi="Arial" w:cs="Arial"/>
                <w:sz w:val="22"/>
                <w:szCs w:val="22"/>
              </w:rPr>
            </w:pPr>
          </w:p>
        </w:tc>
        <w:tc>
          <w:tcPr>
            <w:tcW w:w="1456" w:type="dxa"/>
            <w:shd w:val="clear" w:color="FFFFFF" w:fill="FFFFFF"/>
            <w:noWrap/>
            <w:vAlign w:val="bottom"/>
          </w:tcPr>
          <w:p w14:paraId="5BA4BFF1"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287</w:t>
            </w:r>
          </w:p>
        </w:tc>
      </w:tr>
      <w:tr w:rsidR="00F753E8" w:rsidRPr="00B64150" w14:paraId="6007990F" w14:textId="77777777" w:rsidTr="006E1769">
        <w:trPr>
          <w:trHeight w:val="90"/>
          <w:jc w:val="center"/>
        </w:trPr>
        <w:tc>
          <w:tcPr>
            <w:tcW w:w="2442" w:type="dxa"/>
            <w:shd w:val="clear" w:color="FFFFFF" w:fill="FFFFFF"/>
            <w:vAlign w:val="bottom"/>
            <w:hideMark/>
          </w:tcPr>
          <w:p w14:paraId="594544F8"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 </w:t>
            </w:r>
          </w:p>
        </w:tc>
        <w:tc>
          <w:tcPr>
            <w:tcW w:w="1561" w:type="dxa"/>
            <w:shd w:val="clear" w:color="FFFFFF" w:fill="FFFFFF"/>
            <w:noWrap/>
            <w:vAlign w:val="bottom"/>
          </w:tcPr>
          <w:p w14:paraId="5173CC8A" w14:textId="77777777" w:rsidR="00F753E8" w:rsidRPr="00D414D0" w:rsidRDefault="00F753E8" w:rsidP="006E1769">
            <w:pPr>
              <w:jc w:val="right"/>
              <w:rPr>
                <w:rFonts w:ascii="Arial" w:hAnsi="Arial" w:cs="Arial"/>
                <w:sz w:val="22"/>
                <w:szCs w:val="22"/>
              </w:rPr>
            </w:pPr>
          </w:p>
        </w:tc>
        <w:tc>
          <w:tcPr>
            <w:tcW w:w="1516" w:type="dxa"/>
            <w:shd w:val="clear" w:color="FFFFFF" w:fill="FFFFFF"/>
            <w:noWrap/>
            <w:vAlign w:val="bottom"/>
          </w:tcPr>
          <w:p w14:paraId="627A99EE" w14:textId="77777777" w:rsidR="00F753E8" w:rsidRPr="00D414D0" w:rsidRDefault="00F753E8" w:rsidP="006E1769">
            <w:pPr>
              <w:jc w:val="right"/>
              <w:rPr>
                <w:rFonts w:ascii="Arial" w:hAnsi="Arial" w:cs="Arial"/>
                <w:sz w:val="22"/>
                <w:szCs w:val="22"/>
              </w:rPr>
            </w:pPr>
          </w:p>
        </w:tc>
        <w:tc>
          <w:tcPr>
            <w:tcW w:w="1152" w:type="dxa"/>
            <w:shd w:val="clear" w:color="FFFFFF" w:fill="FFFFFF"/>
            <w:noWrap/>
            <w:vAlign w:val="bottom"/>
          </w:tcPr>
          <w:p w14:paraId="14702A76" w14:textId="77777777" w:rsidR="00F753E8" w:rsidRPr="00D414D0" w:rsidRDefault="00F753E8" w:rsidP="006E1769">
            <w:pPr>
              <w:jc w:val="right"/>
              <w:rPr>
                <w:rFonts w:ascii="Arial" w:hAnsi="Arial" w:cs="Arial"/>
                <w:sz w:val="22"/>
                <w:szCs w:val="22"/>
              </w:rPr>
            </w:pPr>
          </w:p>
        </w:tc>
        <w:tc>
          <w:tcPr>
            <w:tcW w:w="1557" w:type="dxa"/>
            <w:shd w:val="clear" w:color="FFFFFF" w:fill="FFFFFF"/>
            <w:noWrap/>
            <w:vAlign w:val="bottom"/>
          </w:tcPr>
          <w:p w14:paraId="2E19B308" w14:textId="77777777" w:rsidR="00F753E8" w:rsidRPr="00D414D0" w:rsidRDefault="00F753E8" w:rsidP="006E1769">
            <w:pPr>
              <w:jc w:val="right"/>
              <w:rPr>
                <w:rFonts w:ascii="Arial" w:hAnsi="Arial" w:cs="Arial"/>
                <w:sz w:val="22"/>
                <w:szCs w:val="22"/>
              </w:rPr>
            </w:pPr>
          </w:p>
        </w:tc>
        <w:tc>
          <w:tcPr>
            <w:tcW w:w="1531" w:type="dxa"/>
            <w:shd w:val="clear" w:color="FFFFFF" w:fill="FFFFFF"/>
            <w:noWrap/>
            <w:vAlign w:val="bottom"/>
          </w:tcPr>
          <w:p w14:paraId="2AF5FC4B" w14:textId="77777777" w:rsidR="00F753E8" w:rsidRPr="00D414D0" w:rsidRDefault="00F753E8" w:rsidP="006E1769">
            <w:pPr>
              <w:jc w:val="right"/>
              <w:rPr>
                <w:rFonts w:ascii="Arial" w:hAnsi="Arial" w:cs="Arial"/>
                <w:sz w:val="22"/>
                <w:szCs w:val="22"/>
              </w:rPr>
            </w:pPr>
          </w:p>
        </w:tc>
        <w:tc>
          <w:tcPr>
            <w:tcW w:w="1466" w:type="dxa"/>
            <w:gridSpan w:val="2"/>
            <w:shd w:val="clear" w:color="FFFFFF" w:fill="FFFFFF"/>
            <w:noWrap/>
            <w:vAlign w:val="bottom"/>
          </w:tcPr>
          <w:p w14:paraId="39DCA08A" w14:textId="77777777" w:rsidR="00F753E8" w:rsidRPr="00D414D0" w:rsidRDefault="00F753E8" w:rsidP="006E1769">
            <w:pPr>
              <w:jc w:val="right"/>
              <w:rPr>
                <w:rFonts w:ascii="Arial" w:hAnsi="Arial" w:cs="Arial"/>
                <w:sz w:val="22"/>
                <w:szCs w:val="22"/>
              </w:rPr>
            </w:pPr>
          </w:p>
        </w:tc>
      </w:tr>
      <w:tr w:rsidR="00F753E8" w:rsidRPr="00B64150" w14:paraId="64EFE9B7" w14:textId="77777777" w:rsidTr="006E1769">
        <w:trPr>
          <w:trHeight w:val="279"/>
          <w:jc w:val="center"/>
        </w:trPr>
        <w:tc>
          <w:tcPr>
            <w:tcW w:w="2442" w:type="dxa"/>
            <w:shd w:val="clear" w:color="FFFFFF" w:fill="FFFFFF"/>
            <w:vAlign w:val="bottom"/>
            <w:hideMark/>
          </w:tcPr>
          <w:p w14:paraId="1E87C6DE"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Cash Deposits</w:t>
            </w:r>
          </w:p>
        </w:tc>
        <w:tc>
          <w:tcPr>
            <w:tcW w:w="1561" w:type="dxa"/>
            <w:shd w:val="clear" w:color="FFFFFF" w:fill="FFFFFF"/>
            <w:noWrap/>
            <w:vAlign w:val="bottom"/>
          </w:tcPr>
          <w:p w14:paraId="59E4F422" w14:textId="77777777" w:rsidR="00F753E8" w:rsidRPr="00D414D0" w:rsidRDefault="00F753E8" w:rsidP="006E1769">
            <w:pPr>
              <w:jc w:val="right"/>
              <w:rPr>
                <w:rFonts w:ascii="Arial" w:hAnsi="Arial" w:cs="Arial"/>
                <w:sz w:val="22"/>
                <w:szCs w:val="22"/>
              </w:rPr>
            </w:pPr>
          </w:p>
        </w:tc>
        <w:tc>
          <w:tcPr>
            <w:tcW w:w="1516" w:type="dxa"/>
            <w:shd w:val="clear" w:color="FFFFFF" w:fill="FFFFFF"/>
            <w:noWrap/>
            <w:vAlign w:val="bottom"/>
          </w:tcPr>
          <w:p w14:paraId="3F76B31D" w14:textId="77777777" w:rsidR="00F753E8" w:rsidRPr="00D414D0" w:rsidRDefault="00F753E8" w:rsidP="006E1769">
            <w:pPr>
              <w:jc w:val="right"/>
              <w:rPr>
                <w:rFonts w:ascii="Arial" w:hAnsi="Arial" w:cs="Arial"/>
                <w:sz w:val="22"/>
                <w:szCs w:val="22"/>
              </w:rPr>
            </w:pPr>
          </w:p>
        </w:tc>
        <w:tc>
          <w:tcPr>
            <w:tcW w:w="1152" w:type="dxa"/>
            <w:shd w:val="clear" w:color="FFFFFF" w:fill="FFFFFF"/>
            <w:noWrap/>
            <w:vAlign w:val="bottom"/>
          </w:tcPr>
          <w:p w14:paraId="47C2358D" w14:textId="77777777" w:rsidR="00F753E8" w:rsidRPr="00D414D0" w:rsidRDefault="00F753E8" w:rsidP="006E1769">
            <w:pPr>
              <w:jc w:val="right"/>
              <w:rPr>
                <w:rFonts w:ascii="Arial" w:hAnsi="Arial" w:cs="Arial"/>
                <w:sz w:val="22"/>
                <w:szCs w:val="22"/>
              </w:rPr>
            </w:pPr>
          </w:p>
        </w:tc>
        <w:tc>
          <w:tcPr>
            <w:tcW w:w="1557" w:type="dxa"/>
            <w:shd w:val="clear" w:color="FFFFFF" w:fill="FFFFFF"/>
            <w:noWrap/>
            <w:vAlign w:val="bottom"/>
          </w:tcPr>
          <w:p w14:paraId="008D5026" w14:textId="77777777" w:rsidR="00F753E8" w:rsidRPr="00D414D0" w:rsidRDefault="00F753E8" w:rsidP="006E1769">
            <w:pPr>
              <w:jc w:val="right"/>
              <w:rPr>
                <w:rFonts w:ascii="Arial" w:hAnsi="Arial" w:cs="Arial"/>
                <w:sz w:val="22"/>
                <w:szCs w:val="22"/>
              </w:rPr>
            </w:pPr>
          </w:p>
        </w:tc>
        <w:tc>
          <w:tcPr>
            <w:tcW w:w="1531" w:type="dxa"/>
            <w:shd w:val="clear" w:color="FFFFFF" w:fill="FFFFFF"/>
            <w:noWrap/>
            <w:vAlign w:val="bottom"/>
          </w:tcPr>
          <w:p w14:paraId="484860D3" w14:textId="77777777" w:rsidR="00F753E8" w:rsidRPr="00D414D0" w:rsidRDefault="00F753E8" w:rsidP="006E1769">
            <w:pPr>
              <w:jc w:val="right"/>
              <w:rPr>
                <w:rFonts w:ascii="Arial" w:hAnsi="Arial" w:cs="Arial"/>
                <w:sz w:val="22"/>
                <w:szCs w:val="22"/>
              </w:rPr>
            </w:pPr>
          </w:p>
        </w:tc>
        <w:tc>
          <w:tcPr>
            <w:tcW w:w="1466" w:type="dxa"/>
            <w:gridSpan w:val="2"/>
            <w:shd w:val="clear" w:color="FFFFFF" w:fill="FFFFFF"/>
            <w:noWrap/>
            <w:vAlign w:val="bottom"/>
          </w:tcPr>
          <w:p w14:paraId="1BB76023" w14:textId="77777777" w:rsidR="00F753E8" w:rsidRPr="00D414D0" w:rsidRDefault="00F753E8" w:rsidP="006E1769">
            <w:pPr>
              <w:jc w:val="right"/>
              <w:rPr>
                <w:rFonts w:ascii="Arial" w:hAnsi="Arial" w:cs="Arial"/>
                <w:sz w:val="22"/>
                <w:szCs w:val="22"/>
              </w:rPr>
            </w:pPr>
          </w:p>
        </w:tc>
      </w:tr>
      <w:tr w:rsidR="00F753E8" w:rsidRPr="00B64150" w14:paraId="263229C3" w14:textId="77777777" w:rsidTr="006E1769">
        <w:trPr>
          <w:trHeight w:val="279"/>
          <w:jc w:val="center"/>
        </w:trPr>
        <w:tc>
          <w:tcPr>
            <w:tcW w:w="2442" w:type="dxa"/>
            <w:shd w:val="clear" w:color="FFFFFF" w:fill="FFFFFF"/>
            <w:vAlign w:val="bottom"/>
            <w:hideMark/>
          </w:tcPr>
          <w:p w14:paraId="62E60ADD"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Custodian</w:t>
            </w:r>
          </w:p>
        </w:tc>
        <w:tc>
          <w:tcPr>
            <w:tcW w:w="1561" w:type="dxa"/>
            <w:shd w:val="clear" w:color="FFFFFF" w:fill="FFFFFF"/>
            <w:noWrap/>
            <w:vAlign w:val="bottom"/>
          </w:tcPr>
          <w:p w14:paraId="2E3BA404"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8,986</w:t>
            </w:r>
          </w:p>
        </w:tc>
        <w:tc>
          <w:tcPr>
            <w:tcW w:w="1516" w:type="dxa"/>
            <w:shd w:val="clear" w:color="FFFFFF" w:fill="FFFFFF"/>
            <w:noWrap/>
            <w:vAlign w:val="bottom"/>
          </w:tcPr>
          <w:p w14:paraId="410FFE3A"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32,032</w:t>
            </w:r>
          </w:p>
        </w:tc>
        <w:tc>
          <w:tcPr>
            <w:tcW w:w="1152" w:type="dxa"/>
            <w:shd w:val="clear" w:color="FFFFFF" w:fill="FFFFFF"/>
            <w:noWrap/>
            <w:vAlign w:val="bottom"/>
          </w:tcPr>
          <w:p w14:paraId="1D98C992"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(33,642)</w:t>
            </w:r>
          </w:p>
        </w:tc>
        <w:tc>
          <w:tcPr>
            <w:tcW w:w="1557" w:type="dxa"/>
            <w:shd w:val="clear" w:color="FFFFFF" w:fill="FFFFFF"/>
            <w:noWrap/>
            <w:vAlign w:val="bottom"/>
          </w:tcPr>
          <w:p w14:paraId="097998FE"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(153)</w:t>
            </w:r>
          </w:p>
        </w:tc>
        <w:tc>
          <w:tcPr>
            <w:tcW w:w="1531" w:type="dxa"/>
            <w:shd w:val="clear" w:color="FFFFFF" w:fill="FFFFFF"/>
            <w:noWrap/>
            <w:vAlign w:val="bottom"/>
          </w:tcPr>
          <w:p w14:paraId="18EF0F88"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7,104</w:t>
            </w:r>
          </w:p>
        </w:tc>
        <w:tc>
          <w:tcPr>
            <w:tcW w:w="1466" w:type="dxa"/>
            <w:gridSpan w:val="2"/>
            <w:shd w:val="clear" w:color="FFFFFF" w:fill="FFFFFF"/>
            <w:noWrap/>
            <w:vAlign w:val="bottom"/>
          </w:tcPr>
          <w:p w14:paraId="2633A448"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14,327</w:t>
            </w:r>
          </w:p>
        </w:tc>
      </w:tr>
      <w:tr w:rsidR="00F753E8" w:rsidRPr="00B64150" w14:paraId="53D8E369" w14:textId="77777777" w:rsidTr="006E1769">
        <w:trPr>
          <w:trHeight w:val="279"/>
          <w:jc w:val="center"/>
        </w:trPr>
        <w:tc>
          <w:tcPr>
            <w:tcW w:w="2442" w:type="dxa"/>
            <w:shd w:val="clear" w:color="FFFFFF" w:fill="FFFFFF"/>
            <w:vAlign w:val="bottom"/>
          </w:tcPr>
          <w:p w14:paraId="6D78DBE1"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In-House</w:t>
            </w:r>
          </w:p>
        </w:tc>
        <w:tc>
          <w:tcPr>
            <w:tcW w:w="1561" w:type="dxa"/>
            <w:shd w:val="clear" w:color="FFFFFF" w:fill="FFFFFF"/>
            <w:noWrap/>
            <w:vAlign w:val="bottom"/>
          </w:tcPr>
          <w:p w14:paraId="50982FDD"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126</w:t>
            </w:r>
          </w:p>
        </w:tc>
        <w:tc>
          <w:tcPr>
            <w:tcW w:w="1516" w:type="dxa"/>
            <w:shd w:val="clear" w:color="FFFFFF" w:fill="FFFFFF"/>
            <w:noWrap/>
            <w:vAlign w:val="bottom"/>
          </w:tcPr>
          <w:p w14:paraId="79710520" w14:textId="77777777" w:rsidR="00F753E8" w:rsidRPr="00D414D0" w:rsidRDefault="00F753E8" w:rsidP="006E1769">
            <w:pPr>
              <w:jc w:val="right"/>
              <w:rPr>
                <w:rFonts w:ascii="Arial" w:hAnsi="Arial" w:cs="Arial"/>
                <w:sz w:val="22"/>
                <w:szCs w:val="22"/>
              </w:rPr>
            </w:pPr>
          </w:p>
        </w:tc>
        <w:tc>
          <w:tcPr>
            <w:tcW w:w="1152" w:type="dxa"/>
            <w:shd w:val="clear" w:color="FFFFFF" w:fill="FFFFFF"/>
            <w:noWrap/>
            <w:vAlign w:val="bottom"/>
          </w:tcPr>
          <w:p w14:paraId="7FDEA6A4" w14:textId="77777777" w:rsidR="00F753E8" w:rsidRPr="00D414D0" w:rsidRDefault="00F753E8" w:rsidP="006E1769">
            <w:pPr>
              <w:jc w:val="right"/>
              <w:rPr>
                <w:rFonts w:ascii="Arial" w:hAnsi="Arial" w:cs="Arial"/>
                <w:sz w:val="22"/>
                <w:szCs w:val="22"/>
              </w:rPr>
            </w:pPr>
          </w:p>
        </w:tc>
        <w:tc>
          <w:tcPr>
            <w:tcW w:w="1557" w:type="dxa"/>
            <w:shd w:val="clear" w:color="FFFFFF" w:fill="FFFFFF"/>
            <w:noWrap/>
            <w:vAlign w:val="bottom"/>
          </w:tcPr>
          <w:p w14:paraId="1BABD1E6" w14:textId="77777777" w:rsidR="00F753E8" w:rsidRPr="00D414D0" w:rsidRDefault="00F753E8" w:rsidP="006E1769">
            <w:pPr>
              <w:jc w:val="right"/>
              <w:rPr>
                <w:rFonts w:ascii="Arial" w:hAnsi="Arial" w:cs="Arial"/>
                <w:sz w:val="22"/>
                <w:szCs w:val="22"/>
              </w:rPr>
            </w:pPr>
          </w:p>
        </w:tc>
        <w:tc>
          <w:tcPr>
            <w:tcW w:w="1531" w:type="dxa"/>
            <w:shd w:val="clear" w:color="FFFFFF" w:fill="FFFFFF"/>
            <w:noWrap/>
            <w:vAlign w:val="bottom"/>
          </w:tcPr>
          <w:p w14:paraId="29A022D2"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(87)</w:t>
            </w:r>
          </w:p>
        </w:tc>
        <w:tc>
          <w:tcPr>
            <w:tcW w:w="1466" w:type="dxa"/>
            <w:gridSpan w:val="2"/>
            <w:shd w:val="clear" w:color="FFFFFF" w:fill="FFFFFF"/>
            <w:noWrap/>
            <w:vAlign w:val="bottom"/>
          </w:tcPr>
          <w:p w14:paraId="7F64A9F4"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39</w:t>
            </w:r>
          </w:p>
        </w:tc>
      </w:tr>
      <w:tr w:rsidR="00F753E8" w:rsidRPr="00B64150" w14:paraId="2FAD865F" w14:textId="77777777" w:rsidTr="006E1769">
        <w:trPr>
          <w:trHeight w:val="279"/>
          <w:jc w:val="center"/>
        </w:trPr>
        <w:tc>
          <w:tcPr>
            <w:tcW w:w="2442" w:type="dxa"/>
            <w:shd w:val="clear" w:color="FFFFFF" w:fill="FFFFFF"/>
            <w:vAlign w:val="bottom"/>
          </w:tcPr>
          <w:p w14:paraId="42991108"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Short Term Loan</w:t>
            </w:r>
          </w:p>
        </w:tc>
        <w:tc>
          <w:tcPr>
            <w:tcW w:w="1561" w:type="dxa"/>
            <w:shd w:val="clear" w:color="FFFFFF" w:fill="FFFFFF"/>
            <w:noWrap/>
            <w:vAlign w:val="bottom"/>
          </w:tcPr>
          <w:p w14:paraId="052F2A3D"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(10,713)</w:t>
            </w:r>
          </w:p>
        </w:tc>
        <w:tc>
          <w:tcPr>
            <w:tcW w:w="1516" w:type="dxa"/>
            <w:shd w:val="clear" w:color="FFFFFF" w:fill="FFFFFF"/>
            <w:noWrap/>
            <w:vAlign w:val="bottom"/>
          </w:tcPr>
          <w:p w14:paraId="7D7420D3" w14:textId="77777777" w:rsidR="00F753E8" w:rsidRPr="00D414D0" w:rsidRDefault="00F753E8" w:rsidP="006E1769">
            <w:pPr>
              <w:jc w:val="right"/>
              <w:rPr>
                <w:rFonts w:ascii="Arial" w:hAnsi="Arial" w:cs="Arial"/>
                <w:sz w:val="22"/>
                <w:szCs w:val="22"/>
              </w:rPr>
            </w:pPr>
          </w:p>
        </w:tc>
        <w:tc>
          <w:tcPr>
            <w:tcW w:w="1152" w:type="dxa"/>
            <w:shd w:val="clear" w:color="FFFFFF" w:fill="FFFFFF"/>
            <w:noWrap/>
            <w:vAlign w:val="bottom"/>
          </w:tcPr>
          <w:p w14:paraId="6B1C4778" w14:textId="77777777" w:rsidR="00F753E8" w:rsidRPr="00D414D0" w:rsidRDefault="00F753E8" w:rsidP="006E1769">
            <w:pPr>
              <w:jc w:val="right"/>
              <w:rPr>
                <w:rFonts w:ascii="Arial" w:hAnsi="Arial" w:cs="Arial"/>
                <w:sz w:val="22"/>
                <w:szCs w:val="22"/>
              </w:rPr>
            </w:pPr>
          </w:p>
        </w:tc>
        <w:tc>
          <w:tcPr>
            <w:tcW w:w="1557" w:type="dxa"/>
            <w:shd w:val="clear" w:color="FFFFFF" w:fill="FFFFFF"/>
            <w:noWrap/>
            <w:vAlign w:val="bottom"/>
          </w:tcPr>
          <w:p w14:paraId="36EEBA82" w14:textId="77777777" w:rsidR="00F753E8" w:rsidRPr="00D414D0" w:rsidRDefault="00F753E8" w:rsidP="006E1769">
            <w:pPr>
              <w:jc w:val="right"/>
              <w:rPr>
                <w:rFonts w:ascii="Arial" w:hAnsi="Arial" w:cs="Arial"/>
                <w:sz w:val="22"/>
                <w:szCs w:val="22"/>
              </w:rPr>
            </w:pPr>
          </w:p>
        </w:tc>
        <w:tc>
          <w:tcPr>
            <w:tcW w:w="1531" w:type="dxa"/>
            <w:shd w:val="clear" w:color="FFFFFF" w:fill="FFFFFF"/>
            <w:noWrap/>
            <w:vAlign w:val="bottom"/>
          </w:tcPr>
          <w:p w14:paraId="7F75E710"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(18,487)</w:t>
            </w:r>
          </w:p>
        </w:tc>
        <w:tc>
          <w:tcPr>
            <w:tcW w:w="1466" w:type="dxa"/>
            <w:gridSpan w:val="2"/>
            <w:shd w:val="clear" w:color="FFFFFF" w:fill="FFFFFF"/>
            <w:noWrap/>
            <w:vAlign w:val="bottom"/>
          </w:tcPr>
          <w:p w14:paraId="692E48D8" w14:textId="77777777" w:rsidR="00F753E8" w:rsidRPr="00D414D0" w:rsidRDefault="00F753E8" w:rsidP="006E1769">
            <w:pPr>
              <w:jc w:val="right"/>
              <w:rPr>
                <w:rFonts w:ascii="Arial" w:hAnsi="Arial" w:cs="Arial"/>
                <w:color w:val="000000"/>
                <w:sz w:val="22"/>
                <w:szCs w:val="22"/>
              </w:rPr>
            </w:pPr>
            <w:r w:rsidRPr="00D414D0">
              <w:rPr>
                <w:rFonts w:ascii="Arial" w:hAnsi="Arial" w:cs="Arial"/>
                <w:color w:val="000000"/>
                <w:sz w:val="22"/>
                <w:szCs w:val="22"/>
              </w:rPr>
              <w:t>(29,200)</w:t>
            </w:r>
          </w:p>
        </w:tc>
      </w:tr>
      <w:tr w:rsidR="00F753E8" w:rsidRPr="00B64150" w14:paraId="1826167C" w14:textId="77777777" w:rsidTr="006E1769">
        <w:trPr>
          <w:trHeight w:val="279"/>
          <w:jc w:val="center"/>
        </w:trPr>
        <w:tc>
          <w:tcPr>
            <w:tcW w:w="2442" w:type="dxa"/>
            <w:shd w:val="clear" w:color="FFFFFF" w:fill="FFFFFF"/>
            <w:vAlign w:val="bottom"/>
          </w:tcPr>
          <w:p w14:paraId="2F08C6AD"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Pending Trade Sales</w:t>
            </w:r>
          </w:p>
        </w:tc>
        <w:tc>
          <w:tcPr>
            <w:tcW w:w="1561" w:type="dxa"/>
            <w:shd w:val="clear" w:color="FFFFFF" w:fill="FFFFFF"/>
            <w:noWrap/>
            <w:vAlign w:val="bottom"/>
          </w:tcPr>
          <w:p w14:paraId="7EBA9E5B"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9,303</w:t>
            </w:r>
          </w:p>
        </w:tc>
        <w:tc>
          <w:tcPr>
            <w:tcW w:w="1516" w:type="dxa"/>
            <w:shd w:val="clear" w:color="FFFFFF" w:fill="FFFFFF"/>
            <w:noWrap/>
            <w:vAlign w:val="bottom"/>
          </w:tcPr>
          <w:p w14:paraId="5859FC26" w14:textId="77777777" w:rsidR="00F753E8" w:rsidRPr="00D414D0" w:rsidRDefault="00F753E8" w:rsidP="006E1769">
            <w:pPr>
              <w:jc w:val="right"/>
              <w:rPr>
                <w:rFonts w:ascii="Arial" w:hAnsi="Arial" w:cs="Arial"/>
                <w:sz w:val="22"/>
                <w:szCs w:val="22"/>
              </w:rPr>
            </w:pPr>
          </w:p>
        </w:tc>
        <w:tc>
          <w:tcPr>
            <w:tcW w:w="1152" w:type="dxa"/>
            <w:shd w:val="clear" w:color="FFFFFF" w:fill="FFFFFF"/>
            <w:noWrap/>
            <w:vAlign w:val="bottom"/>
          </w:tcPr>
          <w:p w14:paraId="0F2B17A6" w14:textId="77777777" w:rsidR="00F753E8" w:rsidRPr="00D414D0" w:rsidRDefault="00F753E8" w:rsidP="006E1769">
            <w:pPr>
              <w:jc w:val="right"/>
              <w:rPr>
                <w:rFonts w:ascii="Arial" w:hAnsi="Arial" w:cs="Arial"/>
                <w:sz w:val="22"/>
                <w:szCs w:val="22"/>
              </w:rPr>
            </w:pPr>
            <w:r w:rsidRPr="00D414D0">
              <w:rPr>
                <w:rFonts w:ascii="Arial" w:hAnsi="Arial" w:cs="Arial"/>
                <w:sz w:val="22"/>
                <w:szCs w:val="22"/>
              </w:rPr>
              <w:t>(9,290)</w:t>
            </w:r>
          </w:p>
        </w:tc>
        <w:tc>
          <w:tcPr>
            <w:tcW w:w="1557" w:type="dxa"/>
            <w:shd w:val="clear" w:color="FFFFFF" w:fill="FFFFFF"/>
            <w:noWrap/>
            <w:vAlign w:val="bottom"/>
          </w:tcPr>
          <w:p w14:paraId="0336E69E"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(13)</w:t>
            </w:r>
          </w:p>
        </w:tc>
        <w:tc>
          <w:tcPr>
            <w:tcW w:w="1531" w:type="dxa"/>
            <w:shd w:val="clear" w:color="FFFFFF" w:fill="FFFFFF"/>
            <w:noWrap/>
            <w:vAlign w:val="bottom"/>
          </w:tcPr>
          <w:p w14:paraId="6C39EE6C" w14:textId="77777777" w:rsidR="00F753E8" w:rsidRPr="00D414D0" w:rsidRDefault="00F753E8" w:rsidP="006E1769">
            <w:pPr>
              <w:jc w:val="right"/>
              <w:rPr>
                <w:rFonts w:ascii="Arial" w:hAnsi="Arial" w:cs="Arial"/>
                <w:sz w:val="22"/>
                <w:szCs w:val="22"/>
              </w:rPr>
            </w:pPr>
          </w:p>
        </w:tc>
        <w:tc>
          <w:tcPr>
            <w:tcW w:w="1466" w:type="dxa"/>
            <w:gridSpan w:val="2"/>
            <w:shd w:val="clear" w:color="FFFFFF" w:fill="FFFFFF"/>
            <w:noWrap/>
            <w:vAlign w:val="bottom"/>
          </w:tcPr>
          <w:p w14:paraId="057C99D4"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w:t>
            </w:r>
          </w:p>
        </w:tc>
      </w:tr>
      <w:tr w:rsidR="00F753E8" w:rsidRPr="00B64150" w14:paraId="196D149F" w14:textId="77777777" w:rsidTr="006E1769">
        <w:trPr>
          <w:trHeight w:val="279"/>
          <w:jc w:val="center"/>
        </w:trPr>
        <w:tc>
          <w:tcPr>
            <w:tcW w:w="2442" w:type="dxa"/>
            <w:shd w:val="clear" w:color="FFFFFF" w:fill="FFFFFF"/>
            <w:vAlign w:val="bottom"/>
            <w:hideMark/>
          </w:tcPr>
          <w:p w14:paraId="08395CEE"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Other Investments</w:t>
            </w:r>
          </w:p>
        </w:tc>
        <w:tc>
          <w:tcPr>
            <w:tcW w:w="1561" w:type="dxa"/>
            <w:tcBorders>
              <w:bottom w:val="single" w:sz="4" w:space="0" w:color="auto"/>
            </w:tcBorders>
            <w:shd w:val="clear" w:color="FFFFFF" w:fill="FFFFFF"/>
            <w:noWrap/>
            <w:vAlign w:val="bottom"/>
          </w:tcPr>
          <w:p w14:paraId="1BAECDB0"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9</w:t>
            </w:r>
          </w:p>
        </w:tc>
        <w:tc>
          <w:tcPr>
            <w:tcW w:w="1516" w:type="dxa"/>
            <w:tcBorders>
              <w:bottom w:val="single" w:sz="4" w:space="0" w:color="auto"/>
            </w:tcBorders>
            <w:shd w:val="clear" w:color="FFFFFF" w:fill="FFFFFF"/>
            <w:noWrap/>
            <w:vAlign w:val="bottom"/>
          </w:tcPr>
          <w:p w14:paraId="1C158765" w14:textId="77777777" w:rsidR="00F753E8" w:rsidRPr="00D414D0" w:rsidRDefault="00F753E8" w:rsidP="006E1769">
            <w:pPr>
              <w:jc w:val="right"/>
              <w:rPr>
                <w:rFonts w:ascii="Arial" w:hAnsi="Arial" w:cs="Arial"/>
                <w:sz w:val="22"/>
                <w:szCs w:val="22"/>
              </w:rPr>
            </w:pPr>
          </w:p>
        </w:tc>
        <w:tc>
          <w:tcPr>
            <w:tcW w:w="1152" w:type="dxa"/>
            <w:tcBorders>
              <w:bottom w:val="single" w:sz="4" w:space="0" w:color="auto"/>
            </w:tcBorders>
            <w:shd w:val="clear" w:color="FFFFFF" w:fill="FFFFFF"/>
            <w:noWrap/>
            <w:vAlign w:val="bottom"/>
          </w:tcPr>
          <w:p w14:paraId="00F7F8D9" w14:textId="77777777" w:rsidR="00F753E8" w:rsidRPr="00D414D0" w:rsidRDefault="00F753E8" w:rsidP="006E1769">
            <w:pPr>
              <w:jc w:val="right"/>
              <w:rPr>
                <w:rFonts w:ascii="Arial" w:hAnsi="Arial" w:cs="Arial"/>
                <w:sz w:val="22"/>
                <w:szCs w:val="22"/>
              </w:rPr>
            </w:pPr>
          </w:p>
        </w:tc>
        <w:tc>
          <w:tcPr>
            <w:tcW w:w="1557" w:type="dxa"/>
            <w:tcBorders>
              <w:bottom w:val="single" w:sz="4" w:space="0" w:color="auto"/>
            </w:tcBorders>
            <w:shd w:val="clear" w:color="FFFFFF" w:fill="FFFFFF"/>
            <w:noWrap/>
            <w:vAlign w:val="bottom"/>
          </w:tcPr>
          <w:p w14:paraId="4412576D" w14:textId="77777777" w:rsidR="00F753E8" w:rsidRPr="00D414D0" w:rsidRDefault="00F753E8" w:rsidP="006E1769">
            <w:pPr>
              <w:jc w:val="right"/>
              <w:rPr>
                <w:rFonts w:ascii="Arial" w:hAnsi="Arial" w:cs="Arial"/>
                <w:sz w:val="22"/>
                <w:szCs w:val="22"/>
              </w:rPr>
            </w:pPr>
          </w:p>
        </w:tc>
        <w:tc>
          <w:tcPr>
            <w:tcW w:w="1531" w:type="dxa"/>
            <w:tcBorders>
              <w:bottom w:val="single" w:sz="4" w:space="0" w:color="auto"/>
            </w:tcBorders>
            <w:shd w:val="clear" w:color="FFFFFF" w:fill="FFFFFF"/>
            <w:noWrap/>
            <w:vAlign w:val="bottom"/>
          </w:tcPr>
          <w:p w14:paraId="0EB0CC17" w14:textId="77777777" w:rsidR="00F753E8" w:rsidRPr="00D414D0" w:rsidRDefault="00F753E8" w:rsidP="006E1769">
            <w:pPr>
              <w:jc w:val="right"/>
              <w:rPr>
                <w:rFonts w:ascii="Arial" w:hAnsi="Arial" w:cs="Arial"/>
                <w:sz w:val="22"/>
                <w:szCs w:val="22"/>
              </w:rPr>
            </w:pPr>
          </w:p>
        </w:tc>
        <w:tc>
          <w:tcPr>
            <w:tcW w:w="1466" w:type="dxa"/>
            <w:gridSpan w:val="2"/>
            <w:tcBorders>
              <w:bottom w:val="single" w:sz="4" w:space="0" w:color="auto"/>
            </w:tcBorders>
            <w:shd w:val="clear" w:color="FFFFFF" w:fill="FFFFFF"/>
            <w:noWrap/>
            <w:vAlign w:val="bottom"/>
          </w:tcPr>
          <w:p w14:paraId="2F9244FB"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9</w:t>
            </w:r>
          </w:p>
        </w:tc>
      </w:tr>
      <w:tr w:rsidR="00F753E8" w:rsidRPr="00B64150" w14:paraId="733C98E4" w14:textId="77777777" w:rsidTr="006E1769">
        <w:trPr>
          <w:trHeight w:val="68"/>
          <w:jc w:val="center"/>
        </w:trPr>
        <w:tc>
          <w:tcPr>
            <w:tcW w:w="2442" w:type="dxa"/>
            <w:shd w:val="clear" w:color="FFFFFF" w:fill="FFFFFF"/>
            <w:vAlign w:val="bottom"/>
            <w:hideMark/>
          </w:tcPr>
          <w:p w14:paraId="08BCDD86" w14:textId="77777777" w:rsidR="00F753E8" w:rsidRPr="008F353B" w:rsidRDefault="00F753E8" w:rsidP="006E1769">
            <w:pPr>
              <w:rPr>
                <w:rFonts w:ascii="Arial" w:hAnsi="Arial" w:cs="Arial"/>
                <w:bCs/>
                <w:color w:val="000000"/>
                <w:sz w:val="22"/>
                <w:szCs w:val="22"/>
              </w:rPr>
            </w:pPr>
            <w:r w:rsidRPr="008F353B">
              <w:rPr>
                <w:rFonts w:ascii="Arial" w:hAnsi="Arial" w:cs="Arial"/>
                <w:bCs/>
                <w:color w:val="000000"/>
                <w:sz w:val="22"/>
                <w:szCs w:val="22"/>
              </w:rPr>
              <w:t>Total</w:t>
            </w:r>
          </w:p>
        </w:tc>
        <w:tc>
          <w:tcPr>
            <w:tcW w:w="1561" w:type="dxa"/>
            <w:tcBorders>
              <w:top w:val="single" w:sz="4" w:space="0" w:color="auto"/>
              <w:bottom w:val="single" w:sz="4" w:space="0" w:color="auto"/>
            </w:tcBorders>
            <w:shd w:val="clear" w:color="FFFFFF" w:fill="FFFFFF"/>
            <w:noWrap/>
            <w:vAlign w:val="bottom"/>
          </w:tcPr>
          <w:p w14:paraId="508B1547"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993,183</w:t>
            </w:r>
          </w:p>
        </w:tc>
        <w:tc>
          <w:tcPr>
            <w:tcW w:w="1516" w:type="dxa"/>
            <w:tcBorders>
              <w:top w:val="nil"/>
              <w:left w:val="nil"/>
              <w:bottom w:val="single" w:sz="4" w:space="0" w:color="auto"/>
              <w:right w:val="nil"/>
            </w:tcBorders>
            <w:shd w:val="clear" w:color="000000" w:fill="FFFFFF"/>
            <w:noWrap/>
            <w:vAlign w:val="bottom"/>
          </w:tcPr>
          <w:p w14:paraId="02BC1618"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86,487</w:t>
            </w:r>
          </w:p>
        </w:tc>
        <w:tc>
          <w:tcPr>
            <w:tcW w:w="1152" w:type="dxa"/>
            <w:tcBorders>
              <w:top w:val="single" w:sz="8" w:space="0" w:color="auto"/>
              <w:left w:val="nil"/>
              <w:bottom w:val="single" w:sz="4" w:space="0" w:color="auto"/>
              <w:right w:val="nil"/>
            </w:tcBorders>
            <w:shd w:val="clear" w:color="auto" w:fill="auto"/>
            <w:noWrap/>
            <w:vAlign w:val="bottom"/>
          </w:tcPr>
          <w:p w14:paraId="04A84D45"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(69,019)</w:t>
            </w:r>
          </w:p>
        </w:tc>
        <w:tc>
          <w:tcPr>
            <w:tcW w:w="1557" w:type="dxa"/>
            <w:tcBorders>
              <w:top w:val="single" w:sz="8" w:space="0" w:color="auto"/>
              <w:left w:val="nil"/>
              <w:bottom w:val="single" w:sz="4" w:space="0" w:color="auto"/>
              <w:right w:val="nil"/>
            </w:tcBorders>
            <w:shd w:val="clear" w:color="auto" w:fill="auto"/>
            <w:noWrap/>
            <w:vAlign w:val="bottom"/>
          </w:tcPr>
          <w:p w14:paraId="47A90C89"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283,609</w:t>
            </w:r>
          </w:p>
        </w:tc>
        <w:tc>
          <w:tcPr>
            <w:tcW w:w="1541" w:type="dxa"/>
            <w:gridSpan w:val="2"/>
            <w:tcBorders>
              <w:top w:val="single" w:sz="8" w:space="0" w:color="auto"/>
              <w:left w:val="nil"/>
              <w:bottom w:val="single" w:sz="4" w:space="0" w:color="auto"/>
              <w:right w:val="nil"/>
            </w:tcBorders>
            <w:shd w:val="clear" w:color="auto" w:fill="auto"/>
            <w:noWrap/>
            <w:vAlign w:val="bottom"/>
          </w:tcPr>
          <w:p w14:paraId="3B52C4A5"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(11,470)</w:t>
            </w:r>
          </w:p>
        </w:tc>
        <w:tc>
          <w:tcPr>
            <w:tcW w:w="1456" w:type="dxa"/>
            <w:tcBorders>
              <w:top w:val="single" w:sz="8" w:space="0" w:color="auto"/>
              <w:left w:val="nil"/>
              <w:bottom w:val="single" w:sz="4" w:space="0" w:color="auto"/>
              <w:right w:val="nil"/>
            </w:tcBorders>
            <w:shd w:val="clear" w:color="auto" w:fill="auto"/>
            <w:noWrap/>
            <w:vAlign w:val="bottom"/>
          </w:tcPr>
          <w:p w14:paraId="714EB32C" w14:textId="77777777" w:rsidR="00F753E8" w:rsidRPr="00D414D0" w:rsidRDefault="00F753E8" w:rsidP="006E1769">
            <w:pPr>
              <w:jc w:val="right"/>
              <w:rPr>
                <w:rFonts w:ascii="Arial" w:hAnsi="Arial" w:cs="Arial"/>
                <w:sz w:val="22"/>
                <w:szCs w:val="22"/>
              </w:rPr>
            </w:pPr>
            <w:r w:rsidRPr="00D414D0">
              <w:rPr>
                <w:rFonts w:ascii="Arial" w:hAnsi="Arial" w:cs="Arial"/>
                <w:color w:val="000000"/>
                <w:sz w:val="22"/>
                <w:szCs w:val="22"/>
              </w:rPr>
              <w:t>1,282,790</w:t>
            </w:r>
          </w:p>
        </w:tc>
      </w:tr>
    </w:tbl>
    <w:p w14:paraId="61BD183D" w14:textId="77777777" w:rsidR="0077550B" w:rsidRDefault="0077550B" w:rsidP="00F753E8">
      <w:pPr>
        <w:ind w:left="-142"/>
        <w:jc w:val="both"/>
        <w:rPr>
          <w:rFonts w:ascii="Arial" w:hAnsi="Arial" w:cs="Arial"/>
          <w:sz w:val="22"/>
          <w:szCs w:val="22"/>
        </w:rPr>
      </w:pPr>
    </w:p>
    <w:p w14:paraId="76C2510B" w14:textId="76BA3CD8" w:rsidR="00F753E8" w:rsidRPr="008A0A4E" w:rsidRDefault="00F753E8" w:rsidP="00F753E8">
      <w:pPr>
        <w:ind w:left="-142"/>
        <w:jc w:val="both"/>
        <w:rPr>
          <w:rFonts w:ascii="Arial" w:hAnsi="Arial" w:cs="Arial"/>
          <w:sz w:val="22"/>
          <w:szCs w:val="22"/>
        </w:rPr>
      </w:pPr>
      <w:r w:rsidRPr="008A0A4E">
        <w:rPr>
          <w:rFonts w:ascii="Arial" w:hAnsi="Arial" w:cs="Arial"/>
          <w:sz w:val="22"/>
          <w:szCs w:val="22"/>
        </w:rPr>
        <w:t>The change in fair value of investments during the year comprises all increases and decreases in the value of investments held at any time during the year, including profits and losses realised on sales of investment and changes in the sterling value of assets caused by changes in exchange rates. In the case of pooled investment vehicles changes in market value also includes income, net of withholding tax, which is reinvested in the Fund.</w:t>
      </w:r>
    </w:p>
    <w:p w14:paraId="17AC1AB2" w14:textId="77777777" w:rsidR="00F753E8" w:rsidRPr="008A0A4E" w:rsidRDefault="00F753E8" w:rsidP="00F753E8">
      <w:pPr>
        <w:pStyle w:val="ListParagraph"/>
        <w:tabs>
          <w:tab w:val="left" w:pos="284"/>
        </w:tabs>
        <w:spacing w:after="0" w:line="240" w:lineRule="auto"/>
        <w:ind w:left="-142"/>
        <w:jc w:val="both"/>
        <w:rPr>
          <w:rFonts w:ascii="Arial" w:hAnsi="Arial" w:cs="Arial"/>
        </w:rPr>
      </w:pPr>
    </w:p>
    <w:p w14:paraId="4088D058" w14:textId="768928AF" w:rsidR="00F753E8" w:rsidRPr="008A0A4E" w:rsidRDefault="00F753E8" w:rsidP="00F753E8">
      <w:pPr>
        <w:tabs>
          <w:tab w:val="left" w:pos="284"/>
        </w:tabs>
        <w:ind w:left="-142"/>
        <w:jc w:val="both"/>
        <w:rPr>
          <w:rFonts w:ascii="Arial" w:hAnsi="Arial" w:cs="Arial"/>
          <w:sz w:val="22"/>
          <w:szCs w:val="22"/>
        </w:rPr>
      </w:pPr>
      <w:r w:rsidRPr="008A0A4E">
        <w:rPr>
          <w:rFonts w:ascii="Arial" w:hAnsi="Arial" w:cs="Arial"/>
          <w:sz w:val="22"/>
          <w:szCs w:val="22"/>
        </w:rPr>
        <w:t>The cost of purchases and the sales proceeds are inclusive of transaction costs, such as broker fees and taxes. In addition to transaction costs, indirect costs are incurred through the bid offer spread on investments within pooled investment vehicles. The amount of indirect cost is not separately provided to the Fund. The Fund employs specialist investment managers with mandates corresponding to the</w:t>
      </w:r>
      <w:r w:rsidR="0077550B">
        <w:rPr>
          <w:rFonts w:ascii="Arial" w:hAnsi="Arial" w:cs="Arial"/>
          <w:sz w:val="22"/>
          <w:szCs w:val="22"/>
        </w:rPr>
        <w:t xml:space="preserve"> </w:t>
      </w:r>
      <w:r w:rsidRPr="008A0A4E">
        <w:rPr>
          <w:rFonts w:ascii="Arial" w:hAnsi="Arial" w:cs="Arial"/>
          <w:sz w:val="22"/>
          <w:szCs w:val="22"/>
        </w:rPr>
        <w:t>principal asset classes.  A list of the Fund’s Fund Manager, their mandate and the asset type are outlined in the table below:</w:t>
      </w:r>
    </w:p>
    <w:p w14:paraId="5BAD83DA" w14:textId="77777777" w:rsidR="00F753E8" w:rsidRPr="008A0A4E" w:rsidRDefault="00F753E8" w:rsidP="00F753E8">
      <w:pPr>
        <w:ind w:left="284"/>
        <w:jc w:val="both"/>
        <w:rPr>
          <w:rFonts w:ascii="Arial" w:hAnsi="Arial" w:cs="Arial"/>
          <w:b/>
          <w:sz w:val="22"/>
          <w:szCs w:val="22"/>
        </w:rPr>
      </w:pP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9"/>
        <w:gridCol w:w="1287"/>
        <w:gridCol w:w="4447"/>
      </w:tblGrid>
      <w:tr w:rsidR="00F753E8" w:rsidRPr="00B64150" w14:paraId="453AAA94" w14:textId="77777777" w:rsidTr="006E1769">
        <w:trPr>
          <w:trHeight w:val="259"/>
          <w:jc w:val="center"/>
        </w:trPr>
        <w:tc>
          <w:tcPr>
            <w:tcW w:w="3459" w:type="dxa"/>
            <w:vAlign w:val="center"/>
          </w:tcPr>
          <w:p w14:paraId="2AA831C4" w14:textId="77777777" w:rsidR="00F753E8" w:rsidRPr="008A0A4E" w:rsidRDefault="00F753E8" w:rsidP="006E1769">
            <w:pPr>
              <w:autoSpaceDE w:val="0"/>
              <w:autoSpaceDN w:val="0"/>
              <w:adjustRightInd w:val="0"/>
              <w:jc w:val="center"/>
              <w:rPr>
                <w:rFonts w:ascii="Arial" w:hAnsi="Arial" w:cs="Arial"/>
                <w:b/>
                <w:bCs/>
                <w:color w:val="000000"/>
                <w:sz w:val="22"/>
                <w:szCs w:val="22"/>
              </w:rPr>
            </w:pPr>
            <w:r w:rsidRPr="008A0A4E">
              <w:rPr>
                <w:rFonts w:ascii="Arial" w:hAnsi="Arial" w:cs="Arial"/>
                <w:b/>
                <w:bCs/>
                <w:color w:val="000000"/>
                <w:sz w:val="22"/>
                <w:szCs w:val="22"/>
              </w:rPr>
              <w:t>Investment Manager</w:t>
            </w:r>
          </w:p>
        </w:tc>
        <w:tc>
          <w:tcPr>
            <w:tcW w:w="1287" w:type="dxa"/>
            <w:vAlign w:val="center"/>
          </w:tcPr>
          <w:p w14:paraId="1189F171" w14:textId="77777777" w:rsidR="00F753E8" w:rsidRPr="008A0A4E" w:rsidRDefault="00F753E8" w:rsidP="006E1769">
            <w:pPr>
              <w:autoSpaceDE w:val="0"/>
              <w:autoSpaceDN w:val="0"/>
              <w:adjustRightInd w:val="0"/>
              <w:jc w:val="center"/>
              <w:rPr>
                <w:rFonts w:ascii="Arial" w:hAnsi="Arial" w:cs="Arial"/>
                <w:b/>
                <w:color w:val="000000"/>
                <w:sz w:val="22"/>
                <w:szCs w:val="22"/>
              </w:rPr>
            </w:pPr>
            <w:r w:rsidRPr="008A0A4E">
              <w:rPr>
                <w:rFonts w:ascii="Arial" w:hAnsi="Arial" w:cs="Arial"/>
                <w:b/>
                <w:color w:val="000000"/>
                <w:sz w:val="22"/>
                <w:szCs w:val="22"/>
              </w:rPr>
              <w:t>Mandate</w:t>
            </w:r>
          </w:p>
        </w:tc>
        <w:tc>
          <w:tcPr>
            <w:tcW w:w="4447" w:type="dxa"/>
            <w:vAlign w:val="center"/>
          </w:tcPr>
          <w:p w14:paraId="7400293B" w14:textId="77777777" w:rsidR="00F753E8" w:rsidRPr="008A0A4E" w:rsidRDefault="00F753E8" w:rsidP="006E1769">
            <w:pPr>
              <w:autoSpaceDE w:val="0"/>
              <w:autoSpaceDN w:val="0"/>
              <w:adjustRightInd w:val="0"/>
              <w:jc w:val="center"/>
              <w:rPr>
                <w:rFonts w:ascii="Arial" w:hAnsi="Arial" w:cs="Arial"/>
                <w:b/>
                <w:color w:val="000000"/>
                <w:sz w:val="22"/>
                <w:szCs w:val="22"/>
              </w:rPr>
            </w:pPr>
            <w:r w:rsidRPr="008A0A4E">
              <w:rPr>
                <w:rFonts w:ascii="Arial" w:hAnsi="Arial" w:cs="Arial"/>
                <w:b/>
                <w:color w:val="000000"/>
                <w:sz w:val="22"/>
                <w:szCs w:val="22"/>
              </w:rPr>
              <w:t>Asset Type</w:t>
            </w:r>
          </w:p>
        </w:tc>
      </w:tr>
      <w:tr w:rsidR="00F753E8" w:rsidRPr="00B64150" w14:paraId="3E4184FE" w14:textId="77777777" w:rsidTr="006E1769">
        <w:trPr>
          <w:trHeight w:val="259"/>
          <w:jc w:val="center"/>
        </w:trPr>
        <w:tc>
          <w:tcPr>
            <w:tcW w:w="3459" w:type="dxa"/>
            <w:vAlign w:val="bottom"/>
          </w:tcPr>
          <w:p w14:paraId="76AECA33" w14:textId="77777777" w:rsidR="00F753E8" w:rsidRPr="008A0A4E" w:rsidRDefault="00F753E8" w:rsidP="006E1769">
            <w:pPr>
              <w:rPr>
                <w:rFonts w:ascii="Arial" w:hAnsi="Arial" w:cs="Arial"/>
                <w:color w:val="000000"/>
                <w:sz w:val="22"/>
                <w:szCs w:val="22"/>
              </w:rPr>
            </w:pPr>
            <w:proofErr w:type="spellStart"/>
            <w:r w:rsidRPr="008A0A4E">
              <w:rPr>
                <w:rFonts w:ascii="Arial" w:hAnsi="Arial" w:cs="Arial"/>
                <w:color w:val="000000"/>
                <w:sz w:val="22"/>
                <w:szCs w:val="22"/>
              </w:rPr>
              <w:t>Abrdn</w:t>
            </w:r>
            <w:proofErr w:type="spellEnd"/>
            <w:r w:rsidRPr="008A0A4E">
              <w:rPr>
                <w:rFonts w:ascii="Arial" w:hAnsi="Arial" w:cs="Arial"/>
                <w:color w:val="000000"/>
                <w:sz w:val="22"/>
                <w:szCs w:val="22"/>
              </w:rPr>
              <w:t xml:space="preserve"> Asset Management</w:t>
            </w:r>
          </w:p>
        </w:tc>
        <w:tc>
          <w:tcPr>
            <w:tcW w:w="1287" w:type="dxa"/>
            <w:vAlign w:val="bottom"/>
          </w:tcPr>
          <w:p w14:paraId="2A900FF3"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73C095D8"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Diversified Alternatives</w:t>
            </w:r>
          </w:p>
        </w:tc>
      </w:tr>
      <w:tr w:rsidR="00F753E8" w:rsidRPr="00B64150" w14:paraId="16E5D978" w14:textId="77777777" w:rsidTr="006E1769">
        <w:trPr>
          <w:trHeight w:val="259"/>
          <w:jc w:val="center"/>
        </w:trPr>
        <w:tc>
          <w:tcPr>
            <w:tcW w:w="3459" w:type="dxa"/>
            <w:vAlign w:val="bottom"/>
          </w:tcPr>
          <w:p w14:paraId="7297D21F" w14:textId="77777777" w:rsidR="00F753E8" w:rsidRPr="008A0A4E" w:rsidRDefault="00F753E8" w:rsidP="006E1769">
            <w:pPr>
              <w:rPr>
                <w:rFonts w:ascii="Arial" w:hAnsi="Arial" w:cs="Arial"/>
                <w:color w:val="000000"/>
                <w:sz w:val="22"/>
                <w:szCs w:val="22"/>
              </w:rPr>
            </w:pPr>
            <w:r>
              <w:rPr>
                <w:rFonts w:ascii="Arial" w:hAnsi="Arial" w:cs="Arial"/>
                <w:color w:val="000000"/>
                <w:sz w:val="22"/>
                <w:szCs w:val="22"/>
              </w:rPr>
              <w:t>Insight</w:t>
            </w:r>
          </w:p>
        </w:tc>
        <w:tc>
          <w:tcPr>
            <w:tcW w:w="1287" w:type="dxa"/>
            <w:vAlign w:val="bottom"/>
          </w:tcPr>
          <w:p w14:paraId="4564E4E6"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4AAE2C49"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Global Credit</w:t>
            </w:r>
          </w:p>
        </w:tc>
      </w:tr>
      <w:tr w:rsidR="00F753E8" w:rsidRPr="00B64150" w14:paraId="7870CAE6" w14:textId="77777777" w:rsidTr="006E1769">
        <w:trPr>
          <w:trHeight w:val="259"/>
          <w:jc w:val="center"/>
        </w:trPr>
        <w:tc>
          <w:tcPr>
            <w:tcW w:w="3459" w:type="dxa"/>
            <w:vAlign w:val="bottom"/>
          </w:tcPr>
          <w:p w14:paraId="0AD4881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London CIV: Baillie Gifford</w:t>
            </w:r>
          </w:p>
        </w:tc>
        <w:tc>
          <w:tcPr>
            <w:tcW w:w="1287" w:type="dxa"/>
            <w:vAlign w:val="bottom"/>
          </w:tcPr>
          <w:p w14:paraId="1676B13B"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6279DF1A"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Global Equity (Pooled)</w:t>
            </w:r>
          </w:p>
        </w:tc>
      </w:tr>
      <w:tr w:rsidR="00F753E8" w:rsidRPr="00B64150" w14:paraId="00B574A0" w14:textId="77777777" w:rsidTr="006E1769">
        <w:trPr>
          <w:trHeight w:val="259"/>
          <w:jc w:val="center"/>
        </w:trPr>
        <w:tc>
          <w:tcPr>
            <w:tcW w:w="3459" w:type="dxa"/>
            <w:vAlign w:val="bottom"/>
          </w:tcPr>
          <w:p w14:paraId="1A24CD52"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London CIV: </w:t>
            </w:r>
            <w:proofErr w:type="spellStart"/>
            <w:r w:rsidRPr="008A0A4E">
              <w:rPr>
                <w:rFonts w:ascii="Arial" w:hAnsi="Arial" w:cs="Arial"/>
                <w:color w:val="000000"/>
                <w:sz w:val="22"/>
                <w:szCs w:val="22"/>
              </w:rPr>
              <w:t>Pyrford</w:t>
            </w:r>
            <w:proofErr w:type="spellEnd"/>
          </w:p>
        </w:tc>
        <w:tc>
          <w:tcPr>
            <w:tcW w:w="1287" w:type="dxa"/>
            <w:vAlign w:val="bottom"/>
          </w:tcPr>
          <w:p w14:paraId="10E58EB2"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519FF637"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Absolute Return</w:t>
            </w:r>
          </w:p>
        </w:tc>
      </w:tr>
      <w:tr w:rsidR="00F753E8" w:rsidRPr="00B64150" w14:paraId="21CB5388" w14:textId="77777777" w:rsidTr="006E1769">
        <w:trPr>
          <w:trHeight w:val="259"/>
          <w:jc w:val="center"/>
        </w:trPr>
        <w:tc>
          <w:tcPr>
            <w:tcW w:w="3459" w:type="dxa"/>
            <w:vAlign w:val="bottom"/>
          </w:tcPr>
          <w:p w14:paraId="4C47CD08"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London CIV: Newton</w:t>
            </w:r>
          </w:p>
        </w:tc>
        <w:tc>
          <w:tcPr>
            <w:tcW w:w="1287" w:type="dxa"/>
            <w:vAlign w:val="bottom"/>
          </w:tcPr>
          <w:p w14:paraId="79917A81"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5D15A0EC"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Absolute Return</w:t>
            </w:r>
          </w:p>
        </w:tc>
      </w:tr>
      <w:tr w:rsidR="00F753E8" w:rsidRPr="00B64150" w14:paraId="258584F0" w14:textId="77777777" w:rsidTr="006E1769">
        <w:trPr>
          <w:trHeight w:val="259"/>
          <w:jc w:val="center"/>
        </w:trPr>
        <w:tc>
          <w:tcPr>
            <w:tcW w:w="3459" w:type="dxa"/>
            <w:vAlign w:val="bottom"/>
          </w:tcPr>
          <w:p w14:paraId="10503B10"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London CIV: Other</w:t>
            </w:r>
          </w:p>
        </w:tc>
        <w:tc>
          <w:tcPr>
            <w:tcW w:w="1287" w:type="dxa"/>
            <w:vAlign w:val="bottom"/>
          </w:tcPr>
          <w:p w14:paraId="70F68031"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Passive</w:t>
            </w:r>
          </w:p>
        </w:tc>
        <w:tc>
          <w:tcPr>
            <w:tcW w:w="4447" w:type="dxa"/>
            <w:vAlign w:val="bottom"/>
          </w:tcPr>
          <w:p w14:paraId="3BA0DE86"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None</w:t>
            </w:r>
          </w:p>
        </w:tc>
      </w:tr>
      <w:tr w:rsidR="00F753E8" w:rsidRPr="00B64150" w14:paraId="69951587" w14:textId="77777777" w:rsidTr="006E1769">
        <w:trPr>
          <w:trHeight w:val="259"/>
          <w:jc w:val="center"/>
        </w:trPr>
        <w:tc>
          <w:tcPr>
            <w:tcW w:w="3459" w:type="dxa"/>
            <w:vAlign w:val="bottom"/>
          </w:tcPr>
          <w:p w14:paraId="0E499EE4"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BlackRock</w:t>
            </w:r>
          </w:p>
        </w:tc>
        <w:tc>
          <w:tcPr>
            <w:tcW w:w="1287" w:type="dxa"/>
            <w:vAlign w:val="bottom"/>
          </w:tcPr>
          <w:p w14:paraId="3961510B"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656EE005"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Property Investments (UK)</w:t>
            </w:r>
          </w:p>
        </w:tc>
      </w:tr>
      <w:tr w:rsidR="00F753E8" w:rsidRPr="00B64150" w14:paraId="2E1FAE20" w14:textId="77777777" w:rsidTr="006E1769">
        <w:trPr>
          <w:trHeight w:val="259"/>
          <w:jc w:val="center"/>
        </w:trPr>
        <w:tc>
          <w:tcPr>
            <w:tcW w:w="3459" w:type="dxa"/>
            <w:vAlign w:val="bottom"/>
          </w:tcPr>
          <w:p w14:paraId="1767C399"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Hermes</w:t>
            </w:r>
          </w:p>
        </w:tc>
        <w:tc>
          <w:tcPr>
            <w:tcW w:w="1287" w:type="dxa"/>
            <w:vAlign w:val="bottom"/>
          </w:tcPr>
          <w:p w14:paraId="02C7791C"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397DE750"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Infrastructure (LLP)</w:t>
            </w:r>
          </w:p>
        </w:tc>
      </w:tr>
      <w:tr w:rsidR="00F753E8" w:rsidRPr="00B64150" w14:paraId="064BA233" w14:textId="77777777" w:rsidTr="006E1769">
        <w:trPr>
          <w:trHeight w:val="259"/>
          <w:jc w:val="center"/>
        </w:trPr>
        <w:tc>
          <w:tcPr>
            <w:tcW w:w="3459" w:type="dxa"/>
            <w:vAlign w:val="bottom"/>
          </w:tcPr>
          <w:p w14:paraId="1067C5BD" w14:textId="77777777" w:rsidR="00F753E8" w:rsidRPr="008A0A4E" w:rsidRDefault="00F753E8" w:rsidP="006E1769">
            <w:pPr>
              <w:rPr>
                <w:rFonts w:ascii="Arial" w:hAnsi="Arial" w:cs="Arial"/>
                <w:color w:val="000000"/>
                <w:sz w:val="22"/>
                <w:szCs w:val="22"/>
              </w:rPr>
            </w:pPr>
            <w:proofErr w:type="spellStart"/>
            <w:r w:rsidRPr="008A0A4E">
              <w:rPr>
                <w:rFonts w:ascii="Arial" w:hAnsi="Arial" w:cs="Arial"/>
                <w:color w:val="000000"/>
                <w:sz w:val="22"/>
                <w:szCs w:val="22"/>
              </w:rPr>
              <w:t>Kempen</w:t>
            </w:r>
            <w:proofErr w:type="spellEnd"/>
          </w:p>
        </w:tc>
        <w:tc>
          <w:tcPr>
            <w:tcW w:w="1287" w:type="dxa"/>
            <w:vAlign w:val="bottom"/>
          </w:tcPr>
          <w:p w14:paraId="78199B67"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096BC405"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Global Equity (Pooled)</w:t>
            </w:r>
          </w:p>
        </w:tc>
      </w:tr>
      <w:tr w:rsidR="00F753E8" w:rsidRPr="00B64150" w14:paraId="088DDAD7" w14:textId="77777777" w:rsidTr="006E1769">
        <w:trPr>
          <w:trHeight w:val="259"/>
          <w:jc w:val="center"/>
        </w:trPr>
        <w:tc>
          <w:tcPr>
            <w:tcW w:w="3459" w:type="dxa"/>
            <w:vAlign w:val="bottom"/>
          </w:tcPr>
          <w:p w14:paraId="1E9A42B7"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Prudential/M&amp;G</w:t>
            </w:r>
          </w:p>
        </w:tc>
        <w:tc>
          <w:tcPr>
            <w:tcW w:w="1287" w:type="dxa"/>
            <w:vAlign w:val="bottom"/>
          </w:tcPr>
          <w:p w14:paraId="1EFE2533"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16E5CA48"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Alternatives - UK Companies Financing</w:t>
            </w:r>
          </w:p>
        </w:tc>
      </w:tr>
      <w:tr w:rsidR="00F753E8" w:rsidRPr="00B64150" w14:paraId="7E2C3856" w14:textId="77777777" w:rsidTr="006E1769">
        <w:trPr>
          <w:trHeight w:val="259"/>
          <w:jc w:val="center"/>
        </w:trPr>
        <w:tc>
          <w:tcPr>
            <w:tcW w:w="3459" w:type="dxa"/>
            <w:vAlign w:val="bottom"/>
          </w:tcPr>
          <w:p w14:paraId="451123CD"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RREEF</w:t>
            </w:r>
          </w:p>
        </w:tc>
        <w:tc>
          <w:tcPr>
            <w:tcW w:w="1287" w:type="dxa"/>
            <w:vAlign w:val="bottom"/>
          </w:tcPr>
          <w:p w14:paraId="3D974411"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6F1B1CC9"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Property Investments (UK)</w:t>
            </w:r>
          </w:p>
        </w:tc>
      </w:tr>
      <w:tr w:rsidR="00F753E8" w:rsidRPr="00B64150" w14:paraId="3BA06BCE" w14:textId="77777777" w:rsidTr="006E1769">
        <w:trPr>
          <w:trHeight w:val="259"/>
          <w:jc w:val="center"/>
        </w:trPr>
        <w:tc>
          <w:tcPr>
            <w:tcW w:w="3459" w:type="dxa"/>
            <w:vAlign w:val="bottom"/>
          </w:tcPr>
          <w:p w14:paraId="017A3C0C"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Schroders</w:t>
            </w:r>
          </w:p>
        </w:tc>
        <w:tc>
          <w:tcPr>
            <w:tcW w:w="1287" w:type="dxa"/>
            <w:vAlign w:val="bottom"/>
          </w:tcPr>
          <w:p w14:paraId="495E5520"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Active</w:t>
            </w:r>
          </w:p>
        </w:tc>
        <w:tc>
          <w:tcPr>
            <w:tcW w:w="4447" w:type="dxa"/>
            <w:vAlign w:val="bottom"/>
          </w:tcPr>
          <w:p w14:paraId="42F49261"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Property Investments (UK Fund of Funds) </w:t>
            </w:r>
          </w:p>
        </w:tc>
      </w:tr>
      <w:tr w:rsidR="00F753E8" w:rsidRPr="00B64150" w14:paraId="76021AC0" w14:textId="77777777" w:rsidTr="006E1769">
        <w:trPr>
          <w:trHeight w:val="259"/>
          <w:jc w:val="center"/>
        </w:trPr>
        <w:tc>
          <w:tcPr>
            <w:tcW w:w="3459" w:type="dxa"/>
            <w:tcBorders>
              <w:top w:val="single" w:sz="4" w:space="0" w:color="auto"/>
              <w:left w:val="single" w:sz="4" w:space="0" w:color="auto"/>
              <w:bottom w:val="single" w:sz="4" w:space="0" w:color="auto"/>
              <w:right w:val="single" w:sz="4" w:space="0" w:color="auto"/>
            </w:tcBorders>
            <w:vAlign w:val="bottom"/>
          </w:tcPr>
          <w:p w14:paraId="14548C24"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UBS</w:t>
            </w:r>
          </w:p>
        </w:tc>
        <w:tc>
          <w:tcPr>
            <w:tcW w:w="1287" w:type="dxa"/>
            <w:tcBorders>
              <w:top w:val="single" w:sz="4" w:space="0" w:color="auto"/>
              <w:left w:val="single" w:sz="4" w:space="0" w:color="auto"/>
              <w:bottom w:val="single" w:sz="4" w:space="0" w:color="auto"/>
              <w:right w:val="single" w:sz="4" w:space="0" w:color="auto"/>
            </w:tcBorders>
            <w:vAlign w:val="bottom"/>
          </w:tcPr>
          <w:p w14:paraId="0A90ED70"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Passive</w:t>
            </w:r>
          </w:p>
        </w:tc>
        <w:tc>
          <w:tcPr>
            <w:tcW w:w="4447" w:type="dxa"/>
            <w:tcBorders>
              <w:top w:val="single" w:sz="4" w:space="0" w:color="auto"/>
              <w:left w:val="single" w:sz="4" w:space="0" w:color="auto"/>
              <w:bottom w:val="single" w:sz="4" w:space="0" w:color="auto"/>
              <w:right w:val="single" w:sz="4" w:space="0" w:color="auto"/>
            </w:tcBorders>
            <w:vAlign w:val="bottom"/>
          </w:tcPr>
          <w:p w14:paraId="74F1A98A"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Global Equity (Pooled)</w:t>
            </w:r>
          </w:p>
        </w:tc>
      </w:tr>
      <w:tr w:rsidR="00F753E8" w:rsidRPr="00B64150" w14:paraId="78A005BB" w14:textId="77777777" w:rsidTr="006E1769">
        <w:trPr>
          <w:trHeight w:val="259"/>
          <w:jc w:val="center"/>
        </w:trPr>
        <w:tc>
          <w:tcPr>
            <w:tcW w:w="3459" w:type="dxa"/>
            <w:tcBorders>
              <w:top w:val="single" w:sz="4" w:space="0" w:color="auto"/>
              <w:left w:val="single" w:sz="4" w:space="0" w:color="auto"/>
              <w:bottom w:val="single" w:sz="4" w:space="0" w:color="auto"/>
              <w:right w:val="single" w:sz="4" w:space="0" w:color="auto"/>
            </w:tcBorders>
            <w:vAlign w:val="bottom"/>
          </w:tcPr>
          <w:p w14:paraId="49C92F43"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UBS</w:t>
            </w:r>
          </w:p>
        </w:tc>
        <w:tc>
          <w:tcPr>
            <w:tcW w:w="1287" w:type="dxa"/>
            <w:tcBorders>
              <w:top w:val="single" w:sz="4" w:space="0" w:color="auto"/>
              <w:left w:val="single" w:sz="4" w:space="0" w:color="auto"/>
              <w:bottom w:val="single" w:sz="4" w:space="0" w:color="auto"/>
              <w:right w:val="single" w:sz="4" w:space="0" w:color="auto"/>
            </w:tcBorders>
            <w:vAlign w:val="bottom"/>
          </w:tcPr>
          <w:p w14:paraId="4626EC64"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Passive</w:t>
            </w:r>
          </w:p>
        </w:tc>
        <w:tc>
          <w:tcPr>
            <w:tcW w:w="4447" w:type="dxa"/>
            <w:tcBorders>
              <w:top w:val="single" w:sz="4" w:space="0" w:color="auto"/>
              <w:left w:val="single" w:sz="4" w:space="0" w:color="auto"/>
              <w:bottom w:val="single" w:sz="4" w:space="0" w:color="auto"/>
              <w:right w:val="single" w:sz="4" w:space="0" w:color="auto"/>
            </w:tcBorders>
            <w:vAlign w:val="bottom"/>
          </w:tcPr>
          <w:p w14:paraId="5E478401"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All Share Fixed Income (Pooled)</w:t>
            </w:r>
          </w:p>
        </w:tc>
      </w:tr>
    </w:tbl>
    <w:p w14:paraId="2E08E24D" w14:textId="77777777" w:rsidR="00F753E8" w:rsidRPr="008A0A4E" w:rsidRDefault="00F753E8" w:rsidP="00F753E8">
      <w:pPr>
        <w:rPr>
          <w:rFonts w:ascii="Arial" w:hAnsi="Arial" w:cs="Arial"/>
          <w:sz w:val="22"/>
          <w:szCs w:val="22"/>
        </w:rPr>
      </w:pPr>
    </w:p>
    <w:p w14:paraId="25DE781E" w14:textId="77777777" w:rsidR="00F753E8" w:rsidRPr="008A0A4E" w:rsidRDefault="00F753E8" w:rsidP="00F753E8">
      <w:pPr>
        <w:ind w:left="-142"/>
        <w:rPr>
          <w:rFonts w:ascii="Arial" w:hAnsi="Arial" w:cs="Arial"/>
          <w:sz w:val="22"/>
          <w:szCs w:val="22"/>
        </w:rPr>
      </w:pPr>
      <w:r w:rsidRPr="008A0A4E">
        <w:rPr>
          <w:rFonts w:ascii="Arial" w:hAnsi="Arial" w:cs="Arial"/>
          <w:sz w:val="22"/>
          <w:szCs w:val="22"/>
        </w:rPr>
        <w:t xml:space="preserve">The value of the Fund, by manager, as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202</w:t>
      </w:r>
      <w:r>
        <w:rPr>
          <w:rFonts w:ascii="Arial" w:hAnsi="Arial" w:cs="Arial"/>
          <w:sz w:val="22"/>
          <w:szCs w:val="22"/>
        </w:rPr>
        <w:t>2</w:t>
      </w:r>
      <w:r w:rsidRPr="008A0A4E">
        <w:rPr>
          <w:rFonts w:ascii="Arial" w:hAnsi="Arial" w:cs="Arial"/>
          <w:sz w:val="22"/>
          <w:szCs w:val="22"/>
        </w:rPr>
        <w:t xml:space="preserve"> was as follows:</w:t>
      </w:r>
    </w:p>
    <w:p w14:paraId="62B2F010" w14:textId="77777777" w:rsidR="00F753E8" w:rsidRPr="00A04EE1" w:rsidRDefault="00F753E8" w:rsidP="00F753E8">
      <w:pPr>
        <w:tabs>
          <w:tab w:val="left" w:pos="426"/>
          <w:tab w:val="left" w:pos="1134"/>
        </w:tabs>
        <w:jc w:val="both"/>
        <w:rPr>
          <w:rFonts w:ascii="Arial" w:hAnsi="Arial" w:cs="Arial"/>
        </w:rPr>
      </w:pPr>
    </w:p>
    <w:tbl>
      <w:tblPr>
        <w:tblW w:w="9067" w:type="dxa"/>
        <w:tblLook w:val="04A0" w:firstRow="1" w:lastRow="0" w:firstColumn="1" w:lastColumn="0" w:noHBand="0" w:noVBand="1"/>
      </w:tblPr>
      <w:tblGrid>
        <w:gridCol w:w="3964"/>
        <w:gridCol w:w="1230"/>
        <w:gridCol w:w="1261"/>
        <w:gridCol w:w="1339"/>
        <w:gridCol w:w="1273"/>
      </w:tblGrid>
      <w:tr w:rsidR="00F753E8" w14:paraId="25BF51AE" w14:textId="77777777" w:rsidTr="006E1769">
        <w:trPr>
          <w:trHeight w:val="255"/>
        </w:trPr>
        <w:tc>
          <w:tcPr>
            <w:tcW w:w="396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B07580" w14:textId="77777777" w:rsidR="00F753E8" w:rsidRDefault="00F753E8" w:rsidP="006E1769">
            <w:pPr>
              <w:jc w:val="center"/>
              <w:rPr>
                <w:rFonts w:ascii="Arial" w:hAnsi="Arial" w:cs="Arial"/>
                <w:b/>
                <w:bCs/>
                <w:color w:val="000000"/>
                <w:sz w:val="22"/>
                <w:szCs w:val="22"/>
              </w:rPr>
            </w:pPr>
            <w:r>
              <w:rPr>
                <w:rFonts w:ascii="Arial" w:hAnsi="Arial" w:cs="Arial"/>
                <w:b/>
                <w:bCs/>
                <w:color w:val="000000"/>
                <w:sz w:val="22"/>
                <w:szCs w:val="22"/>
              </w:rPr>
              <w:t>Fund by Investment Manager</w:t>
            </w:r>
          </w:p>
        </w:tc>
        <w:tc>
          <w:tcPr>
            <w:tcW w:w="249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D986140" w14:textId="77777777" w:rsidR="00F753E8" w:rsidRDefault="00F753E8" w:rsidP="006E1769">
            <w:pPr>
              <w:jc w:val="center"/>
              <w:rPr>
                <w:rFonts w:ascii="Arial" w:hAnsi="Arial" w:cs="Arial"/>
                <w:b/>
                <w:bCs/>
                <w:color w:val="000000"/>
                <w:sz w:val="22"/>
                <w:szCs w:val="22"/>
              </w:rPr>
            </w:pPr>
            <w:r>
              <w:rPr>
                <w:rFonts w:ascii="Arial" w:hAnsi="Arial" w:cs="Arial"/>
                <w:b/>
                <w:bCs/>
                <w:color w:val="000000"/>
                <w:sz w:val="22"/>
                <w:szCs w:val="22"/>
              </w:rPr>
              <w:t>2020/21</w:t>
            </w:r>
          </w:p>
        </w:tc>
        <w:tc>
          <w:tcPr>
            <w:tcW w:w="261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D7C578" w14:textId="77777777" w:rsidR="00F753E8" w:rsidRDefault="00F753E8" w:rsidP="006E1769">
            <w:pPr>
              <w:jc w:val="center"/>
              <w:rPr>
                <w:rFonts w:ascii="Arial" w:hAnsi="Arial" w:cs="Arial"/>
                <w:b/>
                <w:bCs/>
                <w:color w:val="000000"/>
                <w:sz w:val="22"/>
                <w:szCs w:val="22"/>
              </w:rPr>
            </w:pPr>
            <w:r>
              <w:rPr>
                <w:rFonts w:ascii="Arial" w:hAnsi="Arial" w:cs="Arial"/>
                <w:b/>
                <w:bCs/>
                <w:color w:val="000000"/>
                <w:sz w:val="22"/>
                <w:szCs w:val="22"/>
              </w:rPr>
              <w:t>2021/22</w:t>
            </w:r>
          </w:p>
        </w:tc>
      </w:tr>
      <w:tr w:rsidR="00F753E8" w14:paraId="5CF54E4D" w14:textId="77777777" w:rsidTr="006E1769">
        <w:trPr>
          <w:trHeight w:val="255"/>
        </w:trPr>
        <w:tc>
          <w:tcPr>
            <w:tcW w:w="3964" w:type="dxa"/>
            <w:vMerge/>
            <w:tcBorders>
              <w:top w:val="single" w:sz="4" w:space="0" w:color="auto"/>
              <w:left w:val="single" w:sz="4" w:space="0" w:color="auto"/>
              <w:bottom w:val="single" w:sz="4" w:space="0" w:color="auto"/>
              <w:right w:val="single" w:sz="4" w:space="0" w:color="auto"/>
            </w:tcBorders>
            <w:vAlign w:val="center"/>
            <w:hideMark/>
          </w:tcPr>
          <w:p w14:paraId="37AD45D2" w14:textId="77777777" w:rsidR="00F753E8" w:rsidRDefault="00F753E8" w:rsidP="006E1769">
            <w:pPr>
              <w:rPr>
                <w:rFonts w:ascii="Arial" w:hAnsi="Arial" w:cs="Arial"/>
                <w:b/>
                <w:bCs/>
                <w:color w:val="000000"/>
                <w:sz w:val="22"/>
                <w:szCs w:val="22"/>
              </w:rPr>
            </w:pPr>
          </w:p>
        </w:tc>
        <w:tc>
          <w:tcPr>
            <w:tcW w:w="1230" w:type="dxa"/>
            <w:tcBorders>
              <w:top w:val="nil"/>
              <w:left w:val="nil"/>
              <w:bottom w:val="single" w:sz="4" w:space="0" w:color="auto"/>
              <w:right w:val="single" w:sz="4" w:space="0" w:color="auto"/>
            </w:tcBorders>
            <w:shd w:val="clear" w:color="000000" w:fill="FFFFFF"/>
            <w:noWrap/>
            <w:vAlign w:val="center"/>
            <w:hideMark/>
          </w:tcPr>
          <w:p w14:paraId="0D5C5951" w14:textId="77777777" w:rsidR="00F753E8" w:rsidRDefault="00F753E8" w:rsidP="006E1769">
            <w:pPr>
              <w:jc w:val="center"/>
              <w:rPr>
                <w:rFonts w:ascii="Arial" w:hAnsi="Arial" w:cs="Arial"/>
                <w:color w:val="000000"/>
                <w:sz w:val="22"/>
                <w:szCs w:val="22"/>
              </w:rPr>
            </w:pPr>
            <w:r>
              <w:rPr>
                <w:rFonts w:ascii="Arial" w:hAnsi="Arial" w:cs="Arial"/>
                <w:color w:val="000000"/>
                <w:sz w:val="22"/>
                <w:szCs w:val="22"/>
              </w:rPr>
              <w:t>£'000</w:t>
            </w:r>
          </w:p>
        </w:tc>
        <w:tc>
          <w:tcPr>
            <w:tcW w:w="1261" w:type="dxa"/>
            <w:tcBorders>
              <w:top w:val="nil"/>
              <w:left w:val="nil"/>
              <w:bottom w:val="single" w:sz="4" w:space="0" w:color="auto"/>
              <w:right w:val="single" w:sz="4" w:space="0" w:color="auto"/>
            </w:tcBorders>
            <w:shd w:val="clear" w:color="000000" w:fill="FFFFFF"/>
            <w:noWrap/>
            <w:vAlign w:val="center"/>
            <w:hideMark/>
          </w:tcPr>
          <w:p w14:paraId="2ADB2B9A" w14:textId="77777777" w:rsidR="00F753E8" w:rsidRDefault="00F753E8" w:rsidP="006E1769">
            <w:pPr>
              <w:jc w:val="center"/>
              <w:rPr>
                <w:rFonts w:ascii="Arial" w:hAnsi="Arial" w:cs="Arial"/>
                <w:color w:val="000000"/>
                <w:sz w:val="22"/>
                <w:szCs w:val="22"/>
              </w:rPr>
            </w:pPr>
            <w:r>
              <w:rPr>
                <w:rFonts w:ascii="Arial" w:hAnsi="Arial" w:cs="Arial"/>
                <w:color w:val="000000"/>
                <w:sz w:val="22"/>
                <w:szCs w:val="22"/>
              </w:rPr>
              <w:t>%</w:t>
            </w:r>
          </w:p>
        </w:tc>
        <w:tc>
          <w:tcPr>
            <w:tcW w:w="1339" w:type="dxa"/>
            <w:tcBorders>
              <w:top w:val="nil"/>
              <w:left w:val="nil"/>
              <w:bottom w:val="single" w:sz="4" w:space="0" w:color="auto"/>
              <w:right w:val="single" w:sz="4" w:space="0" w:color="auto"/>
            </w:tcBorders>
            <w:shd w:val="clear" w:color="000000" w:fill="FFFFFF"/>
            <w:noWrap/>
            <w:vAlign w:val="center"/>
            <w:hideMark/>
          </w:tcPr>
          <w:p w14:paraId="35248F1C" w14:textId="77777777" w:rsidR="00F753E8" w:rsidRDefault="00F753E8" w:rsidP="006E1769">
            <w:pPr>
              <w:jc w:val="center"/>
              <w:rPr>
                <w:rFonts w:ascii="Arial" w:hAnsi="Arial" w:cs="Arial"/>
                <w:b/>
                <w:bCs/>
                <w:color w:val="000000"/>
                <w:sz w:val="22"/>
                <w:szCs w:val="22"/>
              </w:rPr>
            </w:pPr>
            <w:r>
              <w:rPr>
                <w:rFonts w:ascii="Arial" w:hAnsi="Arial" w:cs="Arial"/>
                <w:b/>
                <w:bCs/>
                <w:color w:val="000000"/>
                <w:sz w:val="22"/>
                <w:szCs w:val="22"/>
              </w:rPr>
              <w:t>£'000</w:t>
            </w:r>
          </w:p>
        </w:tc>
        <w:tc>
          <w:tcPr>
            <w:tcW w:w="1273" w:type="dxa"/>
            <w:tcBorders>
              <w:top w:val="nil"/>
              <w:left w:val="nil"/>
              <w:bottom w:val="single" w:sz="4" w:space="0" w:color="auto"/>
              <w:right w:val="single" w:sz="4" w:space="0" w:color="auto"/>
            </w:tcBorders>
            <w:shd w:val="clear" w:color="000000" w:fill="FFFFFF"/>
            <w:noWrap/>
            <w:vAlign w:val="center"/>
            <w:hideMark/>
          </w:tcPr>
          <w:p w14:paraId="5692E8AE" w14:textId="77777777" w:rsidR="00F753E8" w:rsidRDefault="00F753E8" w:rsidP="006E1769">
            <w:pPr>
              <w:jc w:val="center"/>
              <w:rPr>
                <w:rFonts w:ascii="Arial" w:hAnsi="Arial" w:cs="Arial"/>
                <w:b/>
                <w:bCs/>
                <w:color w:val="000000"/>
                <w:sz w:val="22"/>
                <w:szCs w:val="22"/>
              </w:rPr>
            </w:pPr>
            <w:r>
              <w:rPr>
                <w:rFonts w:ascii="Arial" w:hAnsi="Arial" w:cs="Arial"/>
                <w:b/>
                <w:bCs/>
                <w:color w:val="000000"/>
                <w:sz w:val="22"/>
                <w:szCs w:val="22"/>
              </w:rPr>
              <w:t>%</w:t>
            </w:r>
          </w:p>
        </w:tc>
      </w:tr>
      <w:tr w:rsidR="00F753E8" w14:paraId="6CF1BA91" w14:textId="77777777" w:rsidTr="006E1769">
        <w:trPr>
          <w:trHeight w:val="255"/>
        </w:trPr>
        <w:tc>
          <w:tcPr>
            <w:tcW w:w="3964" w:type="dxa"/>
            <w:tcBorders>
              <w:top w:val="nil"/>
              <w:left w:val="single" w:sz="4" w:space="0" w:color="auto"/>
              <w:bottom w:val="nil"/>
              <w:right w:val="nil"/>
            </w:tcBorders>
            <w:shd w:val="clear" w:color="auto" w:fill="auto"/>
            <w:noWrap/>
            <w:vAlign w:val="bottom"/>
            <w:hideMark/>
          </w:tcPr>
          <w:p w14:paraId="49C9B9D0" w14:textId="77777777" w:rsidR="00F753E8" w:rsidRDefault="00F753E8" w:rsidP="006E1769">
            <w:pPr>
              <w:rPr>
                <w:rFonts w:ascii="Arial" w:hAnsi="Arial" w:cs="Arial"/>
                <w:color w:val="000000"/>
                <w:sz w:val="22"/>
                <w:szCs w:val="22"/>
              </w:rPr>
            </w:pPr>
            <w:proofErr w:type="spellStart"/>
            <w:r>
              <w:rPr>
                <w:rFonts w:ascii="Arial" w:hAnsi="Arial" w:cs="Arial"/>
                <w:color w:val="000000"/>
                <w:sz w:val="22"/>
                <w:szCs w:val="22"/>
              </w:rPr>
              <w:t>Abrdn</w:t>
            </w:r>
            <w:proofErr w:type="spellEnd"/>
            <w:r>
              <w:rPr>
                <w:rFonts w:ascii="Arial" w:hAnsi="Arial" w:cs="Arial"/>
                <w:color w:val="000000"/>
                <w:sz w:val="22"/>
                <w:szCs w:val="22"/>
              </w:rPr>
              <w:t xml:space="preserve"> Asset Management</w:t>
            </w:r>
          </w:p>
        </w:tc>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5AEA323C"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96,479</w:t>
            </w:r>
          </w:p>
        </w:tc>
        <w:tc>
          <w:tcPr>
            <w:tcW w:w="1261" w:type="dxa"/>
            <w:tcBorders>
              <w:top w:val="nil"/>
              <w:left w:val="nil"/>
              <w:bottom w:val="single" w:sz="4" w:space="0" w:color="auto"/>
              <w:right w:val="single" w:sz="4" w:space="0" w:color="auto"/>
            </w:tcBorders>
            <w:shd w:val="clear" w:color="000000" w:fill="FFFFFF"/>
            <w:noWrap/>
            <w:vAlign w:val="center"/>
            <w:hideMark/>
          </w:tcPr>
          <w:p w14:paraId="6596012F"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7.5%</w:t>
            </w:r>
          </w:p>
        </w:tc>
        <w:tc>
          <w:tcPr>
            <w:tcW w:w="1339" w:type="dxa"/>
            <w:tcBorders>
              <w:top w:val="nil"/>
              <w:left w:val="nil"/>
              <w:bottom w:val="single" w:sz="4" w:space="0" w:color="auto"/>
              <w:right w:val="single" w:sz="4" w:space="0" w:color="auto"/>
            </w:tcBorders>
            <w:shd w:val="clear" w:color="000000" w:fill="FFFFFF"/>
            <w:noWrap/>
            <w:vAlign w:val="center"/>
            <w:hideMark/>
          </w:tcPr>
          <w:p w14:paraId="46B85CAA"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130,707</w:t>
            </w:r>
          </w:p>
        </w:tc>
        <w:tc>
          <w:tcPr>
            <w:tcW w:w="1273" w:type="dxa"/>
            <w:tcBorders>
              <w:top w:val="nil"/>
              <w:left w:val="nil"/>
              <w:bottom w:val="single" w:sz="4" w:space="0" w:color="auto"/>
              <w:right w:val="single" w:sz="4" w:space="0" w:color="auto"/>
            </w:tcBorders>
            <w:shd w:val="clear" w:color="000000" w:fill="FFFFFF"/>
            <w:noWrap/>
            <w:vAlign w:val="center"/>
            <w:hideMark/>
          </w:tcPr>
          <w:p w14:paraId="29C7B183"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9.6%</w:t>
            </w:r>
          </w:p>
        </w:tc>
      </w:tr>
      <w:tr w:rsidR="00F753E8" w14:paraId="2010F5C9" w14:textId="77777777" w:rsidTr="006E1769">
        <w:trPr>
          <w:trHeight w:val="266"/>
        </w:trPr>
        <w:tc>
          <w:tcPr>
            <w:tcW w:w="39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8F2D90" w14:textId="77777777" w:rsidR="00F753E8" w:rsidRDefault="00F753E8" w:rsidP="006E1769">
            <w:pPr>
              <w:rPr>
                <w:rFonts w:ascii="Arial" w:hAnsi="Arial" w:cs="Arial"/>
                <w:color w:val="000000"/>
                <w:sz w:val="22"/>
                <w:szCs w:val="22"/>
              </w:rPr>
            </w:pPr>
            <w:r>
              <w:rPr>
                <w:rFonts w:ascii="Arial" w:hAnsi="Arial" w:cs="Arial"/>
                <w:color w:val="000000"/>
                <w:sz w:val="22"/>
                <w:szCs w:val="22"/>
              </w:rPr>
              <w:t>BlackRock</w:t>
            </w:r>
          </w:p>
        </w:tc>
        <w:tc>
          <w:tcPr>
            <w:tcW w:w="1230" w:type="dxa"/>
            <w:tcBorders>
              <w:top w:val="nil"/>
              <w:left w:val="nil"/>
              <w:bottom w:val="single" w:sz="4" w:space="0" w:color="auto"/>
              <w:right w:val="single" w:sz="4" w:space="0" w:color="auto"/>
            </w:tcBorders>
            <w:shd w:val="clear" w:color="000000" w:fill="FFFFFF"/>
            <w:noWrap/>
            <w:vAlign w:val="center"/>
            <w:hideMark/>
          </w:tcPr>
          <w:p w14:paraId="5FD39B8B"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37,352</w:t>
            </w:r>
          </w:p>
        </w:tc>
        <w:tc>
          <w:tcPr>
            <w:tcW w:w="1261" w:type="dxa"/>
            <w:tcBorders>
              <w:top w:val="nil"/>
              <w:left w:val="nil"/>
              <w:bottom w:val="single" w:sz="4" w:space="0" w:color="auto"/>
              <w:right w:val="single" w:sz="4" w:space="0" w:color="auto"/>
            </w:tcBorders>
            <w:shd w:val="clear" w:color="000000" w:fill="FFFFFF"/>
            <w:noWrap/>
            <w:vAlign w:val="center"/>
            <w:hideMark/>
          </w:tcPr>
          <w:p w14:paraId="5403001B"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2.9%</w:t>
            </w:r>
          </w:p>
        </w:tc>
        <w:tc>
          <w:tcPr>
            <w:tcW w:w="1339" w:type="dxa"/>
            <w:tcBorders>
              <w:top w:val="nil"/>
              <w:left w:val="nil"/>
              <w:bottom w:val="single" w:sz="4" w:space="0" w:color="auto"/>
              <w:right w:val="single" w:sz="4" w:space="0" w:color="auto"/>
            </w:tcBorders>
            <w:shd w:val="clear" w:color="000000" w:fill="FFFFFF"/>
            <w:noWrap/>
            <w:vAlign w:val="center"/>
            <w:hideMark/>
          </w:tcPr>
          <w:p w14:paraId="1227F922"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59,357</w:t>
            </w:r>
          </w:p>
        </w:tc>
        <w:tc>
          <w:tcPr>
            <w:tcW w:w="1273" w:type="dxa"/>
            <w:tcBorders>
              <w:top w:val="nil"/>
              <w:left w:val="nil"/>
              <w:bottom w:val="single" w:sz="4" w:space="0" w:color="auto"/>
              <w:right w:val="single" w:sz="4" w:space="0" w:color="auto"/>
            </w:tcBorders>
            <w:shd w:val="clear" w:color="000000" w:fill="FFFFFF"/>
            <w:noWrap/>
            <w:vAlign w:val="center"/>
            <w:hideMark/>
          </w:tcPr>
          <w:p w14:paraId="228D415B"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4.4%</w:t>
            </w:r>
          </w:p>
        </w:tc>
      </w:tr>
      <w:tr w:rsidR="00F753E8" w14:paraId="31F5A542" w14:textId="77777777" w:rsidTr="006E1769">
        <w:trPr>
          <w:trHeight w:val="266"/>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45B1DC90" w14:textId="77777777" w:rsidR="00F753E8" w:rsidRDefault="00F753E8" w:rsidP="006E1769">
            <w:pPr>
              <w:rPr>
                <w:rFonts w:ascii="Arial" w:hAnsi="Arial" w:cs="Arial"/>
                <w:color w:val="000000"/>
                <w:sz w:val="22"/>
                <w:szCs w:val="22"/>
              </w:rPr>
            </w:pPr>
            <w:r>
              <w:rPr>
                <w:rFonts w:ascii="Arial" w:hAnsi="Arial" w:cs="Arial"/>
                <w:color w:val="000000"/>
                <w:sz w:val="22"/>
                <w:szCs w:val="22"/>
              </w:rPr>
              <w:t>Hermes</w:t>
            </w:r>
          </w:p>
        </w:tc>
        <w:tc>
          <w:tcPr>
            <w:tcW w:w="1230" w:type="dxa"/>
            <w:tcBorders>
              <w:top w:val="nil"/>
              <w:left w:val="nil"/>
              <w:bottom w:val="single" w:sz="4" w:space="0" w:color="auto"/>
              <w:right w:val="single" w:sz="4" w:space="0" w:color="auto"/>
            </w:tcBorders>
            <w:shd w:val="clear" w:color="000000" w:fill="FFFFFF"/>
            <w:noWrap/>
            <w:vAlign w:val="center"/>
            <w:hideMark/>
          </w:tcPr>
          <w:p w14:paraId="53675129"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99,190</w:t>
            </w:r>
          </w:p>
        </w:tc>
        <w:tc>
          <w:tcPr>
            <w:tcW w:w="1261" w:type="dxa"/>
            <w:tcBorders>
              <w:top w:val="nil"/>
              <w:left w:val="nil"/>
              <w:bottom w:val="single" w:sz="4" w:space="0" w:color="auto"/>
              <w:right w:val="single" w:sz="4" w:space="0" w:color="auto"/>
            </w:tcBorders>
            <w:shd w:val="clear" w:color="000000" w:fill="FFFFFF"/>
            <w:noWrap/>
            <w:vAlign w:val="center"/>
            <w:hideMark/>
          </w:tcPr>
          <w:p w14:paraId="3DA16B5C"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7.7%</w:t>
            </w:r>
          </w:p>
        </w:tc>
        <w:tc>
          <w:tcPr>
            <w:tcW w:w="1339" w:type="dxa"/>
            <w:tcBorders>
              <w:top w:val="nil"/>
              <w:left w:val="nil"/>
              <w:bottom w:val="single" w:sz="4" w:space="0" w:color="auto"/>
              <w:right w:val="single" w:sz="4" w:space="0" w:color="auto"/>
            </w:tcBorders>
            <w:shd w:val="clear" w:color="000000" w:fill="FFFFFF"/>
            <w:noWrap/>
            <w:vAlign w:val="center"/>
            <w:hideMark/>
          </w:tcPr>
          <w:p w14:paraId="74A07D9D"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104,150</w:t>
            </w:r>
          </w:p>
        </w:tc>
        <w:tc>
          <w:tcPr>
            <w:tcW w:w="1273" w:type="dxa"/>
            <w:tcBorders>
              <w:top w:val="nil"/>
              <w:left w:val="nil"/>
              <w:bottom w:val="single" w:sz="4" w:space="0" w:color="auto"/>
              <w:right w:val="single" w:sz="4" w:space="0" w:color="auto"/>
            </w:tcBorders>
            <w:shd w:val="clear" w:color="000000" w:fill="FFFFFF"/>
            <w:noWrap/>
            <w:vAlign w:val="center"/>
            <w:hideMark/>
          </w:tcPr>
          <w:p w14:paraId="4BFFDE08"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7.7%</w:t>
            </w:r>
          </w:p>
        </w:tc>
      </w:tr>
      <w:tr w:rsidR="00F753E8" w14:paraId="38230965" w14:textId="77777777" w:rsidTr="006E1769">
        <w:trPr>
          <w:trHeight w:val="266"/>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37D1B257" w14:textId="77777777" w:rsidR="00F753E8" w:rsidRDefault="00F753E8" w:rsidP="006E1769">
            <w:pPr>
              <w:rPr>
                <w:rFonts w:ascii="Arial" w:hAnsi="Arial" w:cs="Arial"/>
                <w:color w:val="000000"/>
                <w:sz w:val="22"/>
                <w:szCs w:val="22"/>
              </w:rPr>
            </w:pPr>
            <w:proofErr w:type="spellStart"/>
            <w:r>
              <w:rPr>
                <w:rFonts w:ascii="Arial" w:hAnsi="Arial" w:cs="Arial"/>
                <w:color w:val="000000"/>
                <w:sz w:val="22"/>
                <w:szCs w:val="22"/>
              </w:rPr>
              <w:t>Kempen</w:t>
            </w:r>
            <w:proofErr w:type="spellEnd"/>
          </w:p>
        </w:tc>
        <w:tc>
          <w:tcPr>
            <w:tcW w:w="1230" w:type="dxa"/>
            <w:tcBorders>
              <w:top w:val="nil"/>
              <w:left w:val="nil"/>
              <w:bottom w:val="single" w:sz="4" w:space="0" w:color="auto"/>
              <w:right w:val="single" w:sz="4" w:space="0" w:color="auto"/>
            </w:tcBorders>
            <w:shd w:val="clear" w:color="000000" w:fill="FFFFFF"/>
            <w:noWrap/>
            <w:vAlign w:val="center"/>
            <w:hideMark/>
          </w:tcPr>
          <w:p w14:paraId="02B37386"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186,303</w:t>
            </w:r>
          </w:p>
        </w:tc>
        <w:tc>
          <w:tcPr>
            <w:tcW w:w="1261" w:type="dxa"/>
            <w:tcBorders>
              <w:top w:val="nil"/>
              <w:left w:val="nil"/>
              <w:bottom w:val="single" w:sz="4" w:space="0" w:color="auto"/>
              <w:right w:val="single" w:sz="4" w:space="0" w:color="auto"/>
            </w:tcBorders>
            <w:shd w:val="clear" w:color="000000" w:fill="FFFFFF"/>
            <w:noWrap/>
            <w:vAlign w:val="center"/>
            <w:hideMark/>
          </w:tcPr>
          <w:p w14:paraId="39638CD5"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14.5%</w:t>
            </w:r>
          </w:p>
        </w:tc>
        <w:tc>
          <w:tcPr>
            <w:tcW w:w="1339" w:type="dxa"/>
            <w:tcBorders>
              <w:top w:val="nil"/>
              <w:left w:val="nil"/>
              <w:bottom w:val="single" w:sz="4" w:space="0" w:color="auto"/>
              <w:right w:val="single" w:sz="4" w:space="0" w:color="auto"/>
            </w:tcBorders>
            <w:shd w:val="clear" w:color="000000" w:fill="FFFFFF"/>
            <w:noWrap/>
            <w:vAlign w:val="center"/>
            <w:hideMark/>
          </w:tcPr>
          <w:p w14:paraId="3B1EA737"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204,309</w:t>
            </w:r>
          </w:p>
        </w:tc>
        <w:tc>
          <w:tcPr>
            <w:tcW w:w="1273" w:type="dxa"/>
            <w:tcBorders>
              <w:top w:val="nil"/>
              <w:left w:val="nil"/>
              <w:bottom w:val="single" w:sz="4" w:space="0" w:color="auto"/>
              <w:right w:val="single" w:sz="4" w:space="0" w:color="auto"/>
            </w:tcBorders>
            <w:shd w:val="clear" w:color="000000" w:fill="FFFFFF"/>
            <w:noWrap/>
            <w:vAlign w:val="center"/>
            <w:hideMark/>
          </w:tcPr>
          <w:p w14:paraId="2201BFAD"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15.0%</w:t>
            </w:r>
          </w:p>
        </w:tc>
      </w:tr>
      <w:tr w:rsidR="00F753E8" w14:paraId="69A197DC" w14:textId="77777777" w:rsidTr="006E1769">
        <w:trPr>
          <w:trHeight w:val="25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332C2E5A" w14:textId="77777777" w:rsidR="00F753E8" w:rsidRDefault="00F753E8" w:rsidP="006E1769">
            <w:pPr>
              <w:rPr>
                <w:rFonts w:ascii="Arial" w:hAnsi="Arial" w:cs="Arial"/>
                <w:color w:val="000000"/>
                <w:sz w:val="22"/>
                <w:szCs w:val="22"/>
              </w:rPr>
            </w:pPr>
            <w:r>
              <w:rPr>
                <w:rFonts w:ascii="Arial" w:hAnsi="Arial" w:cs="Arial"/>
                <w:color w:val="000000"/>
                <w:sz w:val="22"/>
                <w:szCs w:val="22"/>
              </w:rPr>
              <w:t>Other Cash Balances</w:t>
            </w:r>
          </w:p>
        </w:tc>
        <w:tc>
          <w:tcPr>
            <w:tcW w:w="1230" w:type="dxa"/>
            <w:tcBorders>
              <w:top w:val="nil"/>
              <w:left w:val="nil"/>
              <w:bottom w:val="single" w:sz="4" w:space="0" w:color="auto"/>
              <w:right w:val="single" w:sz="4" w:space="0" w:color="auto"/>
            </w:tcBorders>
            <w:shd w:val="clear" w:color="000000" w:fill="FFFFFF"/>
            <w:noWrap/>
            <w:vAlign w:val="center"/>
            <w:hideMark/>
          </w:tcPr>
          <w:p w14:paraId="40FAF130"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14,365</w:t>
            </w:r>
          </w:p>
        </w:tc>
        <w:tc>
          <w:tcPr>
            <w:tcW w:w="1261" w:type="dxa"/>
            <w:tcBorders>
              <w:top w:val="nil"/>
              <w:left w:val="nil"/>
              <w:bottom w:val="single" w:sz="4" w:space="0" w:color="auto"/>
              <w:right w:val="single" w:sz="4" w:space="0" w:color="auto"/>
            </w:tcBorders>
            <w:shd w:val="clear" w:color="000000" w:fill="FFFFFF"/>
            <w:noWrap/>
            <w:vAlign w:val="center"/>
            <w:hideMark/>
          </w:tcPr>
          <w:p w14:paraId="760384A4"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1.1%</w:t>
            </w:r>
          </w:p>
        </w:tc>
        <w:tc>
          <w:tcPr>
            <w:tcW w:w="1339" w:type="dxa"/>
            <w:tcBorders>
              <w:top w:val="nil"/>
              <w:left w:val="nil"/>
              <w:bottom w:val="single" w:sz="4" w:space="0" w:color="auto"/>
              <w:right w:val="single" w:sz="4" w:space="0" w:color="auto"/>
            </w:tcBorders>
            <w:shd w:val="clear" w:color="000000" w:fill="FFFFFF"/>
            <w:noWrap/>
            <w:vAlign w:val="center"/>
            <w:hideMark/>
          </w:tcPr>
          <w:p w14:paraId="00048F5A"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13,816</w:t>
            </w:r>
          </w:p>
        </w:tc>
        <w:tc>
          <w:tcPr>
            <w:tcW w:w="1273" w:type="dxa"/>
            <w:tcBorders>
              <w:top w:val="nil"/>
              <w:left w:val="nil"/>
              <w:bottom w:val="single" w:sz="4" w:space="0" w:color="auto"/>
              <w:right w:val="single" w:sz="4" w:space="0" w:color="auto"/>
            </w:tcBorders>
            <w:shd w:val="clear" w:color="000000" w:fill="FFFFFF"/>
            <w:noWrap/>
            <w:vAlign w:val="center"/>
            <w:hideMark/>
          </w:tcPr>
          <w:p w14:paraId="49FC2844"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1.0%</w:t>
            </w:r>
          </w:p>
        </w:tc>
      </w:tr>
      <w:tr w:rsidR="00F753E8" w14:paraId="21D63CAF" w14:textId="77777777" w:rsidTr="006E1769">
        <w:trPr>
          <w:trHeight w:val="25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774BD4D8" w14:textId="77777777" w:rsidR="00F753E8" w:rsidRDefault="00F753E8" w:rsidP="006E1769">
            <w:pPr>
              <w:rPr>
                <w:rFonts w:ascii="Arial" w:hAnsi="Arial" w:cs="Arial"/>
                <w:color w:val="000000"/>
                <w:sz w:val="22"/>
                <w:szCs w:val="22"/>
              </w:rPr>
            </w:pPr>
            <w:r>
              <w:rPr>
                <w:rFonts w:ascii="Arial" w:hAnsi="Arial" w:cs="Arial"/>
                <w:color w:val="000000"/>
                <w:sz w:val="22"/>
                <w:szCs w:val="22"/>
              </w:rPr>
              <w:t>Short Term Investment</w:t>
            </w:r>
          </w:p>
        </w:tc>
        <w:tc>
          <w:tcPr>
            <w:tcW w:w="1230" w:type="dxa"/>
            <w:tcBorders>
              <w:top w:val="nil"/>
              <w:left w:val="nil"/>
              <w:bottom w:val="single" w:sz="4" w:space="0" w:color="auto"/>
              <w:right w:val="single" w:sz="4" w:space="0" w:color="auto"/>
            </w:tcBorders>
            <w:shd w:val="clear" w:color="000000" w:fill="FFFFFF"/>
            <w:noWrap/>
            <w:vAlign w:val="bottom"/>
            <w:hideMark/>
          </w:tcPr>
          <w:p w14:paraId="33316153" w14:textId="77777777" w:rsidR="00F753E8" w:rsidRDefault="00F753E8" w:rsidP="006E1769">
            <w:pPr>
              <w:jc w:val="right"/>
              <w:rPr>
                <w:rFonts w:ascii="Arial" w:hAnsi="Arial" w:cs="Arial"/>
                <w:color w:val="000000"/>
                <w:sz w:val="22"/>
                <w:szCs w:val="22"/>
              </w:rPr>
            </w:pPr>
            <w:r>
              <w:rPr>
                <w:rFonts w:ascii="Arial" w:hAnsi="Arial" w:cs="Arial"/>
                <w:color w:val="FF0000"/>
                <w:sz w:val="22"/>
                <w:szCs w:val="22"/>
              </w:rPr>
              <w:t>(29,200)</w:t>
            </w:r>
          </w:p>
        </w:tc>
        <w:tc>
          <w:tcPr>
            <w:tcW w:w="1261" w:type="dxa"/>
            <w:tcBorders>
              <w:top w:val="nil"/>
              <w:left w:val="nil"/>
              <w:bottom w:val="single" w:sz="4" w:space="0" w:color="auto"/>
              <w:right w:val="single" w:sz="4" w:space="0" w:color="auto"/>
            </w:tcBorders>
            <w:shd w:val="clear" w:color="000000" w:fill="FFFFFF"/>
            <w:noWrap/>
            <w:vAlign w:val="center"/>
            <w:hideMark/>
          </w:tcPr>
          <w:p w14:paraId="086F7490"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2.3%</w:t>
            </w:r>
          </w:p>
        </w:tc>
        <w:tc>
          <w:tcPr>
            <w:tcW w:w="1339" w:type="dxa"/>
            <w:tcBorders>
              <w:top w:val="nil"/>
              <w:left w:val="nil"/>
              <w:bottom w:val="single" w:sz="4" w:space="0" w:color="auto"/>
              <w:right w:val="single" w:sz="4" w:space="0" w:color="auto"/>
            </w:tcBorders>
            <w:shd w:val="clear" w:color="000000" w:fill="FFFFFF"/>
            <w:noWrap/>
            <w:vAlign w:val="bottom"/>
            <w:hideMark/>
          </w:tcPr>
          <w:p w14:paraId="36D76FC3" w14:textId="77777777" w:rsidR="00F753E8" w:rsidRDefault="00F753E8" w:rsidP="006E1769">
            <w:pPr>
              <w:jc w:val="right"/>
              <w:rPr>
                <w:rFonts w:ascii="Arial" w:hAnsi="Arial" w:cs="Arial"/>
                <w:b/>
                <w:bCs/>
                <w:color w:val="000000"/>
                <w:sz w:val="22"/>
                <w:szCs w:val="22"/>
              </w:rPr>
            </w:pPr>
            <w:r>
              <w:rPr>
                <w:rFonts w:ascii="Arial" w:hAnsi="Arial" w:cs="Arial"/>
                <w:b/>
                <w:bCs/>
                <w:color w:val="FF0000"/>
                <w:sz w:val="22"/>
                <w:szCs w:val="22"/>
              </w:rPr>
              <w:t>(24,150)</w:t>
            </w:r>
          </w:p>
        </w:tc>
        <w:tc>
          <w:tcPr>
            <w:tcW w:w="1273" w:type="dxa"/>
            <w:tcBorders>
              <w:top w:val="nil"/>
              <w:left w:val="nil"/>
              <w:bottom w:val="single" w:sz="4" w:space="0" w:color="auto"/>
              <w:right w:val="single" w:sz="4" w:space="0" w:color="auto"/>
            </w:tcBorders>
            <w:shd w:val="clear" w:color="000000" w:fill="FFFFFF"/>
            <w:noWrap/>
            <w:vAlign w:val="center"/>
            <w:hideMark/>
          </w:tcPr>
          <w:p w14:paraId="01E74F34"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-1.8%</w:t>
            </w:r>
          </w:p>
        </w:tc>
      </w:tr>
      <w:tr w:rsidR="00F753E8" w14:paraId="1BCFD808" w14:textId="77777777" w:rsidTr="006E1769">
        <w:trPr>
          <w:trHeight w:val="266"/>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32E2C14C" w14:textId="77777777" w:rsidR="00F753E8" w:rsidRDefault="00F753E8" w:rsidP="006E1769">
            <w:pPr>
              <w:rPr>
                <w:rFonts w:ascii="Arial" w:hAnsi="Arial" w:cs="Arial"/>
                <w:color w:val="000000"/>
                <w:sz w:val="22"/>
                <w:szCs w:val="22"/>
              </w:rPr>
            </w:pPr>
            <w:r>
              <w:rPr>
                <w:rFonts w:ascii="Arial" w:hAnsi="Arial" w:cs="Arial"/>
                <w:color w:val="000000"/>
                <w:sz w:val="22"/>
                <w:szCs w:val="22"/>
              </w:rPr>
              <w:t>RREEF</w:t>
            </w:r>
          </w:p>
        </w:tc>
        <w:tc>
          <w:tcPr>
            <w:tcW w:w="1230" w:type="dxa"/>
            <w:tcBorders>
              <w:top w:val="nil"/>
              <w:left w:val="nil"/>
              <w:bottom w:val="single" w:sz="4" w:space="0" w:color="auto"/>
              <w:right w:val="single" w:sz="4" w:space="0" w:color="auto"/>
            </w:tcBorders>
            <w:shd w:val="clear" w:color="000000" w:fill="FFFFFF"/>
            <w:noWrap/>
            <w:vAlign w:val="center"/>
            <w:hideMark/>
          </w:tcPr>
          <w:p w14:paraId="401E422C"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50</w:t>
            </w:r>
          </w:p>
        </w:tc>
        <w:tc>
          <w:tcPr>
            <w:tcW w:w="1261" w:type="dxa"/>
            <w:tcBorders>
              <w:top w:val="nil"/>
              <w:left w:val="nil"/>
              <w:bottom w:val="single" w:sz="4" w:space="0" w:color="auto"/>
              <w:right w:val="single" w:sz="4" w:space="0" w:color="auto"/>
            </w:tcBorders>
            <w:shd w:val="clear" w:color="000000" w:fill="FFFFFF"/>
            <w:noWrap/>
            <w:vAlign w:val="center"/>
            <w:hideMark/>
          </w:tcPr>
          <w:p w14:paraId="63DD6959"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0.0%</w:t>
            </w:r>
          </w:p>
        </w:tc>
        <w:tc>
          <w:tcPr>
            <w:tcW w:w="1339" w:type="dxa"/>
            <w:tcBorders>
              <w:top w:val="nil"/>
              <w:left w:val="nil"/>
              <w:bottom w:val="single" w:sz="4" w:space="0" w:color="auto"/>
              <w:right w:val="single" w:sz="4" w:space="0" w:color="auto"/>
            </w:tcBorders>
            <w:shd w:val="clear" w:color="000000" w:fill="FFFFFF"/>
            <w:noWrap/>
            <w:vAlign w:val="center"/>
            <w:hideMark/>
          </w:tcPr>
          <w:p w14:paraId="401F7398"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0</w:t>
            </w:r>
          </w:p>
        </w:tc>
        <w:tc>
          <w:tcPr>
            <w:tcW w:w="1273" w:type="dxa"/>
            <w:tcBorders>
              <w:top w:val="nil"/>
              <w:left w:val="nil"/>
              <w:bottom w:val="single" w:sz="4" w:space="0" w:color="auto"/>
              <w:right w:val="single" w:sz="4" w:space="0" w:color="auto"/>
            </w:tcBorders>
            <w:shd w:val="clear" w:color="000000" w:fill="FFFFFF"/>
            <w:noWrap/>
            <w:vAlign w:val="center"/>
            <w:hideMark/>
          </w:tcPr>
          <w:p w14:paraId="11A25627"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0.0%</w:t>
            </w:r>
          </w:p>
        </w:tc>
      </w:tr>
      <w:tr w:rsidR="00F753E8" w14:paraId="453CE704" w14:textId="77777777" w:rsidTr="006E1769">
        <w:trPr>
          <w:trHeight w:val="266"/>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0F9F77C9" w14:textId="77777777" w:rsidR="00F753E8" w:rsidRDefault="00F753E8" w:rsidP="006E1769">
            <w:pPr>
              <w:rPr>
                <w:rFonts w:ascii="Arial" w:hAnsi="Arial" w:cs="Arial"/>
                <w:color w:val="000000"/>
                <w:sz w:val="22"/>
                <w:szCs w:val="22"/>
              </w:rPr>
            </w:pPr>
            <w:r>
              <w:rPr>
                <w:rFonts w:ascii="Arial" w:hAnsi="Arial" w:cs="Arial"/>
                <w:color w:val="000000"/>
                <w:sz w:val="22"/>
                <w:szCs w:val="22"/>
              </w:rPr>
              <w:t>Schroders</w:t>
            </w:r>
          </w:p>
        </w:tc>
        <w:tc>
          <w:tcPr>
            <w:tcW w:w="1230" w:type="dxa"/>
            <w:tcBorders>
              <w:top w:val="nil"/>
              <w:left w:val="nil"/>
              <w:bottom w:val="single" w:sz="4" w:space="0" w:color="auto"/>
              <w:right w:val="single" w:sz="4" w:space="0" w:color="auto"/>
            </w:tcBorders>
            <w:shd w:val="clear" w:color="000000" w:fill="FFFFFF"/>
            <w:noWrap/>
            <w:vAlign w:val="center"/>
            <w:hideMark/>
          </w:tcPr>
          <w:p w14:paraId="73C31B6E"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22,848</w:t>
            </w:r>
          </w:p>
        </w:tc>
        <w:tc>
          <w:tcPr>
            <w:tcW w:w="1261" w:type="dxa"/>
            <w:tcBorders>
              <w:top w:val="nil"/>
              <w:left w:val="nil"/>
              <w:bottom w:val="single" w:sz="4" w:space="0" w:color="auto"/>
              <w:right w:val="single" w:sz="4" w:space="0" w:color="auto"/>
            </w:tcBorders>
            <w:shd w:val="clear" w:color="000000" w:fill="FFFFFF"/>
            <w:noWrap/>
            <w:vAlign w:val="center"/>
            <w:hideMark/>
          </w:tcPr>
          <w:p w14:paraId="1F003AC2"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1.8%</w:t>
            </w:r>
          </w:p>
        </w:tc>
        <w:tc>
          <w:tcPr>
            <w:tcW w:w="1339" w:type="dxa"/>
            <w:tcBorders>
              <w:top w:val="nil"/>
              <w:left w:val="nil"/>
              <w:bottom w:val="single" w:sz="4" w:space="0" w:color="auto"/>
              <w:right w:val="single" w:sz="4" w:space="0" w:color="auto"/>
            </w:tcBorders>
            <w:shd w:val="clear" w:color="000000" w:fill="FFFFFF"/>
            <w:noWrap/>
            <w:vAlign w:val="center"/>
            <w:hideMark/>
          </w:tcPr>
          <w:p w14:paraId="66DAD840"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3,056</w:t>
            </w:r>
          </w:p>
        </w:tc>
        <w:tc>
          <w:tcPr>
            <w:tcW w:w="1273" w:type="dxa"/>
            <w:tcBorders>
              <w:top w:val="nil"/>
              <w:left w:val="nil"/>
              <w:bottom w:val="single" w:sz="4" w:space="0" w:color="auto"/>
              <w:right w:val="single" w:sz="4" w:space="0" w:color="auto"/>
            </w:tcBorders>
            <w:shd w:val="clear" w:color="000000" w:fill="FFFFFF"/>
            <w:noWrap/>
            <w:vAlign w:val="center"/>
            <w:hideMark/>
          </w:tcPr>
          <w:p w14:paraId="74A6FCCB"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0.2%</w:t>
            </w:r>
          </w:p>
        </w:tc>
      </w:tr>
      <w:tr w:rsidR="00F753E8" w14:paraId="0D904EFB" w14:textId="77777777" w:rsidTr="006E1769">
        <w:trPr>
          <w:trHeight w:val="266"/>
        </w:trPr>
        <w:tc>
          <w:tcPr>
            <w:tcW w:w="3964" w:type="dxa"/>
            <w:tcBorders>
              <w:top w:val="nil"/>
              <w:left w:val="single" w:sz="4" w:space="0" w:color="auto"/>
              <w:bottom w:val="single" w:sz="4" w:space="0" w:color="auto"/>
              <w:right w:val="nil"/>
            </w:tcBorders>
            <w:shd w:val="clear" w:color="auto" w:fill="auto"/>
            <w:noWrap/>
            <w:vAlign w:val="bottom"/>
            <w:hideMark/>
          </w:tcPr>
          <w:p w14:paraId="4C775440" w14:textId="77777777" w:rsidR="00F753E8" w:rsidRDefault="00F753E8" w:rsidP="006E1769">
            <w:pPr>
              <w:rPr>
                <w:rFonts w:ascii="Arial" w:hAnsi="Arial" w:cs="Arial"/>
                <w:color w:val="000000"/>
                <w:sz w:val="22"/>
                <w:szCs w:val="22"/>
              </w:rPr>
            </w:pPr>
            <w:r>
              <w:rPr>
                <w:rFonts w:ascii="Arial" w:hAnsi="Arial" w:cs="Arial"/>
                <w:color w:val="000000"/>
                <w:sz w:val="22"/>
                <w:szCs w:val="22"/>
              </w:rPr>
              <w:t>Insight</w:t>
            </w:r>
          </w:p>
        </w:tc>
        <w:tc>
          <w:tcPr>
            <w:tcW w:w="1230" w:type="dxa"/>
            <w:tcBorders>
              <w:top w:val="nil"/>
              <w:left w:val="single" w:sz="4" w:space="0" w:color="auto"/>
              <w:bottom w:val="single" w:sz="4" w:space="0" w:color="auto"/>
              <w:right w:val="single" w:sz="4" w:space="0" w:color="auto"/>
            </w:tcBorders>
            <w:shd w:val="clear" w:color="000000" w:fill="FFFFFF"/>
            <w:noWrap/>
            <w:vAlign w:val="center"/>
            <w:hideMark/>
          </w:tcPr>
          <w:p w14:paraId="18E80640"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68,089</w:t>
            </w:r>
          </w:p>
        </w:tc>
        <w:tc>
          <w:tcPr>
            <w:tcW w:w="1261" w:type="dxa"/>
            <w:tcBorders>
              <w:top w:val="nil"/>
              <w:left w:val="nil"/>
              <w:bottom w:val="single" w:sz="4" w:space="0" w:color="auto"/>
              <w:right w:val="single" w:sz="4" w:space="0" w:color="auto"/>
            </w:tcBorders>
            <w:shd w:val="clear" w:color="000000" w:fill="FFFFFF"/>
            <w:noWrap/>
            <w:vAlign w:val="center"/>
            <w:hideMark/>
          </w:tcPr>
          <w:p w14:paraId="1844876A"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5.3%</w:t>
            </w:r>
          </w:p>
        </w:tc>
        <w:tc>
          <w:tcPr>
            <w:tcW w:w="1339" w:type="dxa"/>
            <w:tcBorders>
              <w:top w:val="nil"/>
              <w:left w:val="nil"/>
              <w:bottom w:val="single" w:sz="4" w:space="0" w:color="auto"/>
              <w:right w:val="single" w:sz="4" w:space="0" w:color="auto"/>
            </w:tcBorders>
            <w:shd w:val="clear" w:color="000000" w:fill="FFFFFF"/>
            <w:noWrap/>
            <w:vAlign w:val="center"/>
            <w:hideMark/>
          </w:tcPr>
          <w:p w14:paraId="180BAFE6"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66,227</w:t>
            </w:r>
          </w:p>
        </w:tc>
        <w:tc>
          <w:tcPr>
            <w:tcW w:w="1273" w:type="dxa"/>
            <w:tcBorders>
              <w:top w:val="nil"/>
              <w:left w:val="nil"/>
              <w:bottom w:val="single" w:sz="4" w:space="0" w:color="auto"/>
              <w:right w:val="single" w:sz="4" w:space="0" w:color="auto"/>
            </w:tcBorders>
            <w:shd w:val="clear" w:color="000000" w:fill="FFFFFF"/>
            <w:noWrap/>
            <w:vAlign w:val="center"/>
            <w:hideMark/>
          </w:tcPr>
          <w:p w14:paraId="1367BB7C"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4.9%</w:t>
            </w:r>
          </w:p>
        </w:tc>
      </w:tr>
      <w:tr w:rsidR="00F753E8" w14:paraId="4F9AE515" w14:textId="77777777" w:rsidTr="006E1769">
        <w:trPr>
          <w:trHeight w:val="266"/>
        </w:trPr>
        <w:tc>
          <w:tcPr>
            <w:tcW w:w="396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43298DF" w14:textId="77777777" w:rsidR="00F753E8" w:rsidRDefault="00F753E8" w:rsidP="006E1769">
            <w:pPr>
              <w:rPr>
                <w:rFonts w:ascii="Arial" w:hAnsi="Arial" w:cs="Arial"/>
                <w:color w:val="000000"/>
                <w:sz w:val="22"/>
                <w:szCs w:val="22"/>
              </w:rPr>
            </w:pPr>
            <w:r>
              <w:rPr>
                <w:rFonts w:ascii="Arial" w:hAnsi="Arial" w:cs="Arial"/>
                <w:color w:val="000000"/>
                <w:sz w:val="22"/>
                <w:szCs w:val="22"/>
              </w:rPr>
              <w:t>UBS Passive Bonds</w:t>
            </w:r>
          </w:p>
        </w:tc>
        <w:tc>
          <w:tcPr>
            <w:tcW w:w="1230" w:type="dxa"/>
            <w:tcBorders>
              <w:top w:val="nil"/>
              <w:left w:val="nil"/>
              <w:bottom w:val="single" w:sz="4" w:space="0" w:color="auto"/>
              <w:right w:val="single" w:sz="4" w:space="0" w:color="auto"/>
            </w:tcBorders>
            <w:shd w:val="clear" w:color="000000" w:fill="FFFFFF"/>
            <w:noWrap/>
            <w:vAlign w:val="center"/>
            <w:hideMark/>
          </w:tcPr>
          <w:p w14:paraId="541F8ADD"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38,766</w:t>
            </w:r>
          </w:p>
        </w:tc>
        <w:tc>
          <w:tcPr>
            <w:tcW w:w="1261" w:type="dxa"/>
            <w:tcBorders>
              <w:top w:val="nil"/>
              <w:left w:val="nil"/>
              <w:bottom w:val="single" w:sz="4" w:space="0" w:color="auto"/>
              <w:right w:val="single" w:sz="4" w:space="0" w:color="auto"/>
            </w:tcBorders>
            <w:shd w:val="clear" w:color="000000" w:fill="FFFFFF"/>
            <w:noWrap/>
            <w:vAlign w:val="center"/>
            <w:hideMark/>
          </w:tcPr>
          <w:p w14:paraId="591F10D5"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3.0%</w:t>
            </w:r>
          </w:p>
        </w:tc>
        <w:tc>
          <w:tcPr>
            <w:tcW w:w="1339" w:type="dxa"/>
            <w:tcBorders>
              <w:top w:val="nil"/>
              <w:left w:val="nil"/>
              <w:bottom w:val="single" w:sz="4" w:space="0" w:color="auto"/>
              <w:right w:val="single" w:sz="4" w:space="0" w:color="auto"/>
            </w:tcBorders>
            <w:shd w:val="clear" w:color="000000" w:fill="FFFFFF"/>
            <w:noWrap/>
            <w:vAlign w:val="center"/>
            <w:hideMark/>
          </w:tcPr>
          <w:p w14:paraId="17D59F56"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36,808</w:t>
            </w:r>
          </w:p>
        </w:tc>
        <w:tc>
          <w:tcPr>
            <w:tcW w:w="1273" w:type="dxa"/>
            <w:tcBorders>
              <w:top w:val="nil"/>
              <w:left w:val="nil"/>
              <w:bottom w:val="single" w:sz="4" w:space="0" w:color="auto"/>
              <w:right w:val="single" w:sz="4" w:space="0" w:color="auto"/>
            </w:tcBorders>
            <w:shd w:val="clear" w:color="000000" w:fill="FFFFFF"/>
            <w:noWrap/>
            <w:vAlign w:val="center"/>
            <w:hideMark/>
          </w:tcPr>
          <w:p w14:paraId="794E658E"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2.7%</w:t>
            </w:r>
          </w:p>
        </w:tc>
      </w:tr>
      <w:tr w:rsidR="00F753E8" w14:paraId="22BA0B5A" w14:textId="77777777" w:rsidTr="006E1769">
        <w:trPr>
          <w:trHeight w:val="266"/>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04533112" w14:textId="77777777" w:rsidR="00F753E8" w:rsidRDefault="00F753E8" w:rsidP="006E1769">
            <w:pPr>
              <w:rPr>
                <w:rFonts w:ascii="Arial" w:hAnsi="Arial" w:cs="Arial"/>
                <w:color w:val="000000"/>
                <w:sz w:val="22"/>
                <w:szCs w:val="22"/>
              </w:rPr>
            </w:pPr>
            <w:r>
              <w:rPr>
                <w:rFonts w:ascii="Arial" w:hAnsi="Arial" w:cs="Arial"/>
                <w:color w:val="000000"/>
                <w:sz w:val="22"/>
                <w:szCs w:val="22"/>
              </w:rPr>
              <w:t>UBS Passive Equity</w:t>
            </w:r>
          </w:p>
        </w:tc>
        <w:tc>
          <w:tcPr>
            <w:tcW w:w="1230" w:type="dxa"/>
            <w:tcBorders>
              <w:top w:val="nil"/>
              <w:left w:val="nil"/>
              <w:bottom w:val="single" w:sz="4" w:space="0" w:color="auto"/>
              <w:right w:val="single" w:sz="4" w:space="0" w:color="auto"/>
            </w:tcBorders>
            <w:shd w:val="clear" w:color="000000" w:fill="FFFFFF"/>
            <w:noWrap/>
            <w:vAlign w:val="center"/>
            <w:hideMark/>
          </w:tcPr>
          <w:p w14:paraId="068E3C3C"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245,525</w:t>
            </w:r>
          </w:p>
        </w:tc>
        <w:tc>
          <w:tcPr>
            <w:tcW w:w="1261" w:type="dxa"/>
            <w:tcBorders>
              <w:top w:val="nil"/>
              <w:left w:val="nil"/>
              <w:bottom w:val="single" w:sz="4" w:space="0" w:color="auto"/>
              <w:right w:val="single" w:sz="4" w:space="0" w:color="auto"/>
            </w:tcBorders>
            <w:shd w:val="clear" w:color="000000" w:fill="FFFFFF"/>
            <w:noWrap/>
            <w:vAlign w:val="center"/>
            <w:hideMark/>
          </w:tcPr>
          <w:p w14:paraId="19A98238"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19.1%</w:t>
            </w:r>
          </w:p>
        </w:tc>
        <w:tc>
          <w:tcPr>
            <w:tcW w:w="1339" w:type="dxa"/>
            <w:tcBorders>
              <w:top w:val="nil"/>
              <w:left w:val="nil"/>
              <w:bottom w:val="single" w:sz="4" w:space="0" w:color="auto"/>
              <w:right w:val="single" w:sz="4" w:space="0" w:color="auto"/>
            </w:tcBorders>
            <w:shd w:val="clear" w:color="000000" w:fill="FFFFFF"/>
            <w:noWrap/>
            <w:vAlign w:val="center"/>
            <w:hideMark/>
          </w:tcPr>
          <w:p w14:paraId="16F56F92"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274,912</w:t>
            </w:r>
          </w:p>
        </w:tc>
        <w:tc>
          <w:tcPr>
            <w:tcW w:w="1273" w:type="dxa"/>
            <w:tcBorders>
              <w:top w:val="nil"/>
              <w:left w:val="nil"/>
              <w:bottom w:val="single" w:sz="4" w:space="0" w:color="auto"/>
              <w:right w:val="single" w:sz="4" w:space="0" w:color="auto"/>
            </w:tcBorders>
            <w:shd w:val="clear" w:color="000000" w:fill="FFFFFF"/>
            <w:noWrap/>
            <w:vAlign w:val="center"/>
            <w:hideMark/>
          </w:tcPr>
          <w:p w14:paraId="60C5E39E"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20.2%</w:t>
            </w:r>
          </w:p>
        </w:tc>
      </w:tr>
      <w:tr w:rsidR="00F753E8" w14:paraId="0374870E" w14:textId="77777777" w:rsidTr="006E1769">
        <w:trPr>
          <w:trHeight w:val="266"/>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56524533" w14:textId="77777777" w:rsidR="00F753E8" w:rsidRDefault="00F753E8" w:rsidP="006E1769">
            <w:pPr>
              <w:rPr>
                <w:rFonts w:ascii="Arial" w:hAnsi="Arial" w:cs="Arial"/>
                <w:color w:val="000000"/>
                <w:sz w:val="22"/>
                <w:szCs w:val="22"/>
              </w:rPr>
            </w:pPr>
            <w:r>
              <w:rPr>
                <w:rFonts w:ascii="Arial" w:hAnsi="Arial" w:cs="Arial"/>
                <w:color w:val="000000"/>
                <w:sz w:val="22"/>
                <w:szCs w:val="22"/>
              </w:rPr>
              <w:t xml:space="preserve">London CIV </w:t>
            </w:r>
          </w:p>
        </w:tc>
        <w:tc>
          <w:tcPr>
            <w:tcW w:w="1230" w:type="dxa"/>
            <w:tcBorders>
              <w:top w:val="nil"/>
              <w:left w:val="nil"/>
              <w:bottom w:val="single" w:sz="4" w:space="0" w:color="auto"/>
              <w:right w:val="single" w:sz="4" w:space="0" w:color="auto"/>
            </w:tcBorders>
            <w:shd w:val="clear" w:color="000000" w:fill="FFFFFF"/>
            <w:noWrap/>
            <w:vAlign w:val="center"/>
            <w:hideMark/>
          </w:tcPr>
          <w:p w14:paraId="2D3596A3"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150</w:t>
            </w:r>
          </w:p>
        </w:tc>
        <w:tc>
          <w:tcPr>
            <w:tcW w:w="1261" w:type="dxa"/>
            <w:tcBorders>
              <w:top w:val="nil"/>
              <w:left w:val="nil"/>
              <w:bottom w:val="single" w:sz="4" w:space="0" w:color="auto"/>
              <w:right w:val="single" w:sz="4" w:space="0" w:color="auto"/>
            </w:tcBorders>
            <w:shd w:val="clear" w:color="000000" w:fill="FFFFFF"/>
            <w:noWrap/>
            <w:vAlign w:val="center"/>
            <w:hideMark/>
          </w:tcPr>
          <w:p w14:paraId="7BE0AE46"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0.0%</w:t>
            </w:r>
          </w:p>
        </w:tc>
        <w:tc>
          <w:tcPr>
            <w:tcW w:w="1339" w:type="dxa"/>
            <w:tcBorders>
              <w:top w:val="nil"/>
              <w:left w:val="nil"/>
              <w:bottom w:val="single" w:sz="4" w:space="0" w:color="auto"/>
              <w:right w:val="single" w:sz="4" w:space="0" w:color="auto"/>
            </w:tcBorders>
            <w:shd w:val="clear" w:color="000000" w:fill="FFFFFF"/>
            <w:noWrap/>
            <w:vAlign w:val="center"/>
            <w:hideMark/>
          </w:tcPr>
          <w:p w14:paraId="758AA312"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150</w:t>
            </w:r>
          </w:p>
        </w:tc>
        <w:tc>
          <w:tcPr>
            <w:tcW w:w="1273" w:type="dxa"/>
            <w:tcBorders>
              <w:top w:val="nil"/>
              <w:left w:val="nil"/>
              <w:bottom w:val="single" w:sz="4" w:space="0" w:color="auto"/>
              <w:right w:val="single" w:sz="4" w:space="0" w:color="auto"/>
            </w:tcBorders>
            <w:shd w:val="clear" w:color="000000" w:fill="FFFFFF"/>
            <w:noWrap/>
            <w:vAlign w:val="center"/>
            <w:hideMark/>
          </w:tcPr>
          <w:p w14:paraId="629EDC41"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0.0%</w:t>
            </w:r>
          </w:p>
        </w:tc>
      </w:tr>
      <w:tr w:rsidR="00F753E8" w14:paraId="7C2A25FC" w14:textId="77777777" w:rsidTr="006E1769">
        <w:trPr>
          <w:trHeight w:val="266"/>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286DC49B" w14:textId="77777777" w:rsidR="00F753E8" w:rsidRDefault="00F753E8" w:rsidP="006E1769">
            <w:pPr>
              <w:rPr>
                <w:rFonts w:ascii="Arial" w:hAnsi="Arial" w:cs="Arial"/>
                <w:color w:val="000000"/>
                <w:sz w:val="22"/>
                <w:szCs w:val="22"/>
              </w:rPr>
            </w:pPr>
            <w:r>
              <w:rPr>
                <w:rFonts w:ascii="Arial" w:hAnsi="Arial" w:cs="Arial"/>
                <w:color w:val="000000"/>
                <w:sz w:val="22"/>
                <w:szCs w:val="22"/>
              </w:rPr>
              <w:t>London CIV - Baillie Gifford</w:t>
            </w:r>
          </w:p>
        </w:tc>
        <w:tc>
          <w:tcPr>
            <w:tcW w:w="1230" w:type="dxa"/>
            <w:tcBorders>
              <w:top w:val="nil"/>
              <w:left w:val="nil"/>
              <w:bottom w:val="single" w:sz="4" w:space="0" w:color="auto"/>
              <w:right w:val="single" w:sz="4" w:space="0" w:color="auto"/>
            </w:tcBorders>
            <w:shd w:val="clear" w:color="000000" w:fill="FFFFFF"/>
            <w:noWrap/>
            <w:vAlign w:val="center"/>
            <w:hideMark/>
          </w:tcPr>
          <w:p w14:paraId="161C41B5"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312,413</w:t>
            </w:r>
          </w:p>
        </w:tc>
        <w:tc>
          <w:tcPr>
            <w:tcW w:w="1261" w:type="dxa"/>
            <w:tcBorders>
              <w:top w:val="nil"/>
              <w:left w:val="nil"/>
              <w:bottom w:val="single" w:sz="4" w:space="0" w:color="auto"/>
              <w:right w:val="single" w:sz="4" w:space="0" w:color="auto"/>
            </w:tcBorders>
            <w:shd w:val="clear" w:color="000000" w:fill="FFFFFF"/>
            <w:noWrap/>
            <w:vAlign w:val="center"/>
            <w:hideMark/>
          </w:tcPr>
          <w:p w14:paraId="55117699"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24.4%</w:t>
            </w:r>
          </w:p>
        </w:tc>
        <w:tc>
          <w:tcPr>
            <w:tcW w:w="1339" w:type="dxa"/>
            <w:tcBorders>
              <w:top w:val="nil"/>
              <w:left w:val="nil"/>
              <w:bottom w:val="single" w:sz="4" w:space="0" w:color="auto"/>
              <w:right w:val="single" w:sz="4" w:space="0" w:color="auto"/>
            </w:tcBorders>
            <w:shd w:val="clear" w:color="000000" w:fill="FFFFFF"/>
            <w:noWrap/>
            <w:vAlign w:val="center"/>
            <w:hideMark/>
          </w:tcPr>
          <w:p w14:paraId="19FFAE1E"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291,693</w:t>
            </w:r>
          </w:p>
        </w:tc>
        <w:tc>
          <w:tcPr>
            <w:tcW w:w="1273" w:type="dxa"/>
            <w:tcBorders>
              <w:top w:val="nil"/>
              <w:left w:val="nil"/>
              <w:bottom w:val="single" w:sz="4" w:space="0" w:color="auto"/>
              <w:right w:val="single" w:sz="4" w:space="0" w:color="auto"/>
            </w:tcBorders>
            <w:shd w:val="clear" w:color="000000" w:fill="FFFFFF"/>
            <w:noWrap/>
            <w:vAlign w:val="center"/>
            <w:hideMark/>
          </w:tcPr>
          <w:p w14:paraId="00C762E9"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21.4%</w:t>
            </w:r>
          </w:p>
        </w:tc>
      </w:tr>
      <w:tr w:rsidR="00F753E8" w14:paraId="1C16ECED" w14:textId="77777777" w:rsidTr="006E1769">
        <w:trPr>
          <w:trHeight w:val="266"/>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78002E3A" w14:textId="77777777" w:rsidR="00F753E8" w:rsidRDefault="00F753E8" w:rsidP="006E1769">
            <w:pPr>
              <w:rPr>
                <w:rFonts w:ascii="Arial" w:hAnsi="Arial" w:cs="Arial"/>
                <w:color w:val="000000"/>
                <w:sz w:val="22"/>
                <w:szCs w:val="22"/>
              </w:rPr>
            </w:pPr>
            <w:r>
              <w:rPr>
                <w:rFonts w:ascii="Arial" w:hAnsi="Arial" w:cs="Arial"/>
                <w:color w:val="000000"/>
                <w:sz w:val="22"/>
                <w:szCs w:val="22"/>
              </w:rPr>
              <w:t xml:space="preserve">London CIV - Newton / </w:t>
            </w:r>
            <w:proofErr w:type="spellStart"/>
            <w:r>
              <w:rPr>
                <w:rFonts w:ascii="Arial" w:hAnsi="Arial" w:cs="Arial"/>
                <w:color w:val="000000"/>
                <w:sz w:val="22"/>
                <w:szCs w:val="22"/>
              </w:rPr>
              <w:t>Pyrford</w:t>
            </w:r>
            <w:proofErr w:type="spellEnd"/>
          </w:p>
        </w:tc>
        <w:tc>
          <w:tcPr>
            <w:tcW w:w="1230" w:type="dxa"/>
            <w:tcBorders>
              <w:top w:val="nil"/>
              <w:left w:val="nil"/>
              <w:bottom w:val="single" w:sz="4" w:space="0" w:color="auto"/>
              <w:right w:val="single" w:sz="4" w:space="0" w:color="auto"/>
            </w:tcBorders>
            <w:shd w:val="clear" w:color="000000" w:fill="FFFFFF"/>
            <w:noWrap/>
            <w:vAlign w:val="center"/>
            <w:hideMark/>
          </w:tcPr>
          <w:p w14:paraId="39FA7236"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190,450</w:t>
            </w:r>
          </w:p>
        </w:tc>
        <w:tc>
          <w:tcPr>
            <w:tcW w:w="1261" w:type="dxa"/>
            <w:tcBorders>
              <w:top w:val="nil"/>
              <w:left w:val="nil"/>
              <w:bottom w:val="single" w:sz="4" w:space="0" w:color="auto"/>
              <w:right w:val="single" w:sz="4" w:space="0" w:color="auto"/>
            </w:tcBorders>
            <w:shd w:val="clear" w:color="000000" w:fill="FFFFFF"/>
            <w:noWrap/>
            <w:vAlign w:val="center"/>
            <w:hideMark/>
          </w:tcPr>
          <w:p w14:paraId="57FC674B"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14.8%</w:t>
            </w:r>
          </w:p>
        </w:tc>
        <w:tc>
          <w:tcPr>
            <w:tcW w:w="1339" w:type="dxa"/>
            <w:tcBorders>
              <w:top w:val="nil"/>
              <w:left w:val="nil"/>
              <w:bottom w:val="single" w:sz="4" w:space="0" w:color="auto"/>
              <w:right w:val="single" w:sz="4" w:space="0" w:color="auto"/>
            </w:tcBorders>
            <w:shd w:val="clear" w:color="000000" w:fill="FFFFFF"/>
            <w:noWrap/>
            <w:vAlign w:val="center"/>
            <w:hideMark/>
          </w:tcPr>
          <w:p w14:paraId="091394BF"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196,336</w:t>
            </w:r>
          </w:p>
        </w:tc>
        <w:tc>
          <w:tcPr>
            <w:tcW w:w="1273" w:type="dxa"/>
            <w:tcBorders>
              <w:top w:val="nil"/>
              <w:left w:val="nil"/>
              <w:bottom w:val="single" w:sz="4" w:space="0" w:color="auto"/>
              <w:right w:val="single" w:sz="4" w:space="0" w:color="auto"/>
            </w:tcBorders>
            <w:shd w:val="clear" w:color="000000" w:fill="FFFFFF"/>
            <w:noWrap/>
            <w:vAlign w:val="center"/>
            <w:hideMark/>
          </w:tcPr>
          <w:p w14:paraId="4F3E1776"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14.4%</w:t>
            </w:r>
          </w:p>
        </w:tc>
      </w:tr>
      <w:tr w:rsidR="00F753E8" w14:paraId="2F13A7EC" w14:textId="77777777" w:rsidTr="006E1769">
        <w:trPr>
          <w:trHeight w:val="25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368BF885" w14:textId="77777777" w:rsidR="00F753E8" w:rsidRDefault="00F753E8" w:rsidP="006E1769">
            <w:pPr>
              <w:rPr>
                <w:rFonts w:ascii="Arial" w:hAnsi="Arial" w:cs="Arial"/>
                <w:color w:val="000000"/>
                <w:sz w:val="22"/>
                <w:szCs w:val="22"/>
              </w:rPr>
            </w:pPr>
            <w:r>
              <w:rPr>
                <w:rFonts w:ascii="Arial" w:hAnsi="Arial" w:cs="Arial"/>
                <w:color w:val="000000"/>
                <w:sz w:val="22"/>
                <w:szCs w:val="22"/>
              </w:rPr>
              <w:t>Pending Trade Sales</w:t>
            </w:r>
          </w:p>
        </w:tc>
        <w:tc>
          <w:tcPr>
            <w:tcW w:w="1230" w:type="dxa"/>
            <w:tcBorders>
              <w:top w:val="nil"/>
              <w:left w:val="nil"/>
              <w:bottom w:val="single" w:sz="4" w:space="0" w:color="auto"/>
              <w:right w:val="single" w:sz="4" w:space="0" w:color="auto"/>
            </w:tcBorders>
            <w:shd w:val="clear" w:color="000000" w:fill="FFFFFF"/>
            <w:noWrap/>
            <w:vAlign w:val="center"/>
            <w:hideMark/>
          </w:tcPr>
          <w:p w14:paraId="32C9D78A"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0</w:t>
            </w:r>
          </w:p>
        </w:tc>
        <w:tc>
          <w:tcPr>
            <w:tcW w:w="1261" w:type="dxa"/>
            <w:tcBorders>
              <w:top w:val="nil"/>
              <w:left w:val="nil"/>
              <w:bottom w:val="single" w:sz="4" w:space="0" w:color="auto"/>
              <w:right w:val="single" w:sz="4" w:space="0" w:color="auto"/>
            </w:tcBorders>
            <w:shd w:val="clear" w:color="000000" w:fill="FFFFFF"/>
            <w:noWrap/>
            <w:vAlign w:val="center"/>
            <w:hideMark/>
          </w:tcPr>
          <w:p w14:paraId="045E9F14"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0.0%</w:t>
            </w:r>
          </w:p>
        </w:tc>
        <w:tc>
          <w:tcPr>
            <w:tcW w:w="1339" w:type="dxa"/>
            <w:tcBorders>
              <w:top w:val="nil"/>
              <w:left w:val="nil"/>
              <w:bottom w:val="single" w:sz="4" w:space="0" w:color="auto"/>
              <w:right w:val="single" w:sz="4" w:space="0" w:color="auto"/>
            </w:tcBorders>
            <w:shd w:val="clear" w:color="000000" w:fill="FFFFFF"/>
            <w:noWrap/>
            <w:vAlign w:val="center"/>
            <w:hideMark/>
          </w:tcPr>
          <w:p w14:paraId="3D0982DB"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3,527</w:t>
            </w:r>
          </w:p>
        </w:tc>
        <w:tc>
          <w:tcPr>
            <w:tcW w:w="1273" w:type="dxa"/>
            <w:tcBorders>
              <w:top w:val="nil"/>
              <w:left w:val="nil"/>
              <w:bottom w:val="single" w:sz="4" w:space="0" w:color="auto"/>
              <w:right w:val="single" w:sz="4" w:space="0" w:color="auto"/>
            </w:tcBorders>
            <w:shd w:val="clear" w:color="000000" w:fill="FFFFFF"/>
            <w:noWrap/>
            <w:vAlign w:val="center"/>
            <w:hideMark/>
          </w:tcPr>
          <w:p w14:paraId="30EDD511"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0.3%</w:t>
            </w:r>
          </w:p>
        </w:tc>
      </w:tr>
      <w:tr w:rsidR="00F753E8" w14:paraId="64E53789" w14:textId="77777777" w:rsidTr="006E1769">
        <w:trPr>
          <w:trHeight w:val="25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201DCBCC" w14:textId="77777777" w:rsidR="00F753E8" w:rsidRDefault="00F753E8" w:rsidP="006E1769">
            <w:pPr>
              <w:rPr>
                <w:rFonts w:ascii="Arial" w:hAnsi="Arial" w:cs="Arial"/>
                <w:color w:val="000000"/>
                <w:sz w:val="22"/>
                <w:szCs w:val="22"/>
              </w:rPr>
            </w:pPr>
            <w:r>
              <w:rPr>
                <w:rFonts w:ascii="Arial" w:hAnsi="Arial" w:cs="Arial"/>
                <w:color w:val="000000"/>
                <w:sz w:val="22"/>
                <w:szCs w:val="22"/>
              </w:rPr>
              <w:t>Other Investments – Tax Recoverable</w:t>
            </w:r>
          </w:p>
        </w:tc>
        <w:tc>
          <w:tcPr>
            <w:tcW w:w="1230" w:type="dxa"/>
            <w:tcBorders>
              <w:top w:val="nil"/>
              <w:left w:val="nil"/>
              <w:bottom w:val="single" w:sz="4" w:space="0" w:color="auto"/>
              <w:right w:val="single" w:sz="4" w:space="0" w:color="auto"/>
            </w:tcBorders>
            <w:shd w:val="clear" w:color="000000" w:fill="FFFFFF"/>
            <w:noWrap/>
            <w:vAlign w:val="center"/>
            <w:hideMark/>
          </w:tcPr>
          <w:p w14:paraId="32201A64"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9</w:t>
            </w:r>
          </w:p>
        </w:tc>
        <w:tc>
          <w:tcPr>
            <w:tcW w:w="1261" w:type="dxa"/>
            <w:tcBorders>
              <w:top w:val="nil"/>
              <w:left w:val="nil"/>
              <w:bottom w:val="single" w:sz="4" w:space="0" w:color="auto"/>
              <w:right w:val="single" w:sz="4" w:space="0" w:color="auto"/>
            </w:tcBorders>
            <w:shd w:val="clear" w:color="000000" w:fill="FFFFFF"/>
            <w:noWrap/>
            <w:vAlign w:val="center"/>
            <w:hideMark/>
          </w:tcPr>
          <w:p w14:paraId="14A13A88"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0.0%</w:t>
            </w:r>
          </w:p>
        </w:tc>
        <w:tc>
          <w:tcPr>
            <w:tcW w:w="1339" w:type="dxa"/>
            <w:tcBorders>
              <w:top w:val="nil"/>
              <w:left w:val="nil"/>
              <w:bottom w:val="single" w:sz="4" w:space="0" w:color="auto"/>
              <w:right w:val="single" w:sz="4" w:space="0" w:color="auto"/>
            </w:tcBorders>
            <w:shd w:val="clear" w:color="000000" w:fill="FFFFFF"/>
            <w:noWrap/>
            <w:vAlign w:val="center"/>
            <w:hideMark/>
          </w:tcPr>
          <w:p w14:paraId="084F42D5"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0</w:t>
            </w:r>
          </w:p>
        </w:tc>
        <w:tc>
          <w:tcPr>
            <w:tcW w:w="1273" w:type="dxa"/>
            <w:tcBorders>
              <w:top w:val="nil"/>
              <w:left w:val="nil"/>
              <w:bottom w:val="single" w:sz="4" w:space="0" w:color="auto"/>
              <w:right w:val="single" w:sz="4" w:space="0" w:color="auto"/>
            </w:tcBorders>
            <w:shd w:val="clear" w:color="000000" w:fill="FFFFFF"/>
            <w:noWrap/>
            <w:vAlign w:val="center"/>
            <w:hideMark/>
          </w:tcPr>
          <w:p w14:paraId="63C3AD88"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0.0%</w:t>
            </w:r>
          </w:p>
        </w:tc>
      </w:tr>
      <w:tr w:rsidR="00F753E8" w14:paraId="52937AF6" w14:textId="77777777" w:rsidTr="006E1769">
        <w:trPr>
          <w:trHeight w:val="25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489069A5" w14:textId="77777777" w:rsidR="00F753E8" w:rsidRDefault="00F753E8" w:rsidP="006E1769">
            <w:pPr>
              <w:rPr>
                <w:rFonts w:ascii="Arial" w:hAnsi="Arial" w:cs="Arial"/>
                <w:b/>
                <w:bCs/>
                <w:color w:val="000000"/>
                <w:sz w:val="22"/>
                <w:szCs w:val="22"/>
              </w:rPr>
            </w:pPr>
            <w:r>
              <w:rPr>
                <w:rFonts w:ascii="Arial" w:hAnsi="Arial" w:cs="Arial"/>
                <w:b/>
                <w:bCs/>
                <w:color w:val="000000"/>
                <w:sz w:val="22"/>
                <w:szCs w:val="22"/>
              </w:rPr>
              <w:t>Total</w:t>
            </w:r>
          </w:p>
        </w:tc>
        <w:tc>
          <w:tcPr>
            <w:tcW w:w="1230" w:type="dxa"/>
            <w:tcBorders>
              <w:top w:val="nil"/>
              <w:left w:val="nil"/>
              <w:bottom w:val="single" w:sz="4" w:space="0" w:color="auto"/>
              <w:right w:val="single" w:sz="4" w:space="0" w:color="auto"/>
            </w:tcBorders>
            <w:shd w:val="clear" w:color="000000" w:fill="FFFFFF"/>
            <w:noWrap/>
            <w:vAlign w:val="center"/>
            <w:hideMark/>
          </w:tcPr>
          <w:p w14:paraId="6731C7D7"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1,282,789</w:t>
            </w:r>
          </w:p>
        </w:tc>
        <w:tc>
          <w:tcPr>
            <w:tcW w:w="1261" w:type="dxa"/>
            <w:tcBorders>
              <w:top w:val="nil"/>
              <w:left w:val="nil"/>
              <w:bottom w:val="single" w:sz="4" w:space="0" w:color="auto"/>
              <w:right w:val="single" w:sz="4" w:space="0" w:color="auto"/>
            </w:tcBorders>
            <w:shd w:val="clear" w:color="000000" w:fill="FFFFFF"/>
            <w:noWrap/>
            <w:vAlign w:val="center"/>
            <w:hideMark/>
          </w:tcPr>
          <w:p w14:paraId="7BCC6855"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100.0%</w:t>
            </w:r>
          </w:p>
        </w:tc>
        <w:tc>
          <w:tcPr>
            <w:tcW w:w="1339" w:type="dxa"/>
            <w:tcBorders>
              <w:top w:val="nil"/>
              <w:left w:val="nil"/>
              <w:bottom w:val="single" w:sz="4" w:space="0" w:color="auto"/>
              <w:right w:val="single" w:sz="4" w:space="0" w:color="auto"/>
            </w:tcBorders>
            <w:shd w:val="clear" w:color="000000" w:fill="FFFFFF"/>
            <w:noWrap/>
            <w:vAlign w:val="center"/>
            <w:hideMark/>
          </w:tcPr>
          <w:p w14:paraId="6BCB6DED"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1,360,897</w:t>
            </w:r>
          </w:p>
        </w:tc>
        <w:tc>
          <w:tcPr>
            <w:tcW w:w="1273" w:type="dxa"/>
            <w:tcBorders>
              <w:top w:val="nil"/>
              <w:left w:val="nil"/>
              <w:bottom w:val="single" w:sz="4" w:space="0" w:color="auto"/>
              <w:right w:val="single" w:sz="4" w:space="0" w:color="auto"/>
            </w:tcBorders>
            <w:shd w:val="clear" w:color="000000" w:fill="FFFFFF"/>
            <w:noWrap/>
            <w:vAlign w:val="center"/>
            <w:hideMark/>
          </w:tcPr>
          <w:p w14:paraId="76451069"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100.0%</w:t>
            </w:r>
          </w:p>
        </w:tc>
      </w:tr>
      <w:tr w:rsidR="00F753E8" w14:paraId="38B1E36B" w14:textId="77777777" w:rsidTr="006E1769">
        <w:trPr>
          <w:trHeight w:val="249"/>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7EE12214" w14:textId="77777777" w:rsidR="00F753E8" w:rsidRDefault="00F753E8" w:rsidP="006E1769">
            <w:pPr>
              <w:rPr>
                <w:rFonts w:ascii="Arial" w:hAnsi="Arial" w:cs="Arial"/>
                <w:color w:val="000000"/>
                <w:sz w:val="22"/>
                <w:szCs w:val="22"/>
              </w:rPr>
            </w:pPr>
            <w:r>
              <w:rPr>
                <w:rFonts w:ascii="Arial" w:hAnsi="Arial" w:cs="Arial"/>
                <w:color w:val="000000"/>
                <w:sz w:val="22"/>
                <w:szCs w:val="22"/>
              </w:rPr>
              <w:t>Current Assets</w:t>
            </w:r>
          </w:p>
        </w:tc>
        <w:tc>
          <w:tcPr>
            <w:tcW w:w="1230" w:type="dxa"/>
            <w:tcBorders>
              <w:top w:val="nil"/>
              <w:left w:val="nil"/>
              <w:bottom w:val="single" w:sz="4" w:space="0" w:color="auto"/>
              <w:right w:val="single" w:sz="4" w:space="0" w:color="auto"/>
            </w:tcBorders>
            <w:shd w:val="clear" w:color="000000" w:fill="FFFFFF"/>
            <w:noWrap/>
            <w:vAlign w:val="bottom"/>
            <w:hideMark/>
          </w:tcPr>
          <w:p w14:paraId="1DE55CFE" w14:textId="77777777" w:rsidR="00F753E8" w:rsidRDefault="00F753E8" w:rsidP="006E1769">
            <w:pPr>
              <w:rPr>
                <w:rFonts w:ascii="Arial" w:hAnsi="Arial" w:cs="Arial"/>
                <w:color w:val="000000"/>
                <w:sz w:val="22"/>
                <w:szCs w:val="22"/>
              </w:rPr>
            </w:pPr>
            <w:r>
              <w:rPr>
                <w:rFonts w:ascii="Arial" w:hAnsi="Arial" w:cs="Arial"/>
                <w:color w:val="000000"/>
                <w:sz w:val="22"/>
                <w:szCs w:val="22"/>
              </w:rPr>
              <w:t xml:space="preserve">       1,067 </w:t>
            </w:r>
          </w:p>
        </w:tc>
        <w:tc>
          <w:tcPr>
            <w:tcW w:w="1261" w:type="dxa"/>
            <w:tcBorders>
              <w:top w:val="nil"/>
              <w:left w:val="nil"/>
              <w:bottom w:val="single" w:sz="4" w:space="0" w:color="auto"/>
              <w:right w:val="single" w:sz="4" w:space="0" w:color="auto"/>
            </w:tcBorders>
            <w:shd w:val="clear" w:color="000000" w:fill="FFFFFF"/>
            <w:noWrap/>
            <w:vAlign w:val="center"/>
            <w:hideMark/>
          </w:tcPr>
          <w:p w14:paraId="032D3C57"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0.1%</w:t>
            </w:r>
          </w:p>
        </w:tc>
        <w:tc>
          <w:tcPr>
            <w:tcW w:w="1339" w:type="dxa"/>
            <w:tcBorders>
              <w:top w:val="nil"/>
              <w:left w:val="nil"/>
              <w:bottom w:val="single" w:sz="4" w:space="0" w:color="auto"/>
              <w:right w:val="single" w:sz="4" w:space="0" w:color="auto"/>
            </w:tcBorders>
            <w:shd w:val="clear" w:color="000000" w:fill="FFFFFF"/>
            <w:noWrap/>
            <w:vAlign w:val="center"/>
            <w:hideMark/>
          </w:tcPr>
          <w:p w14:paraId="797094B1"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1,229</w:t>
            </w:r>
          </w:p>
        </w:tc>
        <w:tc>
          <w:tcPr>
            <w:tcW w:w="1273" w:type="dxa"/>
            <w:tcBorders>
              <w:top w:val="nil"/>
              <w:left w:val="nil"/>
              <w:bottom w:val="single" w:sz="4" w:space="0" w:color="auto"/>
              <w:right w:val="single" w:sz="4" w:space="0" w:color="auto"/>
            </w:tcBorders>
            <w:shd w:val="clear" w:color="000000" w:fill="FFFFFF"/>
            <w:noWrap/>
            <w:vAlign w:val="center"/>
            <w:hideMark/>
          </w:tcPr>
          <w:p w14:paraId="6F054841"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0.1%</w:t>
            </w:r>
          </w:p>
        </w:tc>
      </w:tr>
      <w:tr w:rsidR="00F753E8" w14:paraId="0595F184" w14:textId="77777777" w:rsidTr="006E1769">
        <w:trPr>
          <w:trHeight w:val="255"/>
        </w:trPr>
        <w:tc>
          <w:tcPr>
            <w:tcW w:w="3964" w:type="dxa"/>
            <w:tcBorders>
              <w:top w:val="nil"/>
              <w:left w:val="single" w:sz="4" w:space="0" w:color="auto"/>
              <w:bottom w:val="single" w:sz="4" w:space="0" w:color="auto"/>
              <w:right w:val="single" w:sz="4" w:space="0" w:color="auto"/>
            </w:tcBorders>
            <w:shd w:val="clear" w:color="000000" w:fill="FFFFFF"/>
            <w:noWrap/>
            <w:vAlign w:val="center"/>
            <w:hideMark/>
          </w:tcPr>
          <w:p w14:paraId="1B6E58D0" w14:textId="77777777" w:rsidR="00F753E8" w:rsidRDefault="00F753E8" w:rsidP="006E1769">
            <w:pPr>
              <w:rPr>
                <w:rFonts w:ascii="Arial" w:hAnsi="Arial" w:cs="Arial"/>
                <w:color w:val="000000"/>
                <w:sz w:val="22"/>
                <w:szCs w:val="22"/>
              </w:rPr>
            </w:pPr>
            <w:r>
              <w:rPr>
                <w:rFonts w:ascii="Arial" w:hAnsi="Arial" w:cs="Arial"/>
                <w:color w:val="000000"/>
                <w:sz w:val="22"/>
                <w:szCs w:val="22"/>
              </w:rPr>
              <w:t>Current Liabilities</w:t>
            </w:r>
          </w:p>
        </w:tc>
        <w:tc>
          <w:tcPr>
            <w:tcW w:w="1230" w:type="dxa"/>
            <w:tcBorders>
              <w:top w:val="nil"/>
              <w:left w:val="nil"/>
              <w:bottom w:val="single" w:sz="4" w:space="0" w:color="auto"/>
              <w:right w:val="single" w:sz="4" w:space="0" w:color="auto"/>
            </w:tcBorders>
            <w:shd w:val="clear" w:color="000000" w:fill="FFFFFF"/>
            <w:noWrap/>
            <w:vAlign w:val="center"/>
            <w:hideMark/>
          </w:tcPr>
          <w:p w14:paraId="7351EE57" w14:textId="77777777" w:rsidR="00F753E8" w:rsidRDefault="00F753E8" w:rsidP="006E1769">
            <w:pPr>
              <w:jc w:val="right"/>
              <w:rPr>
                <w:rFonts w:ascii="Arial" w:hAnsi="Arial" w:cs="Arial"/>
                <w:color w:val="000000"/>
                <w:sz w:val="22"/>
                <w:szCs w:val="22"/>
              </w:rPr>
            </w:pPr>
            <w:r w:rsidRPr="00A04EE1">
              <w:rPr>
                <w:rFonts w:ascii="Arial" w:hAnsi="Arial" w:cs="Arial"/>
                <w:color w:val="FF0000"/>
                <w:sz w:val="22"/>
                <w:szCs w:val="22"/>
              </w:rPr>
              <w:t>(20,762)</w:t>
            </w:r>
          </w:p>
        </w:tc>
        <w:tc>
          <w:tcPr>
            <w:tcW w:w="1261" w:type="dxa"/>
            <w:tcBorders>
              <w:top w:val="nil"/>
              <w:left w:val="nil"/>
              <w:bottom w:val="single" w:sz="4" w:space="0" w:color="auto"/>
              <w:right w:val="single" w:sz="4" w:space="0" w:color="auto"/>
            </w:tcBorders>
            <w:shd w:val="clear" w:color="000000" w:fill="FFFFFF"/>
            <w:noWrap/>
            <w:vAlign w:val="center"/>
            <w:hideMark/>
          </w:tcPr>
          <w:p w14:paraId="29316416" w14:textId="77777777" w:rsidR="00F753E8" w:rsidRDefault="00F753E8" w:rsidP="006E1769">
            <w:pPr>
              <w:jc w:val="right"/>
              <w:rPr>
                <w:rFonts w:ascii="Arial" w:hAnsi="Arial" w:cs="Arial"/>
                <w:color w:val="000000"/>
                <w:sz w:val="22"/>
                <w:szCs w:val="22"/>
              </w:rPr>
            </w:pPr>
            <w:r>
              <w:rPr>
                <w:rFonts w:ascii="Arial" w:hAnsi="Arial" w:cs="Arial"/>
                <w:color w:val="000000"/>
                <w:sz w:val="22"/>
                <w:szCs w:val="22"/>
              </w:rPr>
              <w:t>-1.6%</w:t>
            </w:r>
          </w:p>
        </w:tc>
        <w:tc>
          <w:tcPr>
            <w:tcW w:w="1339" w:type="dxa"/>
            <w:tcBorders>
              <w:top w:val="nil"/>
              <w:left w:val="nil"/>
              <w:bottom w:val="single" w:sz="4" w:space="0" w:color="auto"/>
              <w:right w:val="single" w:sz="4" w:space="0" w:color="auto"/>
            </w:tcBorders>
            <w:shd w:val="clear" w:color="000000" w:fill="FFFFFF"/>
            <w:noWrap/>
            <w:vAlign w:val="center"/>
            <w:hideMark/>
          </w:tcPr>
          <w:p w14:paraId="66D969CB" w14:textId="77777777" w:rsidR="00F753E8" w:rsidRDefault="00F753E8" w:rsidP="006E1769">
            <w:pPr>
              <w:jc w:val="right"/>
              <w:rPr>
                <w:rFonts w:ascii="Arial" w:hAnsi="Arial" w:cs="Arial"/>
                <w:b/>
                <w:bCs/>
                <w:color w:val="000000"/>
                <w:sz w:val="22"/>
                <w:szCs w:val="22"/>
              </w:rPr>
            </w:pPr>
            <w:r w:rsidRPr="00A04EE1">
              <w:rPr>
                <w:rFonts w:ascii="Arial" w:hAnsi="Arial" w:cs="Arial"/>
                <w:b/>
                <w:bCs/>
                <w:color w:val="FF0000"/>
                <w:sz w:val="22"/>
                <w:szCs w:val="22"/>
              </w:rPr>
              <w:t>(20,697)</w:t>
            </w:r>
          </w:p>
        </w:tc>
        <w:tc>
          <w:tcPr>
            <w:tcW w:w="1273" w:type="dxa"/>
            <w:tcBorders>
              <w:top w:val="nil"/>
              <w:left w:val="nil"/>
              <w:bottom w:val="single" w:sz="4" w:space="0" w:color="auto"/>
              <w:right w:val="single" w:sz="4" w:space="0" w:color="auto"/>
            </w:tcBorders>
            <w:shd w:val="clear" w:color="000000" w:fill="FFFFFF"/>
            <w:noWrap/>
            <w:vAlign w:val="center"/>
            <w:hideMark/>
          </w:tcPr>
          <w:p w14:paraId="3DBC8DBA" w14:textId="77777777" w:rsidR="00F753E8" w:rsidRDefault="00F753E8" w:rsidP="006E1769">
            <w:pPr>
              <w:jc w:val="right"/>
              <w:rPr>
                <w:rFonts w:ascii="Arial" w:hAnsi="Arial" w:cs="Arial"/>
                <w:b/>
                <w:bCs/>
                <w:color w:val="000000"/>
                <w:sz w:val="22"/>
                <w:szCs w:val="22"/>
              </w:rPr>
            </w:pPr>
            <w:r>
              <w:rPr>
                <w:rFonts w:ascii="Arial" w:hAnsi="Arial" w:cs="Arial"/>
                <w:b/>
                <w:bCs/>
                <w:color w:val="000000"/>
                <w:sz w:val="22"/>
                <w:szCs w:val="22"/>
              </w:rPr>
              <w:t>-1.5%</w:t>
            </w:r>
          </w:p>
        </w:tc>
      </w:tr>
    </w:tbl>
    <w:p w14:paraId="645EF95E" w14:textId="77777777" w:rsidR="00F753E8" w:rsidRPr="00C920E9" w:rsidRDefault="00F753E8" w:rsidP="00F753E8">
      <w:pPr>
        <w:tabs>
          <w:tab w:val="left" w:pos="426"/>
          <w:tab w:val="left" w:pos="1134"/>
        </w:tabs>
        <w:jc w:val="both"/>
        <w:rPr>
          <w:rFonts w:ascii="Arial" w:hAnsi="Arial" w:cs="Arial"/>
        </w:rPr>
      </w:pPr>
    </w:p>
    <w:p w14:paraId="2A916FA1" w14:textId="77777777" w:rsidR="00F753E8" w:rsidRPr="008A0A4E" w:rsidRDefault="00F753E8" w:rsidP="007337FE">
      <w:pPr>
        <w:pStyle w:val="ListParagraph"/>
        <w:numPr>
          <w:ilvl w:val="0"/>
          <w:numId w:val="90"/>
        </w:numPr>
        <w:tabs>
          <w:tab w:val="left" w:pos="426"/>
          <w:tab w:val="left" w:pos="1134"/>
        </w:tabs>
        <w:ind w:left="502"/>
        <w:jc w:val="both"/>
        <w:rPr>
          <w:rFonts w:ascii="Arial" w:hAnsi="Arial" w:cs="Arial"/>
        </w:rPr>
      </w:pPr>
      <w:r w:rsidRPr="008A0A4E">
        <w:rPr>
          <w:rFonts w:ascii="Arial" w:hAnsi="Arial" w:cs="Arial"/>
          <w:b/>
        </w:rPr>
        <w:t>Cash</w:t>
      </w:r>
    </w:p>
    <w:p w14:paraId="28743D38" w14:textId="77777777" w:rsidR="00F753E8" w:rsidRPr="008A0A4E" w:rsidRDefault="00F753E8" w:rsidP="00F753E8">
      <w:pPr>
        <w:ind w:left="426"/>
        <w:rPr>
          <w:rFonts w:ascii="Arial" w:hAnsi="Arial" w:cs="Arial"/>
          <w:sz w:val="22"/>
          <w:szCs w:val="22"/>
        </w:rPr>
      </w:pPr>
      <w:r w:rsidRPr="008A0A4E">
        <w:rPr>
          <w:rFonts w:ascii="Arial" w:hAnsi="Arial" w:cs="Arial"/>
          <w:sz w:val="22"/>
          <w:szCs w:val="22"/>
        </w:rPr>
        <w:t xml:space="preserve">The cash balance held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202</w:t>
      </w:r>
      <w:r>
        <w:rPr>
          <w:rFonts w:ascii="Arial" w:hAnsi="Arial" w:cs="Arial"/>
          <w:sz w:val="22"/>
          <w:szCs w:val="22"/>
        </w:rPr>
        <w:t>2</w:t>
      </w:r>
      <w:r w:rsidRPr="008A0A4E">
        <w:rPr>
          <w:rFonts w:ascii="Arial" w:hAnsi="Arial" w:cs="Arial"/>
          <w:sz w:val="22"/>
          <w:szCs w:val="22"/>
        </w:rPr>
        <w:t xml:space="preserve"> is made up as follows:</w:t>
      </w:r>
    </w:p>
    <w:p w14:paraId="0E5D5CFF" w14:textId="77777777" w:rsidR="00F753E8" w:rsidRPr="008A0A4E" w:rsidRDefault="00F753E8" w:rsidP="00F753E8">
      <w:pPr>
        <w:ind w:left="426"/>
        <w:rPr>
          <w:rFonts w:ascii="Arial" w:hAnsi="Arial" w:cs="Arial"/>
          <w:sz w:val="22"/>
          <w:szCs w:val="22"/>
        </w:rPr>
      </w:pPr>
    </w:p>
    <w:tbl>
      <w:tblPr>
        <w:tblW w:w="9306" w:type="dxa"/>
        <w:jc w:val="center"/>
        <w:tblLayout w:type="fixed"/>
        <w:tblLook w:val="00A0" w:firstRow="1" w:lastRow="0" w:firstColumn="1" w:lastColumn="0" w:noHBand="0" w:noVBand="0"/>
      </w:tblPr>
      <w:tblGrid>
        <w:gridCol w:w="5132"/>
        <w:gridCol w:w="712"/>
        <w:gridCol w:w="1191"/>
        <w:gridCol w:w="595"/>
        <w:gridCol w:w="1676"/>
      </w:tblGrid>
      <w:tr w:rsidR="00F753E8" w:rsidRPr="00B64150" w14:paraId="5C39743D" w14:textId="77777777" w:rsidTr="006E1769">
        <w:trPr>
          <w:trHeight w:val="135"/>
          <w:jc w:val="center"/>
        </w:trPr>
        <w:tc>
          <w:tcPr>
            <w:tcW w:w="5844" w:type="dxa"/>
            <w:gridSpan w:val="2"/>
            <w:tcBorders>
              <w:top w:val="nil"/>
              <w:left w:val="nil"/>
              <w:bottom w:val="nil"/>
              <w:right w:val="nil"/>
            </w:tcBorders>
            <w:vAlign w:val="center"/>
          </w:tcPr>
          <w:p w14:paraId="2EC55956" w14:textId="77777777" w:rsidR="00F753E8" w:rsidRPr="008A0A4E" w:rsidRDefault="00F753E8" w:rsidP="006E1769">
            <w:pPr>
              <w:ind w:left="326"/>
              <w:rPr>
                <w:rFonts w:ascii="Arial" w:hAnsi="Arial" w:cs="Arial"/>
                <w:b/>
                <w:bCs/>
                <w:color w:val="000000"/>
                <w:sz w:val="22"/>
                <w:szCs w:val="22"/>
              </w:rPr>
            </w:pPr>
            <w:r w:rsidRPr="008A0A4E">
              <w:rPr>
                <w:rFonts w:ascii="Arial" w:hAnsi="Arial" w:cs="Arial"/>
                <w:b/>
                <w:bCs/>
                <w:color w:val="000000"/>
                <w:sz w:val="22"/>
                <w:szCs w:val="22"/>
              </w:rPr>
              <w:t>Cash balances held by</w:t>
            </w:r>
          </w:p>
        </w:tc>
        <w:tc>
          <w:tcPr>
            <w:tcW w:w="1191" w:type="dxa"/>
            <w:tcBorders>
              <w:top w:val="nil"/>
              <w:left w:val="nil"/>
              <w:bottom w:val="nil"/>
              <w:right w:val="nil"/>
            </w:tcBorders>
            <w:vAlign w:val="center"/>
          </w:tcPr>
          <w:p w14:paraId="640102A5" w14:textId="77777777" w:rsidR="00F753E8" w:rsidRPr="008A0A4E" w:rsidRDefault="00F753E8" w:rsidP="006E1769">
            <w:pPr>
              <w:jc w:val="center"/>
              <w:rPr>
                <w:rFonts w:ascii="Arial" w:hAnsi="Arial" w:cs="Arial"/>
                <w:bCs/>
                <w:color w:val="000000"/>
                <w:sz w:val="22"/>
                <w:szCs w:val="22"/>
              </w:rPr>
            </w:pPr>
            <w:r>
              <w:rPr>
                <w:rFonts w:ascii="Arial" w:hAnsi="Arial" w:cs="Arial"/>
                <w:bCs/>
                <w:color w:val="000000"/>
                <w:sz w:val="22"/>
                <w:szCs w:val="22"/>
              </w:rPr>
              <w:t>2020/21</w:t>
            </w:r>
          </w:p>
        </w:tc>
        <w:tc>
          <w:tcPr>
            <w:tcW w:w="595" w:type="dxa"/>
            <w:tcBorders>
              <w:top w:val="nil"/>
              <w:left w:val="nil"/>
              <w:bottom w:val="nil"/>
              <w:right w:val="nil"/>
            </w:tcBorders>
            <w:vAlign w:val="center"/>
          </w:tcPr>
          <w:p w14:paraId="15CF5BF2" w14:textId="77777777" w:rsidR="00F753E8" w:rsidRPr="008A0A4E" w:rsidRDefault="00F753E8" w:rsidP="006E1769">
            <w:pPr>
              <w:jc w:val="center"/>
              <w:rPr>
                <w:rFonts w:ascii="Arial" w:hAnsi="Arial" w:cs="Arial"/>
                <w:color w:val="000000"/>
                <w:sz w:val="22"/>
                <w:szCs w:val="22"/>
              </w:rPr>
            </w:pPr>
          </w:p>
        </w:tc>
        <w:tc>
          <w:tcPr>
            <w:tcW w:w="1676" w:type="dxa"/>
            <w:tcBorders>
              <w:top w:val="nil"/>
              <w:left w:val="nil"/>
              <w:bottom w:val="nil"/>
              <w:right w:val="nil"/>
            </w:tcBorders>
            <w:vAlign w:val="bottom"/>
          </w:tcPr>
          <w:p w14:paraId="4F070AE3" w14:textId="77777777" w:rsidR="00F753E8" w:rsidRPr="008A0A4E" w:rsidRDefault="00F753E8" w:rsidP="006E1769">
            <w:pPr>
              <w:ind w:left="67" w:right="262"/>
              <w:jc w:val="right"/>
              <w:rPr>
                <w:rFonts w:ascii="Arial" w:hAnsi="Arial" w:cs="Arial"/>
                <w:color w:val="000000"/>
                <w:sz w:val="22"/>
                <w:szCs w:val="22"/>
              </w:rPr>
            </w:pPr>
            <w:r>
              <w:rPr>
                <w:rFonts w:ascii="Arial" w:hAnsi="Arial" w:cs="Arial"/>
                <w:b/>
                <w:bCs/>
                <w:color w:val="000000"/>
                <w:sz w:val="22"/>
                <w:szCs w:val="22"/>
              </w:rPr>
              <w:t>2021/22</w:t>
            </w:r>
          </w:p>
        </w:tc>
      </w:tr>
      <w:tr w:rsidR="00F753E8" w:rsidRPr="00B64150" w14:paraId="7384F147" w14:textId="77777777" w:rsidTr="006E1769">
        <w:trPr>
          <w:trHeight w:val="135"/>
          <w:jc w:val="center"/>
        </w:trPr>
        <w:tc>
          <w:tcPr>
            <w:tcW w:w="5844" w:type="dxa"/>
            <w:gridSpan w:val="2"/>
            <w:tcBorders>
              <w:top w:val="nil"/>
              <w:left w:val="nil"/>
              <w:bottom w:val="nil"/>
              <w:right w:val="nil"/>
            </w:tcBorders>
            <w:vAlign w:val="center"/>
          </w:tcPr>
          <w:p w14:paraId="232D36D5" w14:textId="77777777" w:rsidR="00F753E8" w:rsidRPr="008A0A4E" w:rsidRDefault="00F753E8" w:rsidP="006E1769">
            <w:pPr>
              <w:ind w:left="326"/>
              <w:rPr>
                <w:rFonts w:ascii="Arial" w:hAnsi="Arial" w:cs="Arial"/>
                <w:color w:val="000000"/>
                <w:sz w:val="22"/>
                <w:szCs w:val="22"/>
              </w:rPr>
            </w:pPr>
            <w:r w:rsidRPr="008A0A4E">
              <w:rPr>
                <w:rFonts w:ascii="Arial" w:hAnsi="Arial" w:cs="Arial"/>
                <w:b/>
                <w:bCs/>
                <w:color w:val="000000"/>
                <w:sz w:val="22"/>
                <w:szCs w:val="22"/>
              </w:rPr>
              <w:t>Investment Managers</w:t>
            </w:r>
          </w:p>
        </w:tc>
        <w:tc>
          <w:tcPr>
            <w:tcW w:w="1191" w:type="dxa"/>
            <w:tcBorders>
              <w:top w:val="nil"/>
              <w:left w:val="nil"/>
              <w:bottom w:val="nil"/>
              <w:right w:val="nil"/>
            </w:tcBorders>
            <w:vAlign w:val="center"/>
          </w:tcPr>
          <w:p w14:paraId="189D47B9"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£000</w:t>
            </w:r>
          </w:p>
        </w:tc>
        <w:tc>
          <w:tcPr>
            <w:tcW w:w="595" w:type="dxa"/>
            <w:tcBorders>
              <w:top w:val="nil"/>
              <w:left w:val="nil"/>
              <w:bottom w:val="nil"/>
              <w:right w:val="nil"/>
            </w:tcBorders>
            <w:vAlign w:val="center"/>
          </w:tcPr>
          <w:p w14:paraId="64D53C7A" w14:textId="77777777" w:rsidR="00F753E8" w:rsidRPr="008A0A4E" w:rsidRDefault="00F753E8" w:rsidP="006E1769">
            <w:pPr>
              <w:jc w:val="center"/>
              <w:rPr>
                <w:rFonts w:ascii="Arial" w:hAnsi="Arial" w:cs="Arial"/>
                <w:color w:val="000000"/>
                <w:sz w:val="22"/>
                <w:szCs w:val="22"/>
              </w:rPr>
            </w:pPr>
          </w:p>
        </w:tc>
        <w:tc>
          <w:tcPr>
            <w:tcW w:w="1676" w:type="dxa"/>
            <w:tcBorders>
              <w:top w:val="nil"/>
              <w:left w:val="nil"/>
              <w:bottom w:val="nil"/>
              <w:right w:val="nil"/>
            </w:tcBorders>
            <w:vAlign w:val="center"/>
          </w:tcPr>
          <w:p w14:paraId="637DFDF8" w14:textId="77777777" w:rsidR="00F753E8" w:rsidRPr="008A0A4E" w:rsidRDefault="00F753E8" w:rsidP="006E1769">
            <w:pPr>
              <w:ind w:left="67"/>
              <w:jc w:val="center"/>
              <w:rPr>
                <w:rFonts w:ascii="Arial" w:hAnsi="Arial" w:cs="Arial"/>
                <w:b/>
                <w:bCs/>
                <w:color w:val="000000"/>
                <w:sz w:val="22"/>
                <w:szCs w:val="22"/>
              </w:rPr>
            </w:pPr>
            <w:r w:rsidRPr="008A0A4E">
              <w:rPr>
                <w:rFonts w:ascii="Arial" w:hAnsi="Arial" w:cs="Arial"/>
                <w:b/>
                <w:bCs/>
                <w:color w:val="000000"/>
                <w:sz w:val="22"/>
                <w:szCs w:val="22"/>
              </w:rPr>
              <w:t>£000</w:t>
            </w:r>
          </w:p>
        </w:tc>
      </w:tr>
      <w:tr w:rsidR="00F753E8" w:rsidRPr="00B64150" w14:paraId="632EE48B" w14:textId="77777777" w:rsidTr="006E1769">
        <w:trPr>
          <w:trHeight w:val="130"/>
          <w:jc w:val="center"/>
        </w:trPr>
        <w:tc>
          <w:tcPr>
            <w:tcW w:w="5132" w:type="dxa"/>
            <w:tcBorders>
              <w:top w:val="nil"/>
              <w:left w:val="nil"/>
              <w:bottom w:val="nil"/>
              <w:right w:val="nil"/>
            </w:tcBorders>
            <w:vAlign w:val="bottom"/>
          </w:tcPr>
          <w:p w14:paraId="4E2916FF" w14:textId="77777777" w:rsidR="00F753E8" w:rsidRPr="008A0A4E" w:rsidRDefault="00F753E8" w:rsidP="006E1769">
            <w:pPr>
              <w:ind w:left="751"/>
              <w:rPr>
                <w:rFonts w:ascii="Arial" w:hAnsi="Arial" w:cs="Arial"/>
                <w:color w:val="000000"/>
                <w:sz w:val="22"/>
                <w:szCs w:val="22"/>
              </w:rPr>
            </w:pPr>
            <w:r w:rsidRPr="008A0A4E">
              <w:rPr>
                <w:rFonts w:ascii="Arial" w:hAnsi="Arial" w:cs="Arial"/>
                <w:color w:val="000000"/>
                <w:sz w:val="22"/>
                <w:szCs w:val="22"/>
              </w:rPr>
              <w:t>Aberdeen Asset Management</w:t>
            </w:r>
          </w:p>
        </w:tc>
        <w:tc>
          <w:tcPr>
            <w:tcW w:w="712" w:type="dxa"/>
            <w:tcBorders>
              <w:top w:val="nil"/>
              <w:left w:val="nil"/>
              <w:bottom w:val="nil"/>
              <w:right w:val="nil"/>
            </w:tcBorders>
            <w:noWrap/>
            <w:vAlign w:val="center"/>
          </w:tcPr>
          <w:p w14:paraId="19640530" w14:textId="77777777" w:rsidR="00F753E8" w:rsidRPr="008A0A4E" w:rsidRDefault="00F753E8" w:rsidP="006E1769">
            <w:pPr>
              <w:jc w:val="right"/>
              <w:rPr>
                <w:rFonts w:ascii="Arial" w:hAnsi="Arial" w:cs="Arial"/>
                <w:color w:val="000000"/>
                <w:sz w:val="22"/>
                <w:szCs w:val="22"/>
              </w:rPr>
            </w:pPr>
          </w:p>
        </w:tc>
        <w:tc>
          <w:tcPr>
            <w:tcW w:w="1191" w:type="dxa"/>
            <w:tcBorders>
              <w:top w:val="nil"/>
              <w:left w:val="nil"/>
              <w:bottom w:val="nil"/>
              <w:right w:val="nil"/>
            </w:tcBorders>
            <w:vAlign w:val="center"/>
          </w:tcPr>
          <w:p w14:paraId="2D27C008" w14:textId="77777777" w:rsidR="00F753E8" w:rsidRPr="00450152" w:rsidRDefault="00F753E8" w:rsidP="006E1769">
            <w:pPr>
              <w:jc w:val="right"/>
              <w:rPr>
                <w:rFonts w:ascii="Arial" w:hAnsi="Arial" w:cs="Arial"/>
                <w:color w:val="000000"/>
                <w:sz w:val="22"/>
                <w:szCs w:val="22"/>
              </w:rPr>
            </w:pPr>
            <w:r w:rsidRPr="00450152">
              <w:rPr>
                <w:rFonts w:ascii="Arial" w:hAnsi="Arial" w:cs="Arial"/>
                <w:color w:val="000000"/>
                <w:sz w:val="22"/>
                <w:szCs w:val="22"/>
              </w:rPr>
              <w:t>14,204</w:t>
            </w:r>
          </w:p>
        </w:tc>
        <w:tc>
          <w:tcPr>
            <w:tcW w:w="595" w:type="dxa"/>
            <w:tcBorders>
              <w:top w:val="nil"/>
              <w:left w:val="nil"/>
              <w:bottom w:val="nil"/>
              <w:right w:val="nil"/>
            </w:tcBorders>
            <w:vAlign w:val="center"/>
          </w:tcPr>
          <w:p w14:paraId="68FEB238" w14:textId="77777777" w:rsidR="00F753E8" w:rsidRPr="008A0A4E" w:rsidRDefault="00F753E8" w:rsidP="006E1769">
            <w:pPr>
              <w:jc w:val="right"/>
              <w:rPr>
                <w:rFonts w:ascii="Arial" w:hAnsi="Arial" w:cs="Arial"/>
                <w:color w:val="000000"/>
                <w:sz w:val="22"/>
                <w:szCs w:val="22"/>
              </w:rPr>
            </w:pPr>
          </w:p>
        </w:tc>
        <w:tc>
          <w:tcPr>
            <w:tcW w:w="1676" w:type="dxa"/>
            <w:tcBorders>
              <w:top w:val="nil"/>
              <w:left w:val="nil"/>
              <w:bottom w:val="nil"/>
              <w:right w:val="nil"/>
            </w:tcBorders>
            <w:shd w:val="clear" w:color="auto" w:fill="auto"/>
          </w:tcPr>
          <w:p w14:paraId="0E07FAD8" w14:textId="77777777" w:rsidR="00F753E8" w:rsidRPr="008B22B4" w:rsidRDefault="00F753E8" w:rsidP="006E1769">
            <w:pPr>
              <w:jc w:val="right"/>
              <w:rPr>
                <w:rFonts w:ascii="Arial" w:hAnsi="Arial" w:cs="Arial"/>
                <w:b/>
                <w:bCs/>
                <w:color w:val="000000"/>
                <w:sz w:val="22"/>
                <w:szCs w:val="22"/>
              </w:rPr>
            </w:pPr>
            <w:r w:rsidRPr="008B22B4">
              <w:rPr>
                <w:rFonts w:ascii="Arial" w:hAnsi="Arial" w:cs="Arial"/>
                <w:b/>
                <w:bCs/>
                <w:color w:val="000000"/>
                <w:sz w:val="22"/>
                <w:szCs w:val="22"/>
              </w:rPr>
              <w:t xml:space="preserve"> 13,444 </w:t>
            </w:r>
          </w:p>
        </w:tc>
      </w:tr>
      <w:tr w:rsidR="00F753E8" w:rsidRPr="00B64150" w14:paraId="11FBEC1E" w14:textId="77777777" w:rsidTr="006E1769">
        <w:trPr>
          <w:trHeight w:val="130"/>
          <w:jc w:val="center"/>
        </w:trPr>
        <w:tc>
          <w:tcPr>
            <w:tcW w:w="5132" w:type="dxa"/>
            <w:tcBorders>
              <w:top w:val="nil"/>
              <w:left w:val="nil"/>
              <w:bottom w:val="nil"/>
              <w:right w:val="nil"/>
            </w:tcBorders>
            <w:vAlign w:val="bottom"/>
          </w:tcPr>
          <w:p w14:paraId="19028B8E" w14:textId="77777777" w:rsidR="00F753E8" w:rsidRPr="008A0A4E" w:rsidRDefault="00F753E8" w:rsidP="006E1769">
            <w:pPr>
              <w:ind w:left="751"/>
              <w:rPr>
                <w:rFonts w:ascii="Arial" w:hAnsi="Arial" w:cs="Arial"/>
                <w:color w:val="000000"/>
                <w:sz w:val="22"/>
                <w:szCs w:val="22"/>
              </w:rPr>
            </w:pPr>
            <w:r w:rsidRPr="008A0A4E">
              <w:rPr>
                <w:rFonts w:ascii="Arial" w:hAnsi="Arial" w:cs="Arial"/>
                <w:color w:val="000000"/>
                <w:sz w:val="22"/>
                <w:szCs w:val="22"/>
              </w:rPr>
              <w:t>Schroders</w:t>
            </w:r>
          </w:p>
        </w:tc>
        <w:tc>
          <w:tcPr>
            <w:tcW w:w="712" w:type="dxa"/>
            <w:tcBorders>
              <w:top w:val="nil"/>
              <w:left w:val="nil"/>
              <w:bottom w:val="nil"/>
              <w:right w:val="nil"/>
            </w:tcBorders>
            <w:noWrap/>
            <w:vAlign w:val="bottom"/>
          </w:tcPr>
          <w:p w14:paraId="11B07F03" w14:textId="77777777" w:rsidR="00F753E8" w:rsidRPr="008A0A4E" w:rsidRDefault="00F753E8" w:rsidP="006E1769">
            <w:pPr>
              <w:rPr>
                <w:rFonts w:ascii="Arial" w:hAnsi="Arial" w:cs="Arial"/>
                <w:color w:val="000000"/>
                <w:sz w:val="22"/>
                <w:szCs w:val="22"/>
              </w:rPr>
            </w:pPr>
          </w:p>
        </w:tc>
        <w:tc>
          <w:tcPr>
            <w:tcW w:w="1191" w:type="dxa"/>
            <w:tcBorders>
              <w:top w:val="nil"/>
              <w:left w:val="nil"/>
              <w:bottom w:val="nil"/>
              <w:right w:val="nil"/>
            </w:tcBorders>
            <w:vAlign w:val="center"/>
          </w:tcPr>
          <w:p w14:paraId="3B0540F3" w14:textId="77777777" w:rsidR="00F753E8" w:rsidRPr="00450152" w:rsidRDefault="00F753E8" w:rsidP="006E1769">
            <w:pPr>
              <w:jc w:val="right"/>
              <w:rPr>
                <w:rFonts w:ascii="Arial" w:hAnsi="Arial" w:cs="Arial"/>
                <w:color w:val="000000"/>
                <w:sz w:val="22"/>
                <w:szCs w:val="22"/>
              </w:rPr>
            </w:pPr>
            <w:r w:rsidRPr="00450152">
              <w:rPr>
                <w:rFonts w:ascii="Arial" w:hAnsi="Arial" w:cs="Arial"/>
                <w:color w:val="000000"/>
                <w:sz w:val="22"/>
                <w:szCs w:val="22"/>
              </w:rPr>
              <w:t>31</w:t>
            </w:r>
          </w:p>
        </w:tc>
        <w:tc>
          <w:tcPr>
            <w:tcW w:w="595" w:type="dxa"/>
            <w:tcBorders>
              <w:top w:val="nil"/>
              <w:left w:val="nil"/>
              <w:bottom w:val="nil"/>
              <w:right w:val="nil"/>
            </w:tcBorders>
            <w:vAlign w:val="bottom"/>
          </w:tcPr>
          <w:p w14:paraId="53998038" w14:textId="77777777" w:rsidR="00F753E8" w:rsidRPr="008A0A4E" w:rsidRDefault="00F753E8" w:rsidP="006E1769">
            <w:pPr>
              <w:rPr>
                <w:rFonts w:ascii="Arial" w:hAnsi="Arial" w:cs="Arial"/>
                <w:color w:val="000000"/>
                <w:sz w:val="22"/>
                <w:szCs w:val="22"/>
              </w:rPr>
            </w:pPr>
          </w:p>
        </w:tc>
        <w:tc>
          <w:tcPr>
            <w:tcW w:w="1676" w:type="dxa"/>
            <w:tcBorders>
              <w:top w:val="nil"/>
              <w:left w:val="nil"/>
              <w:bottom w:val="nil"/>
              <w:right w:val="nil"/>
            </w:tcBorders>
            <w:shd w:val="clear" w:color="auto" w:fill="auto"/>
          </w:tcPr>
          <w:p w14:paraId="42D8CB4C" w14:textId="77777777" w:rsidR="00F753E8" w:rsidRPr="008B22B4" w:rsidRDefault="00F753E8" w:rsidP="006E1769">
            <w:pPr>
              <w:jc w:val="right"/>
              <w:rPr>
                <w:rFonts w:ascii="Arial" w:hAnsi="Arial" w:cs="Arial"/>
                <w:b/>
                <w:bCs/>
                <w:color w:val="000000"/>
                <w:sz w:val="22"/>
                <w:szCs w:val="22"/>
              </w:rPr>
            </w:pPr>
            <w:r w:rsidRPr="008B22B4">
              <w:rPr>
                <w:rFonts w:ascii="Arial" w:hAnsi="Arial" w:cs="Arial"/>
                <w:b/>
                <w:bCs/>
                <w:color w:val="000000"/>
                <w:sz w:val="22"/>
                <w:szCs w:val="22"/>
              </w:rPr>
              <w:t xml:space="preserve"> 19 </w:t>
            </w:r>
          </w:p>
        </w:tc>
      </w:tr>
      <w:tr w:rsidR="00F753E8" w:rsidRPr="00B64150" w14:paraId="269F7DCE" w14:textId="77777777" w:rsidTr="006E1769">
        <w:trPr>
          <w:trHeight w:val="130"/>
          <w:jc w:val="center"/>
        </w:trPr>
        <w:tc>
          <w:tcPr>
            <w:tcW w:w="5132" w:type="dxa"/>
            <w:tcBorders>
              <w:top w:val="nil"/>
              <w:left w:val="nil"/>
              <w:bottom w:val="nil"/>
              <w:right w:val="nil"/>
            </w:tcBorders>
            <w:vAlign w:val="bottom"/>
          </w:tcPr>
          <w:p w14:paraId="089DF5A5" w14:textId="77777777" w:rsidR="00F753E8" w:rsidRPr="008A0A4E" w:rsidRDefault="00F753E8" w:rsidP="006E1769">
            <w:pPr>
              <w:ind w:left="751"/>
              <w:rPr>
                <w:rFonts w:ascii="Arial" w:hAnsi="Arial" w:cs="Arial"/>
                <w:color w:val="000000"/>
                <w:sz w:val="22"/>
                <w:szCs w:val="22"/>
              </w:rPr>
            </w:pPr>
            <w:r w:rsidRPr="008A0A4E">
              <w:rPr>
                <w:rFonts w:ascii="Arial" w:hAnsi="Arial" w:cs="Arial"/>
                <w:color w:val="000000"/>
                <w:sz w:val="22"/>
                <w:szCs w:val="22"/>
              </w:rPr>
              <w:t>BlackRock</w:t>
            </w:r>
          </w:p>
        </w:tc>
        <w:tc>
          <w:tcPr>
            <w:tcW w:w="712" w:type="dxa"/>
            <w:tcBorders>
              <w:top w:val="nil"/>
              <w:left w:val="nil"/>
              <w:bottom w:val="nil"/>
              <w:right w:val="nil"/>
            </w:tcBorders>
            <w:noWrap/>
            <w:vAlign w:val="bottom"/>
          </w:tcPr>
          <w:p w14:paraId="2EE57E01" w14:textId="77777777" w:rsidR="00F753E8" w:rsidRPr="008A0A4E" w:rsidRDefault="00F753E8" w:rsidP="006E1769">
            <w:pPr>
              <w:rPr>
                <w:rFonts w:ascii="Arial" w:hAnsi="Arial" w:cs="Arial"/>
                <w:color w:val="000000"/>
                <w:sz w:val="22"/>
                <w:szCs w:val="22"/>
              </w:rPr>
            </w:pPr>
          </w:p>
        </w:tc>
        <w:tc>
          <w:tcPr>
            <w:tcW w:w="1191" w:type="dxa"/>
            <w:tcBorders>
              <w:top w:val="nil"/>
              <w:left w:val="nil"/>
              <w:bottom w:val="nil"/>
              <w:right w:val="nil"/>
            </w:tcBorders>
            <w:vAlign w:val="center"/>
          </w:tcPr>
          <w:p w14:paraId="351FB5A5" w14:textId="77777777" w:rsidR="00F753E8" w:rsidRPr="00450152" w:rsidRDefault="00F753E8" w:rsidP="006E1769">
            <w:pPr>
              <w:jc w:val="right"/>
              <w:rPr>
                <w:rFonts w:ascii="Arial" w:hAnsi="Arial" w:cs="Arial"/>
                <w:color w:val="000000"/>
                <w:sz w:val="22"/>
                <w:szCs w:val="22"/>
              </w:rPr>
            </w:pPr>
            <w:r w:rsidRPr="00450152">
              <w:rPr>
                <w:rFonts w:ascii="Arial" w:hAnsi="Arial" w:cs="Arial"/>
                <w:color w:val="000000"/>
                <w:sz w:val="22"/>
                <w:szCs w:val="22"/>
              </w:rPr>
              <w:t>91</w:t>
            </w:r>
          </w:p>
        </w:tc>
        <w:tc>
          <w:tcPr>
            <w:tcW w:w="595" w:type="dxa"/>
            <w:tcBorders>
              <w:top w:val="nil"/>
              <w:left w:val="nil"/>
              <w:bottom w:val="nil"/>
              <w:right w:val="nil"/>
            </w:tcBorders>
            <w:vAlign w:val="bottom"/>
          </w:tcPr>
          <w:p w14:paraId="1C884725" w14:textId="77777777" w:rsidR="00F753E8" w:rsidRPr="008A0A4E" w:rsidRDefault="00F753E8" w:rsidP="006E1769">
            <w:pPr>
              <w:rPr>
                <w:rFonts w:ascii="Arial" w:hAnsi="Arial" w:cs="Arial"/>
                <w:color w:val="000000"/>
                <w:sz w:val="22"/>
                <w:szCs w:val="22"/>
              </w:rPr>
            </w:pPr>
          </w:p>
        </w:tc>
        <w:tc>
          <w:tcPr>
            <w:tcW w:w="1676" w:type="dxa"/>
            <w:tcBorders>
              <w:top w:val="nil"/>
              <w:left w:val="nil"/>
              <w:bottom w:val="nil"/>
              <w:right w:val="nil"/>
            </w:tcBorders>
            <w:shd w:val="clear" w:color="auto" w:fill="auto"/>
          </w:tcPr>
          <w:p w14:paraId="331E25DE" w14:textId="77777777" w:rsidR="00F753E8" w:rsidRPr="008B22B4" w:rsidRDefault="00F753E8" w:rsidP="006E1769">
            <w:pPr>
              <w:jc w:val="right"/>
              <w:rPr>
                <w:rFonts w:ascii="Arial" w:hAnsi="Arial" w:cs="Arial"/>
                <w:b/>
                <w:bCs/>
                <w:color w:val="000000"/>
                <w:sz w:val="22"/>
                <w:szCs w:val="22"/>
              </w:rPr>
            </w:pPr>
            <w:r w:rsidRPr="008B22B4">
              <w:rPr>
                <w:rFonts w:ascii="Arial" w:hAnsi="Arial" w:cs="Arial"/>
                <w:b/>
                <w:bCs/>
                <w:color w:val="000000"/>
                <w:sz w:val="22"/>
                <w:szCs w:val="22"/>
              </w:rPr>
              <w:t xml:space="preserve"> 183 </w:t>
            </w:r>
          </w:p>
        </w:tc>
      </w:tr>
      <w:tr w:rsidR="00F753E8" w:rsidRPr="00B64150" w14:paraId="46CD7700" w14:textId="77777777" w:rsidTr="006E1769">
        <w:trPr>
          <w:trHeight w:val="130"/>
          <w:jc w:val="center"/>
        </w:trPr>
        <w:tc>
          <w:tcPr>
            <w:tcW w:w="5132" w:type="dxa"/>
            <w:tcBorders>
              <w:top w:val="nil"/>
              <w:left w:val="nil"/>
              <w:bottom w:val="nil"/>
              <w:right w:val="nil"/>
            </w:tcBorders>
            <w:vAlign w:val="bottom"/>
          </w:tcPr>
          <w:p w14:paraId="4FAA1E9A" w14:textId="77777777" w:rsidR="00F753E8" w:rsidRPr="008A0A4E" w:rsidRDefault="00F753E8" w:rsidP="006E1769">
            <w:pPr>
              <w:ind w:left="751"/>
              <w:rPr>
                <w:rFonts w:ascii="Arial" w:hAnsi="Arial" w:cs="Arial"/>
                <w:color w:val="000000"/>
                <w:sz w:val="22"/>
                <w:szCs w:val="22"/>
              </w:rPr>
            </w:pPr>
            <w:r w:rsidRPr="008A0A4E">
              <w:rPr>
                <w:rFonts w:ascii="Arial" w:hAnsi="Arial" w:cs="Arial"/>
                <w:color w:val="000000"/>
                <w:sz w:val="22"/>
                <w:szCs w:val="22"/>
              </w:rPr>
              <w:t>Other balances</w:t>
            </w:r>
          </w:p>
        </w:tc>
        <w:tc>
          <w:tcPr>
            <w:tcW w:w="712" w:type="dxa"/>
            <w:tcBorders>
              <w:top w:val="nil"/>
              <w:left w:val="nil"/>
              <w:bottom w:val="nil"/>
              <w:right w:val="nil"/>
            </w:tcBorders>
            <w:noWrap/>
            <w:vAlign w:val="bottom"/>
          </w:tcPr>
          <w:p w14:paraId="4C64E0D2" w14:textId="77777777" w:rsidR="00F753E8" w:rsidRPr="008A0A4E" w:rsidRDefault="00F753E8" w:rsidP="006E1769">
            <w:pPr>
              <w:rPr>
                <w:rFonts w:ascii="Arial" w:hAnsi="Arial" w:cs="Arial"/>
                <w:color w:val="000000"/>
                <w:sz w:val="22"/>
                <w:szCs w:val="22"/>
              </w:rPr>
            </w:pPr>
          </w:p>
        </w:tc>
        <w:tc>
          <w:tcPr>
            <w:tcW w:w="1191" w:type="dxa"/>
            <w:tcBorders>
              <w:top w:val="nil"/>
              <w:left w:val="nil"/>
              <w:bottom w:val="nil"/>
              <w:right w:val="nil"/>
            </w:tcBorders>
            <w:vAlign w:val="bottom"/>
          </w:tcPr>
          <w:p w14:paraId="5511C130" w14:textId="77777777" w:rsidR="00F753E8" w:rsidRPr="00450152" w:rsidRDefault="00F753E8" w:rsidP="006E1769">
            <w:pPr>
              <w:jc w:val="right"/>
              <w:rPr>
                <w:rFonts w:ascii="Arial" w:hAnsi="Arial" w:cs="Arial"/>
                <w:color w:val="000000"/>
                <w:sz w:val="22"/>
                <w:szCs w:val="22"/>
              </w:rPr>
            </w:pPr>
            <w:r w:rsidRPr="00450152">
              <w:rPr>
                <w:rFonts w:ascii="Arial" w:hAnsi="Arial" w:cs="Arial"/>
                <w:color w:val="000000"/>
                <w:sz w:val="22"/>
                <w:szCs w:val="22"/>
              </w:rPr>
              <w:t>-</w:t>
            </w:r>
          </w:p>
        </w:tc>
        <w:tc>
          <w:tcPr>
            <w:tcW w:w="595" w:type="dxa"/>
            <w:tcBorders>
              <w:top w:val="nil"/>
              <w:left w:val="nil"/>
              <w:bottom w:val="nil"/>
              <w:right w:val="nil"/>
            </w:tcBorders>
            <w:vAlign w:val="bottom"/>
          </w:tcPr>
          <w:p w14:paraId="252D33AB" w14:textId="77777777" w:rsidR="00F753E8" w:rsidRPr="008A0A4E" w:rsidRDefault="00F753E8" w:rsidP="006E1769">
            <w:pPr>
              <w:rPr>
                <w:rFonts w:ascii="Arial" w:hAnsi="Arial" w:cs="Arial"/>
                <w:color w:val="000000"/>
                <w:sz w:val="22"/>
                <w:szCs w:val="22"/>
              </w:rPr>
            </w:pPr>
          </w:p>
        </w:tc>
        <w:tc>
          <w:tcPr>
            <w:tcW w:w="1676" w:type="dxa"/>
            <w:tcBorders>
              <w:top w:val="nil"/>
              <w:left w:val="nil"/>
              <w:bottom w:val="nil"/>
              <w:right w:val="nil"/>
            </w:tcBorders>
          </w:tcPr>
          <w:p w14:paraId="5223E9CE" w14:textId="77777777" w:rsidR="00F753E8" w:rsidRPr="008B22B4" w:rsidRDefault="00F753E8" w:rsidP="006E1769">
            <w:pPr>
              <w:jc w:val="right"/>
              <w:rPr>
                <w:rFonts w:ascii="Arial" w:hAnsi="Arial" w:cs="Arial"/>
                <w:b/>
                <w:bCs/>
                <w:color w:val="000000"/>
                <w:sz w:val="22"/>
                <w:szCs w:val="22"/>
              </w:rPr>
            </w:pPr>
            <w:r w:rsidRPr="008B22B4">
              <w:rPr>
                <w:rFonts w:ascii="Arial" w:hAnsi="Arial" w:cs="Arial"/>
                <w:b/>
                <w:bCs/>
                <w:color w:val="000000"/>
                <w:sz w:val="22"/>
                <w:szCs w:val="22"/>
              </w:rPr>
              <w:t xml:space="preserve"> 56 </w:t>
            </w:r>
          </w:p>
        </w:tc>
      </w:tr>
      <w:tr w:rsidR="00F753E8" w:rsidRPr="00B64150" w14:paraId="7A447258" w14:textId="77777777" w:rsidTr="006E1769">
        <w:trPr>
          <w:trHeight w:val="130"/>
          <w:jc w:val="center"/>
        </w:trPr>
        <w:tc>
          <w:tcPr>
            <w:tcW w:w="5132" w:type="dxa"/>
            <w:tcBorders>
              <w:top w:val="nil"/>
              <w:left w:val="nil"/>
              <w:bottom w:val="nil"/>
              <w:right w:val="nil"/>
            </w:tcBorders>
            <w:vAlign w:val="bottom"/>
          </w:tcPr>
          <w:p w14:paraId="535B1BCE" w14:textId="77777777" w:rsidR="00F753E8" w:rsidRPr="008A0A4E" w:rsidRDefault="00F753E8" w:rsidP="006E1769">
            <w:pPr>
              <w:ind w:left="751"/>
              <w:rPr>
                <w:rFonts w:ascii="Arial" w:hAnsi="Arial" w:cs="Arial"/>
                <w:color w:val="000000"/>
                <w:sz w:val="22"/>
                <w:szCs w:val="22"/>
              </w:rPr>
            </w:pPr>
            <w:r w:rsidRPr="008A0A4E">
              <w:rPr>
                <w:rFonts w:ascii="Arial" w:hAnsi="Arial" w:cs="Arial"/>
                <w:color w:val="000000"/>
                <w:sz w:val="22"/>
                <w:szCs w:val="22"/>
              </w:rPr>
              <w:t>In-house Cash</w:t>
            </w:r>
          </w:p>
        </w:tc>
        <w:tc>
          <w:tcPr>
            <w:tcW w:w="712" w:type="dxa"/>
            <w:tcBorders>
              <w:top w:val="nil"/>
              <w:left w:val="nil"/>
              <w:bottom w:val="nil"/>
              <w:right w:val="nil"/>
            </w:tcBorders>
            <w:noWrap/>
            <w:vAlign w:val="bottom"/>
          </w:tcPr>
          <w:p w14:paraId="6946A1BF" w14:textId="77777777" w:rsidR="00F753E8" w:rsidRPr="008A0A4E" w:rsidRDefault="00F753E8" w:rsidP="006E1769">
            <w:pPr>
              <w:rPr>
                <w:rFonts w:ascii="Arial" w:hAnsi="Arial" w:cs="Arial"/>
                <w:color w:val="000000"/>
                <w:sz w:val="22"/>
                <w:szCs w:val="22"/>
              </w:rPr>
            </w:pPr>
          </w:p>
        </w:tc>
        <w:tc>
          <w:tcPr>
            <w:tcW w:w="1191" w:type="dxa"/>
            <w:tcBorders>
              <w:top w:val="nil"/>
              <w:left w:val="nil"/>
              <w:bottom w:val="nil"/>
              <w:right w:val="nil"/>
            </w:tcBorders>
            <w:vAlign w:val="bottom"/>
          </w:tcPr>
          <w:p w14:paraId="55B81C83" w14:textId="77777777" w:rsidR="00F753E8" w:rsidRPr="00450152" w:rsidRDefault="00F753E8" w:rsidP="006E1769">
            <w:pPr>
              <w:jc w:val="right"/>
              <w:rPr>
                <w:rFonts w:ascii="Arial" w:hAnsi="Arial" w:cs="Arial"/>
                <w:color w:val="000000"/>
                <w:sz w:val="22"/>
                <w:szCs w:val="22"/>
              </w:rPr>
            </w:pPr>
            <w:r w:rsidRPr="00450152">
              <w:rPr>
                <w:rFonts w:ascii="Arial" w:hAnsi="Arial" w:cs="Arial"/>
                <w:color w:val="000000"/>
                <w:sz w:val="22"/>
                <w:szCs w:val="22"/>
              </w:rPr>
              <w:t>39</w:t>
            </w:r>
          </w:p>
        </w:tc>
        <w:tc>
          <w:tcPr>
            <w:tcW w:w="595" w:type="dxa"/>
            <w:tcBorders>
              <w:top w:val="nil"/>
              <w:left w:val="nil"/>
              <w:bottom w:val="nil"/>
              <w:right w:val="nil"/>
            </w:tcBorders>
            <w:vAlign w:val="bottom"/>
          </w:tcPr>
          <w:p w14:paraId="132ABEA9" w14:textId="77777777" w:rsidR="00F753E8" w:rsidRPr="008A0A4E" w:rsidRDefault="00F753E8" w:rsidP="006E1769">
            <w:pPr>
              <w:rPr>
                <w:rFonts w:ascii="Arial" w:hAnsi="Arial" w:cs="Arial"/>
                <w:color w:val="000000"/>
                <w:sz w:val="22"/>
                <w:szCs w:val="22"/>
              </w:rPr>
            </w:pPr>
          </w:p>
        </w:tc>
        <w:tc>
          <w:tcPr>
            <w:tcW w:w="1676" w:type="dxa"/>
            <w:tcBorders>
              <w:top w:val="nil"/>
              <w:left w:val="nil"/>
              <w:bottom w:val="nil"/>
              <w:right w:val="nil"/>
            </w:tcBorders>
          </w:tcPr>
          <w:p w14:paraId="69E1108A" w14:textId="77777777" w:rsidR="00F753E8" w:rsidRPr="008B22B4" w:rsidRDefault="00F753E8" w:rsidP="006E1769">
            <w:pPr>
              <w:jc w:val="right"/>
              <w:rPr>
                <w:rFonts w:ascii="Arial" w:hAnsi="Arial" w:cs="Arial"/>
                <w:b/>
                <w:bCs/>
                <w:color w:val="000000"/>
                <w:sz w:val="22"/>
                <w:szCs w:val="22"/>
              </w:rPr>
            </w:pPr>
            <w:r w:rsidRPr="008B22B4">
              <w:rPr>
                <w:rFonts w:ascii="Arial" w:hAnsi="Arial" w:cs="Arial"/>
                <w:b/>
                <w:bCs/>
                <w:color w:val="000000"/>
                <w:sz w:val="22"/>
                <w:szCs w:val="22"/>
              </w:rPr>
              <w:t>113</w:t>
            </w:r>
          </w:p>
        </w:tc>
      </w:tr>
      <w:tr w:rsidR="00F753E8" w:rsidRPr="00B64150" w14:paraId="6AADA873" w14:textId="77777777" w:rsidTr="006E1769">
        <w:trPr>
          <w:trHeight w:val="172"/>
          <w:jc w:val="center"/>
        </w:trPr>
        <w:tc>
          <w:tcPr>
            <w:tcW w:w="5132" w:type="dxa"/>
            <w:tcBorders>
              <w:top w:val="nil"/>
              <w:left w:val="nil"/>
              <w:bottom w:val="nil"/>
              <w:right w:val="nil"/>
            </w:tcBorders>
            <w:vAlign w:val="bottom"/>
          </w:tcPr>
          <w:p w14:paraId="2EE38F9C" w14:textId="77777777" w:rsidR="00F753E8" w:rsidRPr="008A0A4E" w:rsidRDefault="00F753E8" w:rsidP="006E1769">
            <w:pPr>
              <w:ind w:left="751"/>
              <w:rPr>
                <w:rFonts w:ascii="Arial" w:hAnsi="Arial" w:cs="Arial"/>
                <w:b/>
                <w:bCs/>
                <w:color w:val="000000"/>
                <w:sz w:val="22"/>
                <w:szCs w:val="22"/>
              </w:rPr>
            </w:pPr>
            <w:r w:rsidRPr="008A0A4E">
              <w:rPr>
                <w:rFonts w:ascii="Arial" w:hAnsi="Arial" w:cs="Arial"/>
                <w:b/>
                <w:bCs/>
                <w:color w:val="000000"/>
                <w:sz w:val="22"/>
                <w:szCs w:val="22"/>
              </w:rPr>
              <w:t>Total Cash</w:t>
            </w:r>
          </w:p>
        </w:tc>
        <w:tc>
          <w:tcPr>
            <w:tcW w:w="712" w:type="dxa"/>
            <w:tcBorders>
              <w:top w:val="nil"/>
              <w:left w:val="nil"/>
              <w:bottom w:val="nil"/>
              <w:right w:val="nil"/>
            </w:tcBorders>
            <w:noWrap/>
            <w:vAlign w:val="bottom"/>
          </w:tcPr>
          <w:p w14:paraId="6B090E0A" w14:textId="77777777" w:rsidR="00F753E8" w:rsidRPr="008A0A4E" w:rsidRDefault="00F753E8" w:rsidP="006E1769">
            <w:pPr>
              <w:jc w:val="right"/>
              <w:rPr>
                <w:rFonts w:ascii="Arial" w:hAnsi="Arial" w:cs="Arial"/>
                <w:color w:val="000000"/>
                <w:sz w:val="22"/>
                <w:szCs w:val="22"/>
              </w:rPr>
            </w:pPr>
          </w:p>
        </w:tc>
        <w:tc>
          <w:tcPr>
            <w:tcW w:w="1191" w:type="dxa"/>
            <w:tcBorders>
              <w:top w:val="single" w:sz="8" w:space="0" w:color="auto"/>
              <w:left w:val="nil"/>
              <w:bottom w:val="double" w:sz="6" w:space="0" w:color="auto"/>
              <w:right w:val="nil"/>
            </w:tcBorders>
            <w:vAlign w:val="center"/>
          </w:tcPr>
          <w:p w14:paraId="556C8294" w14:textId="77777777" w:rsidR="00F753E8" w:rsidRPr="00450152" w:rsidRDefault="00F753E8" w:rsidP="006E1769">
            <w:pPr>
              <w:jc w:val="right"/>
              <w:rPr>
                <w:rFonts w:ascii="Arial" w:hAnsi="Arial" w:cs="Arial"/>
                <w:color w:val="000000"/>
                <w:sz w:val="22"/>
                <w:szCs w:val="22"/>
              </w:rPr>
            </w:pPr>
            <w:r w:rsidRPr="00450152">
              <w:rPr>
                <w:rFonts w:ascii="Arial" w:hAnsi="Arial" w:cs="Arial"/>
                <w:color w:val="000000"/>
                <w:sz w:val="22"/>
                <w:szCs w:val="22"/>
              </w:rPr>
              <w:t>14,365</w:t>
            </w:r>
          </w:p>
        </w:tc>
        <w:tc>
          <w:tcPr>
            <w:tcW w:w="595" w:type="dxa"/>
            <w:tcBorders>
              <w:top w:val="nil"/>
              <w:left w:val="nil"/>
              <w:bottom w:val="nil"/>
              <w:right w:val="nil"/>
            </w:tcBorders>
            <w:vAlign w:val="bottom"/>
          </w:tcPr>
          <w:p w14:paraId="3EDA45CD" w14:textId="77777777" w:rsidR="00F753E8" w:rsidRPr="008A0A4E" w:rsidRDefault="00F753E8" w:rsidP="006E1769">
            <w:pPr>
              <w:jc w:val="right"/>
              <w:rPr>
                <w:rFonts w:ascii="Arial" w:hAnsi="Arial" w:cs="Arial"/>
                <w:color w:val="000000"/>
                <w:sz w:val="22"/>
                <w:szCs w:val="22"/>
              </w:rPr>
            </w:pPr>
          </w:p>
        </w:tc>
        <w:tc>
          <w:tcPr>
            <w:tcW w:w="1676" w:type="dxa"/>
            <w:tcBorders>
              <w:top w:val="single" w:sz="8" w:space="0" w:color="auto"/>
              <w:left w:val="nil"/>
              <w:bottom w:val="double" w:sz="6" w:space="0" w:color="auto"/>
              <w:right w:val="nil"/>
            </w:tcBorders>
          </w:tcPr>
          <w:p w14:paraId="56B4A1BD" w14:textId="77777777" w:rsidR="00F753E8" w:rsidRPr="008B22B4" w:rsidRDefault="00F753E8" w:rsidP="006E1769">
            <w:pPr>
              <w:jc w:val="right"/>
              <w:rPr>
                <w:rFonts w:ascii="Arial" w:hAnsi="Arial" w:cs="Arial"/>
                <w:b/>
                <w:bCs/>
                <w:color w:val="000000"/>
                <w:sz w:val="22"/>
                <w:szCs w:val="22"/>
              </w:rPr>
            </w:pPr>
            <w:r w:rsidRPr="008B22B4">
              <w:rPr>
                <w:rFonts w:ascii="Arial" w:hAnsi="Arial" w:cs="Arial"/>
                <w:b/>
                <w:bCs/>
                <w:color w:val="000000"/>
                <w:sz w:val="22"/>
                <w:szCs w:val="22"/>
              </w:rPr>
              <w:t xml:space="preserve"> 13,816 </w:t>
            </w:r>
          </w:p>
        </w:tc>
      </w:tr>
    </w:tbl>
    <w:p w14:paraId="232426FC" w14:textId="77777777" w:rsidR="00F753E8" w:rsidRPr="008A0A4E" w:rsidRDefault="00F753E8" w:rsidP="00F753E8">
      <w:pPr>
        <w:pStyle w:val="ListParagraph"/>
        <w:tabs>
          <w:tab w:val="left" w:pos="426"/>
        </w:tabs>
        <w:ind w:left="502"/>
        <w:jc w:val="both"/>
        <w:rPr>
          <w:rFonts w:ascii="Arial" w:hAnsi="Arial" w:cs="Arial"/>
          <w:b/>
        </w:rPr>
      </w:pPr>
    </w:p>
    <w:p w14:paraId="3CF857E8" w14:textId="77777777" w:rsidR="00F753E8" w:rsidRPr="008A0A4E" w:rsidRDefault="00F753E8" w:rsidP="007337FE">
      <w:pPr>
        <w:pStyle w:val="ListParagraph"/>
        <w:numPr>
          <w:ilvl w:val="0"/>
          <w:numId w:val="90"/>
        </w:numPr>
        <w:tabs>
          <w:tab w:val="left" w:pos="426"/>
        </w:tabs>
        <w:ind w:left="502"/>
        <w:jc w:val="both"/>
        <w:rPr>
          <w:rFonts w:ascii="Arial" w:hAnsi="Arial" w:cs="Arial"/>
          <w:b/>
        </w:rPr>
      </w:pPr>
      <w:r w:rsidRPr="008A0A4E">
        <w:rPr>
          <w:rFonts w:ascii="Arial" w:hAnsi="Arial" w:cs="Arial"/>
          <w:b/>
        </w:rPr>
        <w:t>Securities</w:t>
      </w:r>
    </w:p>
    <w:tbl>
      <w:tblPr>
        <w:tblW w:w="9421" w:type="dxa"/>
        <w:jc w:val="center"/>
        <w:tblLook w:val="04A0" w:firstRow="1" w:lastRow="0" w:firstColumn="1" w:lastColumn="0" w:noHBand="0" w:noVBand="1"/>
      </w:tblPr>
      <w:tblGrid>
        <w:gridCol w:w="5871"/>
        <w:gridCol w:w="1323"/>
        <w:gridCol w:w="564"/>
        <w:gridCol w:w="1663"/>
      </w:tblGrid>
      <w:tr w:rsidR="00F753E8" w:rsidRPr="00B64150" w14:paraId="56A21FFB"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1E512844" w14:textId="77777777" w:rsidR="00F753E8" w:rsidRPr="008A0A4E" w:rsidRDefault="00F753E8" w:rsidP="006E1769">
            <w:pPr>
              <w:rPr>
                <w:rFonts w:ascii="Arial" w:hAnsi="Arial" w:cs="Arial"/>
                <w:color w:val="000000"/>
                <w:sz w:val="22"/>
                <w:szCs w:val="22"/>
              </w:rPr>
            </w:pPr>
          </w:p>
        </w:tc>
        <w:tc>
          <w:tcPr>
            <w:tcW w:w="1323" w:type="dxa"/>
            <w:tcBorders>
              <w:top w:val="nil"/>
              <w:left w:val="nil"/>
              <w:bottom w:val="nil"/>
              <w:right w:val="nil"/>
            </w:tcBorders>
            <w:shd w:val="clear" w:color="000000" w:fill="FFFFFF"/>
            <w:vAlign w:val="center"/>
          </w:tcPr>
          <w:p w14:paraId="2A826909" w14:textId="77777777" w:rsidR="00F753E8" w:rsidRPr="008A0A4E" w:rsidRDefault="00F753E8" w:rsidP="006E1769">
            <w:pPr>
              <w:jc w:val="center"/>
              <w:rPr>
                <w:rFonts w:ascii="Arial" w:hAnsi="Arial" w:cs="Arial"/>
                <w:bCs/>
                <w:color w:val="000000"/>
                <w:sz w:val="22"/>
                <w:szCs w:val="22"/>
              </w:rPr>
            </w:pPr>
            <w:r>
              <w:rPr>
                <w:rFonts w:ascii="Arial" w:hAnsi="Arial" w:cs="Arial"/>
                <w:bCs/>
                <w:color w:val="000000"/>
                <w:sz w:val="22"/>
                <w:szCs w:val="22"/>
              </w:rPr>
              <w:t>2020/21</w:t>
            </w:r>
          </w:p>
        </w:tc>
        <w:tc>
          <w:tcPr>
            <w:tcW w:w="564" w:type="dxa"/>
            <w:tcBorders>
              <w:top w:val="nil"/>
              <w:left w:val="nil"/>
              <w:bottom w:val="nil"/>
              <w:right w:val="nil"/>
            </w:tcBorders>
            <w:shd w:val="clear" w:color="000000" w:fill="FFFFFF"/>
            <w:noWrap/>
            <w:vAlign w:val="center"/>
            <w:hideMark/>
          </w:tcPr>
          <w:p w14:paraId="680437D0" w14:textId="77777777" w:rsidR="00F753E8" w:rsidRPr="008A0A4E" w:rsidRDefault="00F753E8" w:rsidP="006E1769">
            <w:pPr>
              <w:rPr>
                <w:rFonts w:ascii="Arial" w:hAnsi="Arial" w:cs="Arial"/>
                <w:color w:val="000000"/>
                <w:sz w:val="22"/>
                <w:szCs w:val="22"/>
              </w:rPr>
            </w:pPr>
          </w:p>
        </w:tc>
        <w:tc>
          <w:tcPr>
            <w:tcW w:w="1663" w:type="dxa"/>
            <w:tcBorders>
              <w:top w:val="nil"/>
              <w:left w:val="nil"/>
              <w:bottom w:val="nil"/>
              <w:right w:val="nil"/>
            </w:tcBorders>
            <w:shd w:val="clear" w:color="000000" w:fill="FFFFFF"/>
            <w:vAlign w:val="bottom"/>
            <w:hideMark/>
          </w:tcPr>
          <w:p w14:paraId="04DE1396" w14:textId="77777777" w:rsidR="00F753E8" w:rsidRPr="008A0A4E" w:rsidRDefault="00F753E8" w:rsidP="006E1769">
            <w:pPr>
              <w:jc w:val="center"/>
              <w:rPr>
                <w:rFonts w:ascii="Arial" w:hAnsi="Arial" w:cs="Arial"/>
                <w:b/>
                <w:bCs/>
                <w:color w:val="000000"/>
                <w:sz w:val="22"/>
                <w:szCs w:val="22"/>
              </w:rPr>
            </w:pPr>
            <w:r>
              <w:rPr>
                <w:rFonts w:ascii="Arial" w:hAnsi="Arial" w:cs="Arial"/>
                <w:b/>
                <w:bCs/>
                <w:color w:val="000000"/>
                <w:sz w:val="22"/>
                <w:szCs w:val="22"/>
              </w:rPr>
              <w:t>2021/22</w:t>
            </w:r>
          </w:p>
        </w:tc>
      </w:tr>
      <w:tr w:rsidR="00F753E8" w:rsidRPr="00B64150" w14:paraId="6417E9FE"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24B1CCC2" w14:textId="77777777" w:rsidR="00F753E8" w:rsidRPr="008A0A4E" w:rsidRDefault="00F753E8" w:rsidP="006E1769">
            <w:pPr>
              <w:rPr>
                <w:rFonts w:ascii="Arial" w:hAnsi="Arial" w:cs="Arial"/>
                <w:color w:val="000000"/>
                <w:sz w:val="22"/>
                <w:szCs w:val="22"/>
              </w:rPr>
            </w:pPr>
            <w:r w:rsidRPr="008A0A4E">
              <w:rPr>
                <w:rFonts w:ascii="Arial" w:hAnsi="Arial" w:cs="Arial"/>
                <w:b/>
                <w:bCs/>
                <w:color w:val="000000"/>
                <w:sz w:val="22"/>
                <w:szCs w:val="22"/>
              </w:rPr>
              <w:t>Investment Assets</w:t>
            </w:r>
          </w:p>
        </w:tc>
        <w:tc>
          <w:tcPr>
            <w:tcW w:w="1323" w:type="dxa"/>
            <w:tcBorders>
              <w:top w:val="nil"/>
              <w:left w:val="nil"/>
              <w:bottom w:val="nil"/>
              <w:right w:val="nil"/>
            </w:tcBorders>
            <w:shd w:val="clear" w:color="000000" w:fill="FFFFFF"/>
            <w:vAlign w:val="bottom"/>
          </w:tcPr>
          <w:p w14:paraId="5408E985"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£000's</w:t>
            </w:r>
          </w:p>
        </w:tc>
        <w:tc>
          <w:tcPr>
            <w:tcW w:w="564" w:type="dxa"/>
            <w:tcBorders>
              <w:top w:val="nil"/>
              <w:left w:val="nil"/>
              <w:bottom w:val="nil"/>
              <w:right w:val="nil"/>
            </w:tcBorders>
            <w:shd w:val="clear" w:color="000000" w:fill="FFFFFF"/>
            <w:noWrap/>
            <w:vAlign w:val="bottom"/>
            <w:hideMark/>
          </w:tcPr>
          <w:p w14:paraId="74F3723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vAlign w:val="bottom"/>
            <w:hideMark/>
          </w:tcPr>
          <w:p w14:paraId="3A72E069"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£000's</w:t>
            </w:r>
          </w:p>
        </w:tc>
      </w:tr>
      <w:tr w:rsidR="00F753E8" w:rsidRPr="00B64150" w14:paraId="0D8DEE47"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0478AAEA"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Pooled funds - UK</w:t>
            </w:r>
          </w:p>
        </w:tc>
        <w:tc>
          <w:tcPr>
            <w:tcW w:w="1323" w:type="dxa"/>
            <w:tcBorders>
              <w:top w:val="nil"/>
              <w:left w:val="nil"/>
              <w:bottom w:val="nil"/>
              <w:right w:val="nil"/>
            </w:tcBorders>
            <w:shd w:val="clear" w:color="000000" w:fill="FFFFFF"/>
            <w:vAlign w:val="bottom"/>
          </w:tcPr>
          <w:p w14:paraId="24418D3B" w14:textId="77777777" w:rsidR="00F753E8" w:rsidRPr="008A0A4E" w:rsidRDefault="00F753E8" w:rsidP="006E1769">
            <w:pPr>
              <w:rPr>
                <w:rFonts w:ascii="Arial" w:hAnsi="Arial" w:cs="Arial"/>
                <w:color w:val="000000"/>
                <w:sz w:val="22"/>
                <w:szCs w:val="22"/>
              </w:rPr>
            </w:pPr>
          </w:p>
        </w:tc>
        <w:tc>
          <w:tcPr>
            <w:tcW w:w="564" w:type="dxa"/>
            <w:tcBorders>
              <w:top w:val="nil"/>
              <w:left w:val="nil"/>
              <w:bottom w:val="nil"/>
              <w:right w:val="nil"/>
            </w:tcBorders>
            <w:shd w:val="clear" w:color="000000" w:fill="FFFFFF"/>
            <w:noWrap/>
            <w:vAlign w:val="bottom"/>
            <w:hideMark/>
          </w:tcPr>
          <w:p w14:paraId="01D3C915"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vAlign w:val="bottom"/>
            <w:hideMark/>
          </w:tcPr>
          <w:p w14:paraId="34D5EA65" w14:textId="77777777" w:rsidR="00F753E8" w:rsidRPr="008A0A4E" w:rsidRDefault="00F753E8" w:rsidP="006E1769">
            <w:pPr>
              <w:rPr>
                <w:rFonts w:ascii="Arial" w:hAnsi="Arial" w:cs="Arial"/>
                <w:color w:val="000000"/>
                <w:sz w:val="22"/>
                <w:szCs w:val="22"/>
              </w:rPr>
            </w:pPr>
          </w:p>
        </w:tc>
      </w:tr>
      <w:tr w:rsidR="00F753E8" w:rsidRPr="00B64150" w14:paraId="4D60087F"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18FACC26"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UK fixed Income Unit Trust</w:t>
            </w:r>
          </w:p>
        </w:tc>
        <w:tc>
          <w:tcPr>
            <w:tcW w:w="1323" w:type="dxa"/>
            <w:tcBorders>
              <w:top w:val="nil"/>
              <w:left w:val="nil"/>
              <w:bottom w:val="nil"/>
              <w:right w:val="nil"/>
            </w:tcBorders>
            <w:shd w:val="clear" w:color="000000" w:fill="FFFFFF"/>
            <w:vAlign w:val="center"/>
          </w:tcPr>
          <w:p w14:paraId="687683AD"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38,766</w:t>
            </w:r>
          </w:p>
        </w:tc>
        <w:tc>
          <w:tcPr>
            <w:tcW w:w="564" w:type="dxa"/>
            <w:tcBorders>
              <w:top w:val="nil"/>
              <w:left w:val="nil"/>
              <w:bottom w:val="nil"/>
              <w:right w:val="nil"/>
            </w:tcBorders>
            <w:shd w:val="clear" w:color="000000" w:fill="FFFFFF"/>
            <w:noWrap/>
            <w:vAlign w:val="bottom"/>
            <w:hideMark/>
          </w:tcPr>
          <w:p w14:paraId="25A674B1"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7DD772E7"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36,808 </w:t>
            </w:r>
          </w:p>
        </w:tc>
      </w:tr>
      <w:tr w:rsidR="00F753E8" w:rsidRPr="00B64150" w14:paraId="2FD86005"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7832BE49"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UK Equity Unit Trust</w:t>
            </w:r>
          </w:p>
        </w:tc>
        <w:tc>
          <w:tcPr>
            <w:tcW w:w="1323" w:type="dxa"/>
            <w:tcBorders>
              <w:top w:val="nil"/>
              <w:left w:val="nil"/>
              <w:bottom w:val="nil"/>
              <w:right w:val="nil"/>
            </w:tcBorders>
            <w:shd w:val="clear" w:color="000000" w:fill="FFFFFF"/>
            <w:vAlign w:val="center"/>
          </w:tcPr>
          <w:p w14:paraId="4DBAE1AB"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558,089</w:t>
            </w:r>
          </w:p>
        </w:tc>
        <w:tc>
          <w:tcPr>
            <w:tcW w:w="564" w:type="dxa"/>
            <w:tcBorders>
              <w:top w:val="nil"/>
              <w:left w:val="nil"/>
              <w:bottom w:val="nil"/>
              <w:right w:val="nil"/>
            </w:tcBorders>
            <w:shd w:val="clear" w:color="000000" w:fill="FFFFFF"/>
            <w:noWrap/>
            <w:vAlign w:val="bottom"/>
            <w:hideMark/>
          </w:tcPr>
          <w:p w14:paraId="15702D5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0B895D99"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566,755 </w:t>
            </w:r>
          </w:p>
        </w:tc>
      </w:tr>
      <w:tr w:rsidR="00F753E8" w:rsidRPr="00B64150" w14:paraId="1644236E"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1AE86474"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UK Absolute Return</w:t>
            </w:r>
          </w:p>
        </w:tc>
        <w:tc>
          <w:tcPr>
            <w:tcW w:w="1323" w:type="dxa"/>
            <w:tcBorders>
              <w:top w:val="nil"/>
              <w:left w:val="nil"/>
              <w:bottom w:val="nil"/>
              <w:right w:val="nil"/>
            </w:tcBorders>
            <w:shd w:val="clear" w:color="000000" w:fill="FFFFFF"/>
            <w:vAlign w:val="center"/>
          </w:tcPr>
          <w:p w14:paraId="6062784D"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190,450</w:t>
            </w:r>
          </w:p>
        </w:tc>
        <w:tc>
          <w:tcPr>
            <w:tcW w:w="564" w:type="dxa"/>
            <w:tcBorders>
              <w:top w:val="nil"/>
              <w:left w:val="nil"/>
              <w:bottom w:val="nil"/>
              <w:right w:val="nil"/>
            </w:tcBorders>
            <w:shd w:val="clear" w:color="000000" w:fill="FFFFFF"/>
            <w:noWrap/>
            <w:vAlign w:val="bottom"/>
            <w:hideMark/>
          </w:tcPr>
          <w:p w14:paraId="3CAE0AB9"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7BDE327F"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196,336 </w:t>
            </w:r>
          </w:p>
        </w:tc>
      </w:tr>
      <w:tr w:rsidR="00F753E8" w:rsidRPr="00B64150" w14:paraId="161A712B"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4F0FFF03"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UK Property Unit Trust</w:t>
            </w:r>
          </w:p>
        </w:tc>
        <w:tc>
          <w:tcPr>
            <w:tcW w:w="1323" w:type="dxa"/>
            <w:tcBorders>
              <w:top w:val="nil"/>
              <w:left w:val="nil"/>
              <w:bottom w:val="nil"/>
              <w:right w:val="nil"/>
            </w:tcBorders>
            <w:shd w:val="clear" w:color="000000" w:fill="FFFFFF"/>
            <w:vAlign w:val="center"/>
          </w:tcPr>
          <w:p w14:paraId="33B6FDF1"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22,898</w:t>
            </w:r>
          </w:p>
        </w:tc>
        <w:tc>
          <w:tcPr>
            <w:tcW w:w="564" w:type="dxa"/>
            <w:tcBorders>
              <w:top w:val="nil"/>
              <w:left w:val="nil"/>
              <w:bottom w:val="nil"/>
              <w:right w:val="nil"/>
            </w:tcBorders>
            <w:shd w:val="clear" w:color="000000" w:fill="FFFFFF"/>
            <w:noWrap/>
            <w:vAlign w:val="bottom"/>
            <w:hideMark/>
          </w:tcPr>
          <w:p w14:paraId="0E38D6F4"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359AFE4C"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3,056 </w:t>
            </w:r>
          </w:p>
        </w:tc>
      </w:tr>
      <w:tr w:rsidR="00F753E8" w:rsidRPr="00B64150" w14:paraId="5622554C" w14:textId="77777777" w:rsidTr="006E1769">
        <w:trPr>
          <w:trHeight w:val="238"/>
          <w:jc w:val="center"/>
        </w:trPr>
        <w:tc>
          <w:tcPr>
            <w:tcW w:w="5871" w:type="dxa"/>
            <w:tcBorders>
              <w:top w:val="nil"/>
              <w:left w:val="nil"/>
              <w:bottom w:val="nil"/>
              <w:right w:val="nil"/>
            </w:tcBorders>
            <w:shd w:val="clear" w:color="000000" w:fill="FFFFFF"/>
            <w:noWrap/>
            <w:vAlign w:val="bottom"/>
          </w:tcPr>
          <w:p w14:paraId="0F744402" w14:textId="77777777" w:rsidR="00F753E8" w:rsidRPr="008A0A4E" w:rsidRDefault="00F753E8" w:rsidP="006E1769">
            <w:pPr>
              <w:rPr>
                <w:rFonts w:ascii="Arial" w:hAnsi="Arial" w:cs="Arial"/>
                <w:color w:val="000000"/>
                <w:sz w:val="22"/>
                <w:szCs w:val="22"/>
              </w:rPr>
            </w:pPr>
          </w:p>
        </w:tc>
        <w:tc>
          <w:tcPr>
            <w:tcW w:w="1323" w:type="dxa"/>
            <w:tcBorders>
              <w:top w:val="nil"/>
              <w:left w:val="nil"/>
              <w:bottom w:val="nil"/>
              <w:right w:val="nil"/>
            </w:tcBorders>
            <w:shd w:val="clear" w:color="000000" w:fill="FFFFFF"/>
            <w:vAlign w:val="center"/>
          </w:tcPr>
          <w:p w14:paraId="7A61BBD7" w14:textId="77777777" w:rsidR="00F753E8" w:rsidRPr="000C5935" w:rsidRDefault="00F753E8" w:rsidP="006E1769">
            <w:pPr>
              <w:jc w:val="right"/>
              <w:rPr>
                <w:rFonts w:ascii="Arial" w:hAnsi="Arial" w:cs="Arial"/>
                <w:color w:val="000000"/>
                <w:sz w:val="22"/>
                <w:szCs w:val="22"/>
              </w:rPr>
            </w:pPr>
          </w:p>
        </w:tc>
        <w:tc>
          <w:tcPr>
            <w:tcW w:w="564" w:type="dxa"/>
            <w:tcBorders>
              <w:top w:val="nil"/>
              <w:left w:val="nil"/>
              <w:bottom w:val="nil"/>
              <w:right w:val="nil"/>
            </w:tcBorders>
            <w:shd w:val="clear" w:color="000000" w:fill="FFFFFF"/>
            <w:noWrap/>
            <w:vAlign w:val="bottom"/>
          </w:tcPr>
          <w:p w14:paraId="12703360" w14:textId="77777777" w:rsidR="00F753E8" w:rsidRPr="008A0A4E" w:rsidRDefault="00F753E8" w:rsidP="006E1769">
            <w:pPr>
              <w:rPr>
                <w:rFonts w:ascii="Arial" w:hAnsi="Arial" w:cs="Arial"/>
                <w:color w:val="000000"/>
                <w:sz w:val="22"/>
                <w:szCs w:val="22"/>
              </w:rPr>
            </w:pPr>
          </w:p>
        </w:tc>
        <w:tc>
          <w:tcPr>
            <w:tcW w:w="1663" w:type="dxa"/>
            <w:tcBorders>
              <w:top w:val="nil"/>
              <w:left w:val="nil"/>
              <w:bottom w:val="nil"/>
              <w:right w:val="nil"/>
            </w:tcBorders>
            <w:shd w:val="clear" w:color="000000" w:fill="FFFFFF"/>
            <w:noWrap/>
            <w:vAlign w:val="center"/>
          </w:tcPr>
          <w:p w14:paraId="756F9E8C" w14:textId="77777777" w:rsidR="00F753E8" w:rsidRPr="00E40BE3" w:rsidRDefault="00F753E8" w:rsidP="006E1769">
            <w:pPr>
              <w:jc w:val="right"/>
              <w:rPr>
                <w:rFonts w:ascii="Arial" w:hAnsi="Arial" w:cs="Arial"/>
                <w:b/>
                <w:bCs/>
                <w:color w:val="000000"/>
                <w:sz w:val="22"/>
                <w:szCs w:val="22"/>
              </w:rPr>
            </w:pPr>
          </w:p>
        </w:tc>
      </w:tr>
      <w:tr w:rsidR="00F753E8" w:rsidRPr="00B64150" w14:paraId="6671EAF8"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7E2F28E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323" w:type="dxa"/>
            <w:tcBorders>
              <w:top w:val="nil"/>
              <w:left w:val="nil"/>
              <w:bottom w:val="nil"/>
              <w:right w:val="nil"/>
            </w:tcBorders>
            <w:shd w:val="clear" w:color="000000" w:fill="FFFFFF"/>
          </w:tcPr>
          <w:p w14:paraId="72426157" w14:textId="77777777" w:rsidR="00F753E8" w:rsidRPr="000C5935" w:rsidRDefault="00F753E8" w:rsidP="006E1769">
            <w:pPr>
              <w:rPr>
                <w:rFonts w:ascii="Arial" w:hAnsi="Arial" w:cs="Arial"/>
                <w:color w:val="000000"/>
                <w:sz w:val="22"/>
                <w:szCs w:val="22"/>
              </w:rPr>
            </w:pPr>
          </w:p>
        </w:tc>
        <w:tc>
          <w:tcPr>
            <w:tcW w:w="564" w:type="dxa"/>
            <w:tcBorders>
              <w:top w:val="nil"/>
              <w:left w:val="nil"/>
              <w:bottom w:val="nil"/>
              <w:right w:val="nil"/>
            </w:tcBorders>
            <w:shd w:val="clear" w:color="000000" w:fill="FFFFFF"/>
            <w:noWrap/>
            <w:vAlign w:val="bottom"/>
            <w:hideMark/>
          </w:tcPr>
          <w:p w14:paraId="779D4502"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676D480C" w14:textId="77777777" w:rsidR="00F753E8" w:rsidRPr="00E40BE3" w:rsidRDefault="00F753E8" w:rsidP="006E1769">
            <w:pPr>
              <w:jc w:val="right"/>
              <w:rPr>
                <w:rFonts w:ascii="Arial" w:hAnsi="Arial" w:cs="Arial"/>
                <w:b/>
                <w:bCs/>
                <w:color w:val="000000"/>
                <w:sz w:val="22"/>
                <w:szCs w:val="22"/>
              </w:rPr>
            </w:pPr>
          </w:p>
        </w:tc>
      </w:tr>
      <w:tr w:rsidR="00F753E8" w:rsidRPr="00B64150" w14:paraId="7B33AA4A"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3B501A8A"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Pooled funds - Overseas</w:t>
            </w:r>
          </w:p>
        </w:tc>
        <w:tc>
          <w:tcPr>
            <w:tcW w:w="1323" w:type="dxa"/>
            <w:tcBorders>
              <w:top w:val="nil"/>
              <w:left w:val="nil"/>
              <w:bottom w:val="nil"/>
              <w:right w:val="nil"/>
            </w:tcBorders>
            <w:shd w:val="clear" w:color="000000" w:fill="FFFFFF"/>
          </w:tcPr>
          <w:p w14:paraId="0B16EFEF" w14:textId="77777777" w:rsidR="00F753E8" w:rsidRPr="000C5935" w:rsidRDefault="00F753E8" w:rsidP="006E1769">
            <w:pPr>
              <w:rPr>
                <w:rFonts w:ascii="Arial" w:hAnsi="Arial" w:cs="Arial"/>
                <w:color w:val="000000"/>
                <w:sz w:val="22"/>
                <w:szCs w:val="22"/>
              </w:rPr>
            </w:pPr>
          </w:p>
        </w:tc>
        <w:tc>
          <w:tcPr>
            <w:tcW w:w="564" w:type="dxa"/>
            <w:tcBorders>
              <w:top w:val="nil"/>
              <w:left w:val="nil"/>
              <w:bottom w:val="nil"/>
              <w:right w:val="nil"/>
            </w:tcBorders>
            <w:shd w:val="clear" w:color="000000" w:fill="FFFFFF"/>
            <w:noWrap/>
            <w:vAlign w:val="bottom"/>
            <w:hideMark/>
          </w:tcPr>
          <w:p w14:paraId="09FF6876"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26573908" w14:textId="77777777" w:rsidR="00F753E8" w:rsidRPr="00E40BE3" w:rsidRDefault="00F753E8" w:rsidP="006E1769">
            <w:pPr>
              <w:jc w:val="right"/>
              <w:rPr>
                <w:rFonts w:ascii="Arial" w:hAnsi="Arial" w:cs="Arial"/>
                <w:b/>
                <w:bCs/>
                <w:color w:val="000000"/>
                <w:sz w:val="22"/>
                <w:szCs w:val="22"/>
              </w:rPr>
            </w:pPr>
          </w:p>
        </w:tc>
      </w:tr>
      <w:tr w:rsidR="00F753E8" w:rsidRPr="00B64150" w14:paraId="1BA51951"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0818D68B"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Overseas Fixed Income Unit Trust</w:t>
            </w:r>
          </w:p>
        </w:tc>
        <w:tc>
          <w:tcPr>
            <w:tcW w:w="1323" w:type="dxa"/>
            <w:tcBorders>
              <w:top w:val="nil"/>
              <w:left w:val="nil"/>
              <w:bottom w:val="nil"/>
              <w:right w:val="nil"/>
            </w:tcBorders>
            <w:shd w:val="clear" w:color="000000" w:fill="FFFFFF"/>
            <w:vAlign w:val="center"/>
          </w:tcPr>
          <w:p w14:paraId="3BEB3723"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71,878</w:t>
            </w:r>
          </w:p>
        </w:tc>
        <w:tc>
          <w:tcPr>
            <w:tcW w:w="564" w:type="dxa"/>
            <w:tcBorders>
              <w:top w:val="nil"/>
              <w:left w:val="nil"/>
              <w:bottom w:val="nil"/>
              <w:right w:val="nil"/>
            </w:tcBorders>
            <w:shd w:val="clear" w:color="000000" w:fill="FFFFFF"/>
            <w:noWrap/>
            <w:vAlign w:val="bottom"/>
            <w:hideMark/>
          </w:tcPr>
          <w:p w14:paraId="49AF0CBC"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5B886C06"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76,556 </w:t>
            </w:r>
          </w:p>
        </w:tc>
      </w:tr>
      <w:tr w:rsidR="00F753E8" w:rsidRPr="00B64150" w14:paraId="42C3220D"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27C90AEC"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Overseas Equity Unit Trust</w:t>
            </w:r>
          </w:p>
        </w:tc>
        <w:tc>
          <w:tcPr>
            <w:tcW w:w="1323" w:type="dxa"/>
            <w:tcBorders>
              <w:top w:val="nil"/>
              <w:left w:val="nil"/>
              <w:bottom w:val="nil"/>
              <w:right w:val="nil"/>
            </w:tcBorders>
            <w:shd w:val="clear" w:color="000000" w:fill="FFFFFF"/>
            <w:vAlign w:val="center"/>
          </w:tcPr>
          <w:p w14:paraId="66B4D90C"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195,000</w:t>
            </w:r>
          </w:p>
        </w:tc>
        <w:tc>
          <w:tcPr>
            <w:tcW w:w="564" w:type="dxa"/>
            <w:tcBorders>
              <w:top w:val="nil"/>
              <w:left w:val="nil"/>
              <w:bottom w:val="nil"/>
              <w:right w:val="nil"/>
            </w:tcBorders>
            <w:shd w:val="clear" w:color="000000" w:fill="FFFFFF"/>
            <w:noWrap/>
            <w:vAlign w:val="bottom"/>
            <w:hideMark/>
          </w:tcPr>
          <w:p w14:paraId="42F78EFB"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2E35030F"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206,391 </w:t>
            </w:r>
          </w:p>
        </w:tc>
      </w:tr>
      <w:tr w:rsidR="00F753E8" w:rsidRPr="00B64150" w14:paraId="63F2191A"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52FE3120"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Overseas Property Unit Trust</w:t>
            </w:r>
          </w:p>
        </w:tc>
        <w:tc>
          <w:tcPr>
            <w:tcW w:w="1323" w:type="dxa"/>
            <w:tcBorders>
              <w:top w:val="nil"/>
              <w:left w:val="nil"/>
              <w:bottom w:val="nil"/>
              <w:right w:val="nil"/>
            </w:tcBorders>
            <w:shd w:val="clear" w:color="000000" w:fill="FFFFFF"/>
            <w:vAlign w:val="center"/>
          </w:tcPr>
          <w:p w14:paraId="7CAF81BF"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37,352</w:t>
            </w:r>
          </w:p>
        </w:tc>
        <w:tc>
          <w:tcPr>
            <w:tcW w:w="564" w:type="dxa"/>
            <w:tcBorders>
              <w:top w:val="nil"/>
              <w:left w:val="nil"/>
              <w:bottom w:val="nil"/>
              <w:right w:val="nil"/>
            </w:tcBorders>
            <w:shd w:val="clear" w:color="000000" w:fill="FFFFFF"/>
            <w:noWrap/>
            <w:vAlign w:val="bottom"/>
            <w:hideMark/>
          </w:tcPr>
          <w:p w14:paraId="74117684"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5CFCA927"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59,357 </w:t>
            </w:r>
          </w:p>
        </w:tc>
      </w:tr>
      <w:tr w:rsidR="00F753E8" w:rsidRPr="00B64150" w14:paraId="3DEC0B3D"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59B9F5C7"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323" w:type="dxa"/>
            <w:tcBorders>
              <w:top w:val="nil"/>
              <w:left w:val="nil"/>
              <w:bottom w:val="nil"/>
              <w:right w:val="nil"/>
            </w:tcBorders>
            <w:shd w:val="clear" w:color="000000" w:fill="FFFFFF"/>
          </w:tcPr>
          <w:p w14:paraId="4E16AC62" w14:textId="77777777" w:rsidR="00F753E8" w:rsidRPr="000C5935" w:rsidRDefault="00F753E8" w:rsidP="006E1769">
            <w:pPr>
              <w:rPr>
                <w:rFonts w:ascii="Arial" w:hAnsi="Arial" w:cs="Arial"/>
                <w:color w:val="000000"/>
                <w:sz w:val="22"/>
                <w:szCs w:val="22"/>
              </w:rPr>
            </w:pPr>
          </w:p>
        </w:tc>
        <w:tc>
          <w:tcPr>
            <w:tcW w:w="564" w:type="dxa"/>
            <w:tcBorders>
              <w:top w:val="nil"/>
              <w:left w:val="nil"/>
              <w:bottom w:val="nil"/>
              <w:right w:val="nil"/>
            </w:tcBorders>
            <w:shd w:val="clear" w:color="000000" w:fill="FFFFFF"/>
            <w:noWrap/>
            <w:vAlign w:val="bottom"/>
            <w:hideMark/>
          </w:tcPr>
          <w:p w14:paraId="56E00451"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6B1273A9" w14:textId="77777777" w:rsidR="00F753E8" w:rsidRPr="00E40BE3" w:rsidRDefault="00F753E8" w:rsidP="006E1769">
            <w:pPr>
              <w:jc w:val="right"/>
              <w:rPr>
                <w:rFonts w:ascii="Arial" w:hAnsi="Arial" w:cs="Arial"/>
                <w:b/>
                <w:bCs/>
                <w:color w:val="000000"/>
                <w:sz w:val="22"/>
                <w:szCs w:val="22"/>
              </w:rPr>
            </w:pPr>
          </w:p>
        </w:tc>
      </w:tr>
      <w:tr w:rsidR="00F753E8" w:rsidRPr="00B64150" w14:paraId="14D50B92"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2377EBEB"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Other Investment - Infrastructure</w:t>
            </w:r>
          </w:p>
        </w:tc>
        <w:tc>
          <w:tcPr>
            <w:tcW w:w="1323" w:type="dxa"/>
            <w:tcBorders>
              <w:top w:val="nil"/>
              <w:left w:val="nil"/>
              <w:bottom w:val="nil"/>
              <w:right w:val="nil"/>
            </w:tcBorders>
            <w:shd w:val="clear" w:color="000000" w:fill="FFFFFF"/>
            <w:vAlign w:val="center"/>
          </w:tcPr>
          <w:p w14:paraId="4AA25828"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99,190</w:t>
            </w:r>
          </w:p>
        </w:tc>
        <w:tc>
          <w:tcPr>
            <w:tcW w:w="564" w:type="dxa"/>
            <w:tcBorders>
              <w:top w:val="nil"/>
              <w:left w:val="nil"/>
              <w:bottom w:val="nil"/>
              <w:right w:val="nil"/>
            </w:tcBorders>
            <w:shd w:val="clear" w:color="000000" w:fill="FFFFFF"/>
            <w:noWrap/>
            <w:vAlign w:val="bottom"/>
            <w:hideMark/>
          </w:tcPr>
          <w:p w14:paraId="511CE2CD"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5C35BE5E"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104,150 </w:t>
            </w:r>
          </w:p>
        </w:tc>
      </w:tr>
      <w:tr w:rsidR="00F753E8" w:rsidRPr="00B64150" w14:paraId="6D2AC15B"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4C299756"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Other Investment - Private Equity</w:t>
            </w:r>
          </w:p>
        </w:tc>
        <w:tc>
          <w:tcPr>
            <w:tcW w:w="1323" w:type="dxa"/>
            <w:tcBorders>
              <w:top w:val="nil"/>
              <w:left w:val="nil"/>
              <w:bottom w:val="nil"/>
              <w:right w:val="nil"/>
            </w:tcBorders>
            <w:shd w:val="clear" w:color="000000" w:fill="FFFFFF"/>
            <w:vAlign w:val="center"/>
          </w:tcPr>
          <w:p w14:paraId="729F9A07"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50,645</w:t>
            </w:r>
          </w:p>
        </w:tc>
        <w:tc>
          <w:tcPr>
            <w:tcW w:w="564" w:type="dxa"/>
            <w:tcBorders>
              <w:top w:val="nil"/>
              <w:left w:val="nil"/>
              <w:bottom w:val="nil"/>
              <w:right w:val="nil"/>
            </w:tcBorders>
            <w:shd w:val="clear" w:color="000000" w:fill="FFFFFF"/>
            <w:noWrap/>
            <w:vAlign w:val="bottom"/>
            <w:hideMark/>
          </w:tcPr>
          <w:p w14:paraId="6FE4EBF0"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3C3C3785"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78,842 </w:t>
            </w:r>
          </w:p>
        </w:tc>
      </w:tr>
      <w:tr w:rsidR="00F753E8" w:rsidRPr="00B64150" w14:paraId="5F765BAF"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1C48AA4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Other Investment - Hedge Funds</w:t>
            </w:r>
          </w:p>
        </w:tc>
        <w:tc>
          <w:tcPr>
            <w:tcW w:w="1323" w:type="dxa"/>
            <w:tcBorders>
              <w:top w:val="nil"/>
              <w:left w:val="nil"/>
              <w:bottom w:val="nil"/>
              <w:right w:val="nil"/>
            </w:tcBorders>
            <w:shd w:val="clear" w:color="000000" w:fill="FFFFFF"/>
          </w:tcPr>
          <w:p w14:paraId="2ABA620E"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33,061</w:t>
            </w:r>
          </w:p>
        </w:tc>
        <w:tc>
          <w:tcPr>
            <w:tcW w:w="564" w:type="dxa"/>
            <w:tcBorders>
              <w:top w:val="nil"/>
              <w:left w:val="nil"/>
              <w:bottom w:val="nil"/>
              <w:right w:val="nil"/>
            </w:tcBorders>
            <w:shd w:val="clear" w:color="000000" w:fill="FFFFFF"/>
            <w:noWrap/>
            <w:vAlign w:val="bottom"/>
            <w:hideMark/>
          </w:tcPr>
          <w:p w14:paraId="4B508642"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6B3B5D47"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39,946 </w:t>
            </w:r>
          </w:p>
        </w:tc>
      </w:tr>
      <w:tr w:rsidR="00F753E8" w:rsidRPr="00B64150" w14:paraId="3615C1B1"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5AA8422E"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Other Investment – Tax Recoverable</w:t>
            </w:r>
          </w:p>
        </w:tc>
        <w:tc>
          <w:tcPr>
            <w:tcW w:w="1323" w:type="dxa"/>
            <w:tcBorders>
              <w:top w:val="nil"/>
              <w:left w:val="nil"/>
              <w:bottom w:val="nil"/>
              <w:right w:val="nil"/>
            </w:tcBorders>
            <w:shd w:val="clear" w:color="000000" w:fill="FFFFFF"/>
          </w:tcPr>
          <w:p w14:paraId="03FFD759"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9</w:t>
            </w:r>
          </w:p>
        </w:tc>
        <w:tc>
          <w:tcPr>
            <w:tcW w:w="564" w:type="dxa"/>
            <w:tcBorders>
              <w:top w:val="nil"/>
              <w:left w:val="nil"/>
              <w:bottom w:val="nil"/>
              <w:right w:val="nil"/>
            </w:tcBorders>
            <w:shd w:val="clear" w:color="000000" w:fill="FFFFFF"/>
            <w:noWrap/>
            <w:vAlign w:val="bottom"/>
            <w:hideMark/>
          </w:tcPr>
          <w:p w14:paraId="08F535B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421B8DA5"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sz w:val="22"/>
                <w:szCs w:val="22"/>
              </w:rPr>
              <w:t xml:space="preserve"> 9 </w:t>
            </w:r>
          </w:p>
        </w:tc>
      </w:tr>
      <w:tr w:rsidR="00F753E8" w:rsidRPr="00B64150" w14:paraId="7D0525E5"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7BB47977"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323" w:type="dxa"/>
            <w:tcBorders>
              <w:top w:val="nil"/>
              <w:left w:val="nil"/>
              <w:bottom w:val="nil"/>
              <w:right w:val="nil"/>
            </w:tcBorders>
            <w:shd w:val="clear" w:color="000000" w:fill="FFFFFF"/>
          </w:tcPr>
          <w:p w14:paraId="55A4C616" w14:textId="77777777" w:rsidR="00F753E8" w:rsidRPr="000C5935" w:rsidRDefault="00F753E8" w:rsidP="006E1769">
            <w:pPr>
              <w:rPr>
                <w:rFonts w:ascii="Arial" w:hAnsi="Arial" w:cs="Arial"/>
                <w:color w:val="000000"/>
                <w:sz w:val="22"/>
                <w:szCs w:val="22"/>
              </w:rPr>
            </w:pPr>
          </w:p>
        </w:tc>
        <w:tc>
          <w:tcPr>
            <w:tcW w:w="564" w:type="dxa"/>
            <w:tcBorders>
              <w:top w:val="nil"/>
              <w:left w:val="nil"/>
              <w:bottom w:val="nil"/>
              <w:right w:val="nil"/>
            </w:tcBorders>
            <w:shd w:val="clear" w:color="000000" w:fill="FFFFFF"/>
            <w:noWrap/>
            <w:vAlign w:val="bottom"/>
            <w:hideMark/>
          </w:tcPr>
          <w:p w14:paraId="2D501D93"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tcPr>
          <w:p w14:paraId="758B533C" w14:textId="77777777" w:rsidR="00F753E8" w:rsidRPr="00E40BE3" w:rsidRDefault="00F753E8" w:rsidP="006E1769">
            <w:pPr>
              <w:jc w:val="right"/>
              <w:rPr>
                <w:rFonts w:ascii="Arial" w:hAnsi="Arial" w:cs="Arial"/>
                <w:b/>
                <w:bCs/>
                <w:color w:val="000000"/>
                <w:sz w:val="22"/>
                <w:szCs w:val="22"/>
              </w:rPr>
            </w:pPr>
          </w:p>
        </w:tc>
      </w:tr>
      <w:tr w:rsidR="00F753E8" w:rsidRPr="00B64150" w14:paraId="77038073"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498BC132"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Cash</w:t>
            </w:r>
          </w:p>
        </w:tc>
        <w:tc>
          <w:tcPr>
            <w:tcW w:w="1323" w:type="dxa"/>
            <w:tcBorders>
              <w:top w:val="nil"/>
              <w:left w:val="nil"/>
              <w:right w:val="nil"/>
            </w:tcBorders>
            <w:shd w:val="clear" w:color="000000" w:fill="FFFFFF"/>
          </w:tcPr>
          <w:p w14:paraId="117F7083"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14,365</w:t>
            </w:r>
          </w:p>
        </w:tc>
        <w:tc>
          <w:tcPr>
            <w:tcW w:w="564" w:type="dxa"/>
            <w:tcBorders>
              <w:top w:val="nil"/>
              <w:left w:val="nil"/>
              <w:right w:val="nil"/>
            </w:tcBorders>
            <w:shd w:val="clear" w:color="000000" w:fill="FFFFFF"/>
            <w:noWrap/>
            <w:vAlign w:val="bottom"/>
            <w:hideMark/>
          </w:tcPr>
          <w:p w14:paraId="610C00CB"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right w:val="nil"/>
            </w:tcBorders>
            <w:shd w:val="clear" w:color="000000" w:fill="FFFFFF"/>
            <w:noWrap/>
          </w:tcPr>
          <w:p w14:paraId="24875639"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color w:val="000000"/>
                <w:sz w:val="22"/>
                <w:szCs w:val="22"/>
              </w:rPr>
              <w:t>13,816</w:t>
            </w:r>
          </w:p>
        </w:tc>
      </w:tr>
      <w:tr w:rsidR="00F753E8" w:rsidRPr="00B64150" w14:paraId="13D16621" w14:textId="77777777" w:rsidTr="006E1769">
        <w:trPr>
          <w:trHeight w:val="238"/>
          <w:jc w:val="center"/>
        </w:trPr>
        <w:tc>
          <w:tcPr>
            <w:tcW w:w="5871" w:type="dxa"/>
            <w:tcBorders>
              <w:top w:val="nil"/>
              <w:left w:val="nil"/>
              <w:bottom w:val="nil"/>
              <w:right w:val="nil"/>
            </w:tcBorders>
            <w:shd w:val="clear" w:color="000000" w:fill="FFFFFF"/>
            <w:noWrap/>
            <w:vAlign w:val="bottom"/>
          </w:tcPr>
          <w:p w14:paraId="5C63C160" w14:textId="77777777" w:rsidR="00F753E8" w:rsidRPr="008A0A4E" w:rsidRDefault="00F753E8" w:rsidP="006E1769">
            <w:pPr>
              <w:rPr>
                <w:rFonts w:ascii="Arial" w:hAnsi="Arial" w:cs="Arial"/>
                <w:b/>
                <w:bCs/>
                <w:color w:val="000000"/>
                <w:sz w:val="22"/>
                <w:szCs w:val="22"/>
              </w:rPr>
            </w:pPr>
            <w:r>
              <w:rPr>
                <w:rFonts w:ascii="Arial" w:hAnsi="Arial" w:cs="Arial"/>
                <w:b/>
                <w:bCs/>
                <w:color w:val="000000"/>
                <w:sz w:val="22"/>
                <w:szCs w:val="22"/>
              </w:rPr>
              <w:t>Pending Trade Sales</w:t>
            </w:r>
          </w:p>
        </w:tc>
        <w:tc>
          <w:tcPr>
            <w:tcW w:w="1323" w:type="dxa"/>
            <w:tcBorders>
              <w:top w:val="nil"/>
              <w:left w:val="nil"/>
              <w:right w:val="nil"/>
            </w:tcBorders>
            <w:shd w:val="clear" w:color="000000" w:fill="FFFFFF"/>
          </w:tcPr>
          <w:p w14:paraId="79FE549E"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w:t>
            </w:r>
          </w:p>
        </w:tc>
        <w:tc>
          <w:tcPr>
            <w:tcW w:w="564" w:type="dxa"/>
            <w:tcBorders>
              <w:top w:val="nil"/>
              <w:left w:val="nil"/>
              <w:right w:val="nil"/>
            </w:tcBorders>
            <w:shd w:val="clear" w:color="000000" w:fill="FFFFFF"/>
            <w:noWrap/>
            <w:vAlign w:val="bottom"/>
          </w:tcPr>
          <w:p w14:paraId="2D011BF3" w14:textId="77777777" w:rsidR="00F753E8" w:rsidRPr="008A0A4E" w:rsidRDefault="00F753E8" w:rsidP="006E1769">
            <w:pPr>
              <w:rPr>
                <w:rFonts w:ascii="Arial" w:hAnsi="Arial" w:cs="Arial"/>
                <w:color w:val="000000"/>
                <w:sz w:val="22"/>
                <w:szCs w:val="22"/>
              </w:rPr>
            </w:pPr>
          </w:p>
        </w:tc>
        <w:tc>
          <w:tcPr>
            <w:tcW w:w="1663" w:type="dxa"/>
            <w:tcBorders>
              <w:top w:val="nil"/>
              <w:left w:val="nil"/>
              <w:right w:val="nil"/>
            </w:tcBorders>
            <w:shd w:val="clear" w:color="000000" w:fill="FFFFFF"/>
            <w:noWrap/>
          </w:tcPr>
          <w:p w14:paraId="1E99F825"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color w:val="000000"/>
                <w:sz w:val="22"/>
                <w:szCs w:val="22"/>
              </w:rPr>
              <w:t>3,527</w:t>
            </w:r>
          </w:p>
        </w:tc>
      </w:tr>
      <w:tr w:rsidR="00F753E8" w:rsidRPr="00B64150" w14:paraId="19CF0E93" w14:textId="77777777" w:rsidTr="006E1769">
        <w:trPr>
          <w:trHeight w:val="238"/>
          <w:jc w:val="center"/>
        </w:trPr>
        <w:tc>
          <w:tcPr>
            <w:tcW w:w="5871" w:type="dxa"/>
            <w:tcBorders>
              <w:top w:val="nil"/>
              <w:left w:val="nil"/>
              <w:bottom w:val="nil"/>
              <w:right w:val="nil"/>
            </w:tcBorders>
            <w:shd w:val="clear" w:color="000000" w:fill="FFFFFF"/>
            <w:noWrap/>
            <w:vAlign w:val="bottom"/>
          </w:tcPr>
          <w:p w14:paraId="6347CCCA" w14:textId="77777777" w:rsidR="00F753E8" w:rsidRPr="008A0A4E" w:rsidRDefault="00F753E8" w:rsidP="006E1769">
            <w:pPr>
              <w:rPr>
                <w:rFonts w:ascii="Arial" w:hAnsi="Arial" w:cs="Arial"/>
                <w:b/>
                <w:bCs/>
                <w:color w:val="000000"/>
                <w:sz w:val="22"/>
                <w:szCs w:val="22"/>
              </w:rPr>
            </w:pPr>
            <w:r>
              <w:rPr>
                <w:rFonts w:ascii="Arial" w:hAnsi="Arial" w:cs="Arial"/>
                <w:b/>
                <w:bCs/>
                <w:color w:val="000000"/>
                <w:sz w:val="22"/>
                <w:szCs w:val="22"/>
              </w:rPr>
              <w:t>Futures</w:t>
            </w:r>
          </w:p>
        </w:tc>
        <w:tc>
          <w:tcPr>
            <w:tcW w:w="1323" w:type="dxa"/>
            <w:tcBorders>
              <w:top w:val="nil"/>
              <w:left w:val="nil"/>
              <w:bottom w:val="single" w:sz="4" w:space="0" w:color="auto"/>
              <w:right w:val="nil"/>
            </w:tcBorders>
            <w:shd w:val="clear" w:color="000000" w:fill="FFFFFF"/>
          </w:tcPr>
          <w:p w14:paraId="54884230"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287</w:t>
            </w:r>
          </w:p>
        </w:tc>
        <w:tc>
          <w:tcPr>
            <w:tcW w:w="564" w:type="dxa"/>
            <w:tcBorders>
              <w:top w:val="nil"/>
              <w:left w:val="nil"/>
              <w:right w:val="nil"/>
            </w:tcBorders>
            <w:shd w:val="clear" w:color="000000" w:fill="FFFFFF"/>
            <w:noWrap/>
            <w:vAlign w:val="bottom"/>
          </w:tcPr>
          <w:p w14:paraId="0A601F5B" w14:textId="77777777" w:rsidR="00F753E8" w:rsidRPr="008A0A4E" w:rsidRDefault="00F753E8" w:rsidP="006E1769">
            <w:pPr>
              <w:rPr>
                <w:rFonts w:ascii="Arial" w:hAnsi="Arial" w:cs="Arial"/>
                <w:color w:val="000000"/>
                <w:sz w:val="22"/>
                <w:szCs w:val="22"/>
              </w:rPr>
            </w:pPr>
          </w:p>
        </w:tc>
        <w:tc>
          <w:tcPr>
            <w:tcW w:w="1663" w:type="dxa"/>
            <w:tcBorders>
              <w:top w:val="nil"/>
              <w:left w:val="nil"/>
              <w:bottom w:val="single" w:sz="4" w:space="0" w:color="auto"/>
              <w:right w:val="nil"/>
            </w:tcBorders>
            <w:shd w:val="clear" w:color="000000" w:fill="FFFFFF"/>
            <w:noWrap/>
          </w:tcPr>
          <w:p w14:paraId="249F9976"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color w:val="000000"/>
                <w:sz w:val="22"/>
                <w:szCs w:val="22"/>
              </w:rPr>
              <w:t>-</w:t>
            </w:r>
          </w:p>
        </w:tc>
      </w:tr>
      <w:tr w:rsidR="00F753E8" w:rsidRPr="00B64150" w14:paraId="61409678"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376ED48D"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Total Investment Assets</w:t>
            </w:r>
          </w:p>
        </w:tc>
        <w:tc>
          <w:tcPr>
            <w:tcW w:w="1323" w:type="dxa"/>
            <w:tcBorders>
              <w:top w:val="single" w:sz="4" w:space="0" w:color="auto"/>
              <w:left w:val="nil"/>
              <w:bottom w:val="single" w:sz="12" w:space="0" w:color="auto"/>
              <w:right w:val="nil"/>
            </w:tcBorders>
            <w:shd w:val="clear" w:color="000000" w:fill="FFFFFF"/>
          </w:tcPr>
          <w:p w14:paraId="31DCF313"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1,311,990</w:t>
            </w:r>
          </w:p>
        </w:tc>
        <w:tc>
          <w:tcPr>
            <w:tcW w:w="564" w:type="dxa"/>
            <w:tcBorders>
              <w:left w:val="nil"/>
              <w:bottom w:val="nil"/>
              <w:right w:val="nil"/>
            </w:tcBorders>
            <w:shd w:val="clear" w:color="000000" w:fill="FFFFFF"/>
            <w:noWrap/>
            <w:vAlign w:val="bottom"/>
            <w:hideMark/>
          </w:tcPr>
          <w:p w14:paraId="0465EF2E"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single" w:sz="4" w:space="0" w:color="auto"/>
              <w:left w:val="nil"/>
              <w:bottom w:val="single" w:sz="12" w:space="0" w:color="auto"/>
              <w:right w:val="nil"/>
            </w:tcBorders>
            <w:shd w:val="clear" w:color="000000" w:fill="FFFFFF"/>
            <w:noWrap/>
          </w:tcPr>
          <w:p w14:paraId="559571EE" w14:textId="77777777" w:rsidR="00F753E8" w:rsidRPr="00E40BE3" w:rsidRDefault="00F753E8" w:rsidP="006E1769">
            <w:pPr>
              <w:jc w:val="right"/>
              <w:rPr>
                <w:rFonts w:ascii="Arial" w:hAnsi="Arial" w:cs="Arial"/>
                <w:b/>
                <w:bCs/>
                <w:color w:val="000000"/>
                <w:sz w:val="22"/>
                <w:szCs w:val="22"/>
              </w:rPr>
            </w:pPr>
            <w:r w:rsidRPr="00E40BE3">
              <w:rPr>
                <w:rFonts w:ascii="Arial" w:hAnsi="Arial" w:cs="Arial"/>
                <w:b/>
                <w:bCs/>
                <w:color w:val="000000"/>
                <w:sz w:val="22"/>
                <w:szCs w:val="22"/>
              </w:rPr>
              <w:t>1,385,548</w:t>
            </w:r>
          </w:p>
        </w:tc>
      </w:tr>
      <w:tr w:rsidR="00F753E8" w:rsidRPr="00B64150" w14:paraId="23BFEDC8" w14:textId="77777777" w:rsidTr="006E1769">
        <w:trPr>
          <w:trHeight w:val="238"/>
          <w:jc w:val="center"/>
        </w:trPr>
        <w:tc>
          <w:tcPr>
            <w:tcW w:w="5871" w:type="dxa"/>
            <w:tcBorders>
              <w:top w:val="nil"/>
              <w:left w:val="nil"/>
              <w:bottom w:val="nil"/>
              <w:right w:val="nil"/>
            </w:tcBorders>
            <w:shd w:val="clear" w:color="000000" w:fill="FFFFFF"/>
            <w:noWrap/>
            <w:vAlign w:val="bottom"/>
          </w:tcPr>
          <w:p w14:paraId="05D95FBA" w14:textId="77777777" w:rsidR="00F753E8" w:rsidRPr="008A0A4E" w:rsidRDefault="00F753E8" w:rsidP="006E1769">
            <w:pPr>
              <w:rPr>
                <w:rFonts w:ascii="Arial" w:hAnsi="Arial" w:cs="Arial"/>
                <w:color w:val="000000"/>
                <w:sz w:val="22"/>
                <w:szCs w:val="22"/>
              </w:rPr>
            </w:pPr>
          </w:p>
        </w:tc>
        <w:tc>
          <w:tcPr>
            <w:tcW w:w="1323" w:type="dxa"/>
            <w:tcBorders>
              <w:top w:val="nil"/>
              <w:left w:val="nil"/>
              <w:bottom w:val="nil"/>
              <w:right w:val="nil"/>
            </w:tcBorders>
            <w:shd w:val="clear" w:color="000000" w:fill="FFFFFF"/>
          </w:tcPr>
          <w:p w14:paraId="7F3A05C8" w14:textId="77777777" w:rsidR="00F753E8" w:rsidRPr="000C5935" w:rsidRDefault="00F753E8" w:rsidP="006E1769">
            <w:pPr>
              <w:rPr>
                <w:rFonts w:ascii="Arial" w:hAnsi="Arial" w:cs="Arial"/>
                <w:color w:val="000000"/>
                <w:sz w:val="22"/>
                <w:szCs w:val="22"/>
              </w:rPr>
            </w:pPr>
          </w:p>
        </w:tc>
        <w:tc>
          <w:tcPr>
            <w:tcW w:w="564" w:type="dxa"/>
            <w:tcBorders>
              <w:top w:val="nil"/>
              <w:left w:val="nil"/>
              <w:bottom w:val="nil"/>
              <w:right w:val="nil"/>
            </w:tcBorders>
            <w:shd w:val="clear" w:color="000000" w:fill="FFFFFF"/>
            <w:noWrap/>
            <w:vAlign w:val="bottom"/>
          </w:tcPr>
          <w:p w14:paraId="6FFCD818" w14:textId="77777777" w:rsidR="00F753E8" w:rsidRPr="008A0A4E" w:rsidRDefault="00F753E8" w:rsidP="006E1769">
            <w:pPr>
              <w:rPr>
                <w:rFonts w:ascii="Arial" w:hAnsi="Arial" w:cs="Arial"/>
                <w:color w:val="000000"/>
                <w:sz w:val="22"/>
                <w:szCs w:val="22"/>
              </w:rPr>
            </w:pPr>
          </w:p>
        </w:tc>
        <w:tc>
          <w:tcPr>
            <w:tcW w:w="1663" w:type="dxa"/>
            <w:tcBorders>
              <w:top w:val="nil"/>
              <w:left w:val="nil"/>
              <w:bottom w:val="nil"/>
              <w:right w:val="nil"/>
            </w:tcBorders>
            <w:shd w:val="clear" w:color="000000" w:fill="FFFFFF"/>
            <w:noWrap/>
          </w:tcPr>
          <w:p w14:paraId="51FAF619" w14:textId="77777777" w:rsidR="00F753E8" w:rsidRPr="008A0A4E" w:rsidRDefault="00F753E8" w:rsidP="006E1769">
            <w:pPr>
              <w:jc w:val="right"/>
              <w:rPr>
                <w:rFonts w:ascii="Arial" w:hAnsi="Arial" w:cs="Arial"/>
                <w:b/>
                <w:bCs/>
                <w:color w:val="000000"/>
                <w:sz w:val="22"/>
                <w:szCs w:val="22"/>
              </w:rPr>
            </w:pPr>
          </w:p>
        </w:tc>
      </w:tr>
      <w:tr w:rsidR="00F753E8" w:rsidRPr="00B64150" w14:paraId="2F14FAE8" w14:textId="77777777" w:rsidTr="006E1769">
        <w:trPr>
          <w:trHeight w:val="238"/>
          <w:jc w:val="center"/>
        </w:trPr>
        <w:tc>
          <w:tcPr>
            <w:tcW w:w="5871" w:type="dxa"/>
            <w:tcBorders>
              <w:top w:val="nil"/>
              <w:left w:val="nil"/>
              <w:bottom w:val="nil"/>
              <w:right w:val="nil"/>
            </w:tcBorders>
            <w:shd w:val="clear" w:color="000000" w:fill="FFFFFF"/>
            <w:noWrap/>
            <w:vAlign w:val="bottom"/>
          </w:tcPr>
          <w:p w14:paraId="1511DD30" w14:textId="77777777" w:rsidR="00F753E8" w:rsidRPr="008A0A4E" w:rsidRDefault="00F753E8" w:rsidP="006E1769">
            <w:pPr>
              <w:rPr>
                <w:rFonts w:ascii="Arial" w:hAnsi="Arial" w:cs="Arial"/>
                <w:color w:val="000000"/>
                <w:sz w:val="22"/>
                <w:szCs w:val="22"/>
              </w:rPr>
            </w:pPr>
            <w:r w:rsidRPr="008A0A4E">
              <w:rPr>
                <w:rFonts w:ascii="Arial" w:hAnsi="Arial" w:cs="Arial"/>
                <w:b/>
                <w:bCs/>
                <w:color w:val="000000"/>
                <w:sz w:val="22"/>
                <w:szCs w:val="22"/>
              </w:rPr>
              <w:t>Investment Liabilities</w:t>
            </w:r>
          </w:p>
        </w:tc>
        <w:tc>
          <w:tcPr>
            <w:tcW w:w="1323" w:type="dxa"/>
            <w:tcBorders>
              <w:top w:val="nil"/>
              <w:left w:val="nil"/>
              <w:right w:val="nil"/>
            </w:tcBorders>
            <w:shd w:val="clear" w:color="000000" w:fill="FFFFFF"/>
          </w:tcPr>
          <w:p w14:paraId="695F3182" w14:textId="77777777" w:rsidR="00F753E8" w:rsidRPr="000C5935" w:rsidRDefault="00F753E8" w:rsidP="006E1769">
            <w:pPr>
              <w:rPr>
                <w:rFonts w:ascii="Arial" w:hAnsi="Arial" w:cs="Arial"/>
                <w:color w:val="000000"/>
                <w:sz w:val="22"/>
                <w:szCs w:val="22"/>
              </w:rPr>
            </w:pPr>
          </w:p>
        </w:tc>
        <w:tc>
          <w:tcPr>
            <w:tcW w:w="564" w:type="dxa"/>
            <w:tcBorders>
              <w:top w:val="nil"/>
              <w:left w:val="nil"/>
              <w:right w:val="nil"/>
            </w:tcBorders>
            <w:shd w:val="clear" w:color="000000" w:fill="FFFFFF"/>
            <w:noWrap/>
            <w:vAlign w:val="bottom"/>
          </w:tcPr>
          <w:p w14:paraId="03FB357A" w14:textId="77777777" w:rsidR="00F753E8" w:rsidRPr="008A0A4E" w:rsidRDefault="00F753E8" w:rsidP="006E1769">
            <w:pPr>
              <w:rPr>
                <w:rFonts w:ascii="Arial" w:hAnsi="Arial" w:cs="Arial"/>
                <w:color w:val="000000"/>
                <w:sz w:val="22"/>
                <w:szCs w:val="22"/>
              </w:rPr>
            </w:pPr>
          </w:p>
        </w:tc>
        <w:tc>
          <w:tcPr>
            <w:tcW w:w="1663" w:type="dxa"/>
            <w:tcBorders>
              <w:top w:val="nil"/>
              <w:left w:val="nil"/>
              <w:right w:val="nil"/>
            </w:tcBorders>
            <w:shd w:val="clear" w:color="000000" w:fill="FFFFFF"/>
            <w:noWrap/>
          </w:tcPr>
          <w:p w14:paraId="573F365A" w14:textId="77777777" w:rsidR="00F753E8" w:rsidRPr="008A0A4E" w:rsidRDefault="00F753E8" w:rsidP="006E1769">
            <w:pPr>
              <w:jc w:val="right"/>
              <w:rPr>
                <w:rFonts w:ascii="Arial" w:hAnsi="Arial" w:cs="Arial"/>
                <w:b/>
                <w:bCs/>
                <w:color w:val="000000"/>
                <w:sz w:val="22"/>
                <w:szCs w:val="22"/>
              </w:rPr>
            </w:pPr>
          </w:p>
        </w:tc>
      </w:tr>
      <w:tr w:rsidR="00F753E8" w:rsidRPr="00B64150" w14:paraId="5F6941E3" w14:textId="77777777" w:rsidTr="006E1769">
        <w:trPr>
          <w:trHeight w:val="238"/>
          <w:jc w:val="center"/>
        </w:trPr>
        <w:tc>
          <w:tcPr>
            <w:tcW w:w="5871" w:type="dxa"/>
            <w:tcBorders>
              <w:top w:val="nil"/>
              <w:left w:val="nil"/>
              <w:bottom w:val="nil"/>
              <w:right w:val="nil"/>
            </w:tcBorders>
            <w:shd w:val="clear" w:color="000000" w:fill="FFFFFF"/>
            <w:noWrap/>
            <w:vAlign w:val="bottom"/>
          </w:tcPr>
          <w:p w14:paraId="52EA5273"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Futures</w:t>
            </w:r>
          </w:p>
        </w:tc>
        <w:tc>
          <w:tcPr>
            <w:tcW w:w="1323" w:type="dxa"/>
            <w:tcBorders>
              <w:top w:val="nil"/>
              <w:left w:val="nil"/>
              <w:bottom w:val="single" w:sz="4" w:space="0" w:color="auto"/>
              <w:right w:val="nil"/>
            </w:tcBorders>
            <w:shd w:val="clear" w:color="000000" w:fill="FFFFFF"/>
          </w:tcPr>
          <w:p w14:paraId="0269DA27"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w:t>
            </w:r>
          </w:p>
        </w:tc>
        <w:tc>
          <w:tcPr>
            <w:tcW w:w="564" w:type="dxa"/>
            <w:tcBorders>
              <w:top w:val="nil"/>
              <w:left w:val="nil"/>
              <w:right w:val="nil"/>
            </w:tcBorders>
            <w:shd w:val="clear" w:color="000000" w:fill="FFFFFF"/>
            <w:noWrap/>
            <w:vAlign w:val="bottom"/>
          </w:tcPr>
          <w:p w14:paraId="31E2AB83"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single" w:sz="4" w:space="0" w:color="auto"/>
              <w:right w:val="nil"/>
            </w:tcBorders>
            <w:shd w:val="clear" w:color="000000" w:fill="FFFFFF"/>
            <w:noWrap/>
          </w:tcPr>
          <w:p w14:paraId="5FDA93E9" w14:textId="77777777" w:rsidR="00F753E8" w:rsidRPr="00B73595" w:rsidRDefault="00F753E8" w:rsidP="006E1769">
            <w:pPr>
              <w:jc w:val="right"/>
              <w:rPr>
                <w:rFonts w:ascii="Arial" w:hAnsi="Arial" w:cs="Arial"/>
                <w:b/>
                <w:bCs/>
                <w:color w:val="000000"/>
                <w:sz w:val="22"/>
                <w:szCs w:val="22"/>
              </w:rPr>
            </w:pPr>
            <w:r>
              <w:rPr>
                <w:rFonts w:ascii="Arial" w:hAnsi="Arial" w:cs="Arial"/>
                <w:b/>
                <w:bCs/>
                <w:color w:val="000000"/>
                <w:sz w:val="22"/>
                <w:szCs w:val="22"/>
              </w:rPr>
              <w:t>(505)</w:t>
            </w:r>
          </w:p>
        </w:tc>
      </w:tr>
      <w:tr w:rsidR="00F753E8" w:rsidRPr="00B64150" w14:paraId="07606BD5" w14:textId="77777777" w:rsidTr="006E1769">
        <w:trPr>
          <w:trHeight w:val="238"/>
          <w:jc w:val="center"/>
        </w:trPr>
        <w:tc>
          <w:tcPr>
            <w:tcW w:w="5871" w:type="dxa"/>
            <w:tcBorders>
              <w:top w:val="nil"/>
              <w:left w:val="nil"/>
              <w:bottom w:val="nil"/>
              <w:right w:val="nil"/>
            </w:tcBorders>
            <w:shd w:val="clear" w:color="000000" w:fill="FFFFFF"/>
            <w:noWrap/>
            <w:vAlign w:val="bottom"/>
          </w:tcPr>
          <w:p w14:paraId="64117F0C"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Total Investment Liabilities</w:t>
            </w:r>
          </w:p>
        </w:tc>
        <w:tc>
          <w:tcPr>
            <w:tcW w:w="1323" w:type="dxa"/>
            <w:tcBorders>
              <w:top w:val="single" w:sz="4" w:space="0" w:color="auto"/>
              <w:left w:val="nil"/>
              <w:bottom w:val="single" w:sz="4" w:space="0" w:color="auto"/>
              <w:right w:val="nil"/>
            </w:tcBorders>
            <w:shd w:val="clear" w:color="000000" w:fill="FFFFFF"/>
          </w:tcPr>
          <w:p w14:paraId="0E43EA8B"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w:t>
            </w:r>
          </w:p>
        </w:tc>
        <w:tc>
          <w:tcPr>
            <w:tcW w:w="564" w:type="dxa"/>
            <w:tcBorders>
              <w:left w:val="nil"/>
              <w:bottom w:val="nil"/>
              <w:right w:val="nil"/>
            </w:tcBorders>
            <w:shd w:val="clear" w:color="000000" w:fill="FFFFFF"/>
            <w:noWrap/>
            <w:vAlign w:val="bottom"/>
          </w:tcPr>
          <w:p w14:paraId="5E89A1A6"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single" w:sz="4" w:space="0" w:color="auto"/>
              <w:left w:val="nil"/>
              <w:bottom w:val="single" w:sz="4" w:space="0" w:color="auto"/>
              <w:right w:val="nil"/>
            </w:tcBorders>
            <w:shd w:val="clear" w:color="000000" w:fill="FFFFFF"/>
            <w:noWrap/>
          </w:tcPr>
          <w:p w14:paraId="610B3E43" w14:textId="77777777" w:rsidR="00F753E8" w:rsidRPr="00B73595" w:rsidRDefault="00F753E8" w:rsidP="006E1769">
            <w:pPr>
              <w:jc w:val="right"/>
              <w:rPr>
                <w:rFonts w:ascii="Arial" w:hAnsi="Arial" w:cs="Arial"/>
                <w:b/>
                <w:bCs/>
                <w:color w:val="000000"/>
                <w:sz w:val="22"/>
                <w:szCs w:val="22"/>
              </w:rPr>
            </w:pPr>
            <w:r w:rsidRPr="00B73595">
              <w:rPr>
                <w:rFonts w:ascii="Arial" w:hAnsi="Arial" w:cs="Arial"/>
                <w:b/>
                <w:bCs/>
                <w:color w:val="000000"/>
                <w:sz w:val="22"/>
                <w:szCs w:val="22"/>
              </w:rPr>
              <w:t>-</w:t>
            </w:r>
          </w:p>
        </w:tc>
      </w:tr>
      <w:tr w:rsidR="00F753E8" w:rsidRPr="00B64150" w14:paraId="11A5C989"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1915758A"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323" w:type="dxa"/>
            <w:tcBorders>
              <w:top w:val="single" w:sz="4" w:space="0" w:color="auto"/>
              <w:left w:val="nil"/>
              <w:bottom w:val="nil"/>
              <w:right w:val="nil"/>
            </w:tcBorders>
            <w:shd w:val="clear" w:color="000000" w:fill="FFFFFF"/>
          </w:tcPr>
          <w:p w14:paraId="674AFA95" w14:textId="77777777" w:rsidR="00F753E8" w:rsidRPr="000C5935" w:rsidRDefault="00F753E8" w:rsidP="006E1769">
            <w:pPr>
              <w:rPr>
                <w:rFonts w:ascii="Arial" w:hAnsi="Arial" w:cs="Arial"/>
                <w:color w:val="000000"/>
                <w:sz w:val="22"/>
                <w:szCs w:val="22"/>
              </w:rPr>
            </w:pPr>
          </w:p>
        </w:tc>
        <w:tc>
          <w:tcPr>
            <w:tcW w:w="564" w:type="dxa"/>
            <w:tcBorders>
              <w:top w:val="nil"/>
              <w:left w:val="nil"/>
              <w:bottom w:val="nil"/>
              <w:right w:val="nil"/>
            </w:tcBorders>
            <w:shd w:val="clear" w:color="000000" w:fill="FFFFFF"/>
            <w:noWrap/>
            <w:vAlign w:val="bottom"/>
            <w:hideMark/>
          </w:tcPr>
          <w:p w14:paraId="427C22F6"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single" w:sz="4" w:space="0" w:color="auto"/>
              <w:left w:val="nil"/>
              <w:bottom w:val="nil"/>
              <w:right w:val="nil"/>
            </w:tcBorders>
            <w:shd w:val="clear" w:color="000000" w:fill="FFFFFF"/>
            <w:noWrap/>
          </w:tcPr>
          <w:p w14:paraId="2F56025F" w14:textId="77777777" w:rsidR="00F753E8" w:rsidRPr="008A0A4E" w:rsidRDefault="00F753E8" w:rsidP="006E1769">
            <w:pPr>
              <w:jc w:val="right"/>
              <w:rPr>
                <w:rFonts w:ascii="Arial" w:hAnsi="Arial" w:cs="Arial"/>
                <w:b/>
                <w:bCs/>
                <w:color w:val="000000"/>
                <w:sz w:val="22"/>
                <w:szCs w:val="22"/>
              </w:rPr>
            </w:pPr>
          </w:p>
        </w:tc>
      </w:tr>
      <w:tr w:rsidR="00F753E8" w:rsidRPr="00B64150" w14:paraId="33B227D7"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20314A23"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 xml:space="preserve">Current Assets: </w:t>
            </w:r>
            <w:r w:rsidRPr="008A0A4E">
              <w:rPr>
                <w:rFonts w:ascii="Arial" w:hAnsi="Arial" w:cs="Arial"/>
                <w:color w:val="000000"/>
                <w:sz w:val="22"/>
                <w:szCs w:val="22"/>
              </w:rPr>
              <w:t>Debtors</w:t>
            </w:r>
          </w:p>
        </w:tc>
        <w:tc>
          <w:tcPr>
            <w:tcW w:w="1323" w:type="dxa"/>
            <w:tcBorders>
              <w:top w:val="nil"/>
              <w:left w:val="nil"/>
              <w:bottom w:val="nil"/>
              <w:right w:val="nil"/>
            </w:tcBorders>
            <w:shd w:val="clear" w:color="000000" w:fill="FFFFFF"/>
            <w:vAlign w:val="center"/>
          </w:tcPr>
          <w:p w14:paraId="1DF5F17D"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1,067</w:t>
            </w:r>
          </w:p>
        </w:tc>
        <w:tc>
          <w:tcPr>
            <w:tcW w:w="564" w:type="dxa"/>
            <w:tcBorders>
              <w:top w:val="nil"/>
              <w:left w:val="nil"/>
              <w:bottom w:val="nil"/>
              <w:right w:val="nil"/>
            </w:tcBorders>
            <w:shd w:val="clear" w:color="000000" w:fill="FFFFFF"/>
            <w:noWrap/>
            <w:vAlign w:val="bottom"/>
            <w:hideMark/>
          </w:tcPr>
          <w:p w14:paraId="7F3E1AE7"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vAlign w:val="center"/>
          </w:tcPr>
          <w:p w14:paraId="0C9B0F99" w14:textId="77777777" w:rsidR="00F753E8" w:rsidRPr="00B1417B" w:rsidRDefault="00F753E8" w:rsidP="006E1769">
            <w:pPr>
              <w:jc w:val="right"/>
              <w:rPr>
                <w:rFonts w:ascii="Arial" w:hAnsi="Arial" w:cs="Arial"/>
                <w:b/>
                <w:bCs/>
                <w:color w:val="000000"/>
                <w:sz w:val="22"/>
                <w:szCs w:val="22"/>
              </w:rPr>
            </w:pPr>
            <w:r>
              <w:rPr>
                <w:rFonts w:ascii="Arial" w:hAnsi="Arial" w:cs="Arial"/>
                <w:b/>
                <w:bCs/>
                <w:color w:val="000000"/>
                <w:sz w:val="22"/>
                <w:szCs w:val="22"/>
              </w:rPr>
              <w:t>1,229</w:t>
            </w:r>
          </w:p>
        </w:tc>
      </w:tr>
      <w:tr w:rsidR="00F753E8" w:rsidRPr="00B64150" w14:paraId="1A9A8A32"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54AF32FA"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 xml:space="preserve">Current Liabilities: </w:t>
            </w:r>
            <w:r w:rsidRPr="008A0A4E">
              <w:rPr>
                <w:rFonts w:ascii="Arial" w:hAnsi="Arial" w:cs="Arial"/>
                <w:bCs/>
                <w:color w:val="000000"/>
                <w:sz w:val="22"/>
                <w:szCs w:val="22"/>
              </w:rPr>
              <w:t>Creditors</w:t>
            </w:r>
          </w:p>
        </w:tc>
        <w:tc>
          <w:tcPr>
            <w:tcW w:w="1323" w:type="dxa"/>
            <w:tcBorders>
              <w:top w:val="nil"/>
              <w:left w:val="nil"/>
              <w:bottom w:val="nil"/>
              <w:right w:val="nil"/>
            </w:tcBorders>
            <w:shd w:val="clear" w:color="000000" w:fill="FFFFFF"/>
            <w:vAlign w:val="center"/>
          </w:tcPr>
          <w:p w14:paraId="604392C9"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(49,962)</w:t>
            </w:r>
          </w:p>
        </w:tc>
        <w:tc>
          <w:tcPr>
            <w:tcW w:w="564" w:type="dxa"/>
            <w:tcBorders>
              <w:top w:val="nil"/>
              <w:left w:val="nil"/>
              <w:bottom w:val="nil"/>
              <w:right w:val="nil"/>
            </w:tcBorders>
            <w:shd w:val="clear" w:color="000000" w:fill="FFFFFF"/>
            <w:noWrap/>
            <w:vAlign w:val="bottom"/>
            <w:hideMark/>
          </w:tcPr>
          <w:p w14:paraId="1B630D6D"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nil"/>
              <w:left w:val="nil"/>
              <w:bottom w:val="nil"/>
              <w:right w:val="nil"/>
            </w:tcBorders>
            <w:shd w:val="clear" w:color="000000" w:fill="FFFFFF"/>
            <w:noWrap/>
            <w:vAlign w:val="center"/>
          </w:tcPr>
          <w:p w14:paraId="4206D15C" w14:textId="77777777" w:rsidR="00F753E8" w:rsidRPr="00B1417B" w:rsidRDefault="00F753E8" w:rsidP="006E1769">
            <w:pPr>
              <w:jc w:val="right"/>
              <w:rPr>
                <w:rFonts w:ascii="Arial" w:hAnsi="Arial" w:cs="Arial"/>
                <w:b/>
                <w:bCs/>
                <w:color w:val="000000"/>
                <w:sz w:val="22"/>
                <w:szCs w:val="22"/>
              </w:rPr>
            </w:pPr>
            <w:r w:rsidRPr="00B1417B">
              <w:rPr>
                <w:rFonts w:ascii="Arial" w:hAnsi="Arial" w:cs="Arial"/>
                <w:b/>
                <w:bCs/>
                <w:color w:val="000000"/>
                <w:sz w:val="22"/>
                <w:szCs w:val="22"/>
              </w:rPr>
              <w:t>(4</w:t>
            </w:r>
            <w:r>
              <w:rPr>
                <w:rFonts w:ascii="Arial" w:hAnsi="Arial" w:cs="Arial"/>
                <w:b/>
                <w:bCs/>
                <w:color w:val="000000"/>
                <w:sz w:val="22"/>
                <w:szCs w:val="22"/>
              </w:rPr>
              <w:t>4,847</w:t>
            </w:r>
            <w:r w:rsidRPr="00B1417B">
              <w:rPr>
                <w:rFonts w:ascii="Arial" w:hAnsi="Arial" w:cs="Arial"/>
                <w:b/>
                <w:bCs/>
                <w:color w:val="000000"/>
                <w:sz w:val="22"/>
                <w:szCs w:val="22"/>
              </w:rPr>
              <w:t>)</w:t>
            </w:r>
          </w:p>
        </w:tc>
      </w:tr>
      <w:tr w:rsidR="00F753E8" w:rsidRPr="00B64150" w14:paraId="28938B9D" w14:textId="77777777" w:rsidTr="006E1769">
        <w:trPr>
          <w:trHeight w:val="238"/>
          <w:jc w:val="center"/>
        </w:trPr>
        <w:tc>
          <w:tcPr>
            <w:tcW w:w="5871" w:type="dxa"/>
            <w:tcBorders>
              <w:top w:val="nil"/>
              <w:left w:val="nil"/>
              <w:bottom w:val="nil"/>
              <w:right w:val="nil"/>
            </w:tcBorders>
            <w:shd w:val="clear" w:color="000000" w:fill="FFFFFF"/>
            <w:noWrap/>
            <w:vAlign w:val="bottom"/>
            <w:hideMark/>
          </w:tcPr>
          <w:p w14:paraId="35B4567D"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Total Net Assets</w:t>
            </w:r>
          </w:p>
        </w:tc>
        <w:tc>
          <w:tcPr>
            <w:tcW w:w="1323" w:type="dxa"/>
            <w:tcBorders>
              <w:top w:val="single" w:sz="8" w:space="0" w:color="auto"/>
              <w:left w:val="nil"/>
              <w:bottom w:val="double" w:sz="6" w:space="0" w:color="auto"/>
              <w:right w:val="nil"/>
            </w:tcBorders>
            <w:shd w:val="clear" w:color="000000" w:fill="FFFFFF"/>
            <w:vAlign w:val="center"/>
          </w:tcPr>
          <w:p w14:paraId="6266C755" w14:textId="77777777" w:rsidR="00F753E8" w:rsidRPr="000C5935" w:rsidRDefault="00F753E8" w:rsidP="006E1769">
            <w:pPr>
              <w:jc w:val="right"/>
              <w:rPr>
                <w:rFonts w:ascii="Arial" w:hAnsi="Arial" w:cs="Arial"/>
                <w:color w:val="000000"/>
                <w:sz w:val="22"/>
                <w:szCs w:val="22"/>
              </w:rPr>
            </w:pPr>
            <w:r w:rsidRPr="000C5935">
              <w:rPr>
                <w:rFonts w:ascii="Arial" w:hAnsi="Arial" w:cs="Arial"/>
                <w:color w:val="000000"/>
                <w:sz w:val="22"/>
                <w:szCs w:val="22"/>
              </w:rPr>
              <w:t>1,263,095</w:t>
            </w:r>
          </w:p>
        </w:tc>
        <w:tc>
          <w:tcPr>
            <w:tcW w:w="564" w:type="dxa"/>
            <w:tcBorders>
              <w:top w:val="nil"/>
              <w:left w:val="nil"/>
              <w:bottom w:val="nil"/>
              <w:right w:val="nil"/>
            </w:tcBorders>
            <w:shd w:val="clear" w:color="000000" w:fill="FFFFFF"/>
            <w:noWrap/>
            <w:vAlign w:val="bottom"/>
            <w:hideMark/>
          </w:tcPr>
          <w:p w14:paraId="1BFA047D"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663" w:type="dxa"/>
            <w:tcBorders>
              <w:top w:val="single" w:sz="8" w:space="0" w:color="auto"/>
              <w:left w:val="nil"/>
              <w:bottom w:val="double" w:sz="6" w:space="0" w:color="auto"/>
              <w:right w:val="nil"/>
            </w:tcBorders>
            <w:shd w:val="clear" w:color="000000" w:fill="FFFFFF"/>
            <w:noWrap/>
            <w:vAlign w:val="center"/>
          </w:tcPr>
          <w:p w14:paraId="618AE582" w14:textId="77777777" w:rsidR="00F753E8" w:rsidRPr="00B1417B" w:rsidRDefault="00F753E8" w:rsidP="006E1769">
            <w:pPr>
              <w:jc w:val="right"/>
              <w:rPr>
                <w:rFonts w:ascii="Arial" w:hAnsi="Arial" w:cs="Arial"/>
                <w:b/>
                <w:bCs/>
                <w:color w:val="000000"/>
                <w:sz w:val="22"/>
                <w:szCs w:val="22"/>
              </w:rPr>
            </w:pPr>
            <w:r w:rsidRPr="00B1417B">
              <w:rPr>
                <w:rFonts w:ascii="Arial" w:hAnsi="Arial" w:cs="Arial"/>
                <w:b/>
                <w:bCs/>
                <w:color w:val="000000"/>
                <w:sz w:val="22"/>
                <w:szCs w:val="22"/>
              </w:rPr>
              <w:t>1,</w:t>
            </w:r>
            <w:r>
              <w:rPr>
                <w:rFonts w:ascii="Arial" w:hAnsi="Arial" w:cs="Arial"/>
                <w:b/>
                <w:bCs/>
                <w:color w:val="000000"/>
                <w:sz w:val="22"/>
                <w:szCs w:val="22"/>
              </w:rPr>
              <w:t>341</w:t>
            </w:r>
            <w:r w:rsidRPr="00B1417B">
              <w:rPr>
                <w:rFonts w:ascii="Arial" w:hAnsi="Arial" w:cs="Arial"/>
                <w:b/>
                <w:bCs/>
                <w:color w:val="000000"/>
                <w:sz w:val="22"/>
                <w:szCs w:val="22"/>
              </w:rPr>
              <w:t>,</w:t>
            </w:r>
            <w:r>
              <w:rPr>
                <w:rFonts w:ascii="Arial" w:hAnsi="Arial" w:cs="Arial"/>
                <w:b/>
                <w:bCs/>
                <w:color w:val="000000"/>
                <w:sz w:val="22"/>
                <w:szCs w:val="22"/>
              </w:rPr>
              <w:t>425</w:t>
            </w:r>
          </w:p>
        </w:tc>
      </w:tr>
    </w:tbl>
    <w:p w14:paraId="21B3DA28" w14:textId="77777777" w:rsidR="00F753E8" w:rsidRDefault="00F753E8" w:rsidP="00F753E8">
      <w:pPr>
        <w:tabs>
          <w:tab w:val="left" w:pos="426"/>
          <w:tab w:val="left" w:pos="567"/>
        </w:tabs>
        <w:jc w:val="both"/>
        <w:rPr>
          <w:rFonts w:ascii="Arial" w:hAnsi="Arial" w:cs="Arial"/>
        </w:rPr>
      </w:pPr>
    </w:p>
    <w:p w14:paraId="0BC4FE29" w14:textId="77777777" w:rsidR="00F753E8" w:rsidRPr="00A1359B" w:rsidRDefault="00F753E8" w:rsidP="00F753E8">
      <w:pPr>
        <w:tabs>
          <w:tab w:val="left" w:pos="426"/>
          <w:tab w:val="left" w:pos="567"/>
        </w:tabs>
        <w:jc w:val="both"/>
        <w:rPr>
          <w:rFonts w:ascii="Arial" w:hAnsi="Arial" w:cs="Arial"/>
        </w:rPr>
      </w:pPr>
    </w:p>
    <w:p w14:paraId="1F572544" w14:textId="77777777" w:rsidR="00F753E8" w:rsidRPr="008A0A4E" w:rsidRDefault="00F753E8" w:rsidP="007337FE">
      <w:pPr>
        <w:pStyle w:val="ListParagraph"/>
        <w:numPr>
          <w:ilvl w:val="0"/>
          <w:numId w:val="90"/>
        </w:numPr>
        <w:tabs>
          <w:tab w:val="left" w:pos="567"/>
        </w:tabs>
        <w:ind w:left="502"/>
        <w:jc w:val="both"/>
        <w:rPr>
          <w:rFonts w:ascii="Arial" w:hAnsi="Arial" w:cs="Arial"/>
        </w:rPr>
      </w:pPr>
      <w:r w:rsidRPr="008A0A4E">
        <w:rPr>
          <w:rFonts w:ascii="Arial" w:hAnsi="Arial" w:cs="Arial"/>
          <w:b/>
        </w:rPr>
        <w:t>Debtors and Creditors</w:t>
      </w:r>
    </w:p>
    <w:p w14:paraId="6D3D6848" w14:textId="77777777" w:rsidR="00F753E8" w:rsidRPr="008A0A4E" w:rsidRDefault="00F753E8" w:rsidP="00F753E8">
      <w:pPr>
        <w:pStyle w:val="ListParagraph"/>
        <w:tabs>
          <w:tab w:val="left" w:pos="426"/>
          <w:tab w:val="left" w:pos="1134"/>
        </w:tabs>
        <w:spacing w:after="0"/>
        <w:ind w:left="360"/>
        <w:jc w:val="both"/>
        <w:rPr>
          <w:rFonts w:ascii="Arial" w:hAnsi="Arial" w:cs="Arial"/>
        </w:rPr>
      </w:pPr>
    </w:p>
    <w:p w14:paraId="67D69667" w14:textId="77777777" w:rsidR="00F753E8" w:rsidRPr="008A0A4E" w:rsidRDefault="00F753E8" w:rsidP="00F753E8">
      <w:pPr>
        <w:ind w:left="142" w:firstLine="76"/>
        <w:jc w:val="both"/>
        <w:rPr>
          <w:rFonts w:ascii="Arial" w:hAnsi="Arial" w:cs="Arial"/>
          <w:sz w:val="22"/>
          <w:szCs w:val="22"/>
        </w:rPr>
      </w:pPr>
      <w:r w:rsidRPr="008A0A4E">
        <w:rPr>
          <w:rFonts w:ascii="Arial" w:hAnsi="Arial" w:cs="Arial"/>
          <w:sz w:val="22"/>
          <w:szCs w:val="22"/>
        </w:rPr>
        <w:t xml:space="preserve">The following amounts were debtors or creditors for the Fund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202</w:t>
      </w:r>
      <w:r>
        <w:rPr>
          <w:rFonts w:ascii="Arial" w:hAnsi="Arial" w:cs="Arial"/>
          <w:sz w:val="22"/>
          <w:szCs w:val="22"/>
        </w:rPr>
        <w:t>2</w:t>
      </w:r>
      <w:r w:rsidRPr="008A0A4E">
        <w:rPr>
          <w:rFonts w:ascii="Arial" w:hAnsi="Arial" w:cs="Arial"/>
          <w:sz w:val="22"/>
          <w:szCs w:val="22"/>
        </w:rPr>
        <w:t>:</w:t>
      </w:r>
    </w:p>
    <w:p w14:paraId="2E54DE30" w14:textId="77777777" w:rsidR="00F753E8" w:rsidRPr="008A0A4E" w:rsidRDefault="00F753E8" w:rsidP="00F753E8">
      <w:pPr>
        <w:ind w:left="284" w:firstLine="76"/>
        <w:jc w:val="both"/>
        <w:rPr>
          <w:rFonts w:ascii="Arial" w:hAnsi="Arial" w:cs="Arial"/>
          <w:sz w:val="22"/>
          <w:szCs w:val="22"/>
        </w:rPr>
      </w:pPr>
    </w:p>
    <w:tbl>
      <w:tblPr>
        <w:tblW w:w="8788" w:type="dxa"/>
        <w:jc w:val="center"/>
        <w:tblLook w:val="04A0" w:firstRow="1" w:lastRow="0" w:firstColumn="1" w:lastColumn="0" w:noHBand="0" w:noVBand="1"/>
      </w:tblPr>
      <w:tblGrid>
        <w:gridCol w:w="3981"/>
        <w:gridCol w:w="1547"/>
        <w:gridCol w:w="1133"/>
        <w:gridCol w:w="568"/>
        <w:gridCol w:w="1559"/>
      </w:tblGrid>
      <w:tr w:rsidR="00F753E8" w:rsidRPr="00B64150" w14:paraId="5017CCF4"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08DC9914"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 </w:t>
            </w:r>
          </w:p>
        </w:tc>
        <w:tc>
          <w:tcPr>
            <w:tcW w:w="1547" w:type="dxa"/>
            <w:tcBorders>
              <w:top w:val="nil"/>
              <w:left w:val="nil"/>
              <w:bottom w:val="nil"/>
              <w:right w:val="nil"/>
            </w:tcBorders>
            <w:shd w:val="clear" w:color="000000" w:fill="FFFFFF"/>
            <w:noWrap/>
            <w:vAlign w:val="center"/>
            <w:hideMark/>
          </w:tcPr>
          <w:p w14:paraId="11E94C3D"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nil"/>
              <w:left w:val="nil"/>
              <w:bottom w:val="nil"/>
              <w:right w:val="nil"/>
            </w:tcBorders>
            <w:shd w:val="clear" w:color="000000" w:fill="FFFFFF"/>
            <w:noWrap/>
            <w:vAlign w:val="center"/>
            <w:hideMark/>
          </w:tcPr>
          <w:p w14:paraId="3E1E8DF0" w14:textId="77777777" w:rsidR="00F753E8" w:rsidRPr="008A0A4E" w:rsidRDefault="00F753E8" w:rsidP="006E1769">
            <w:pPr>
              <w:rPr>
                <w:rFonts w:ascii="Arial" w:hAnsi="Arial" w:cs="Arial"/>
                <w:color w:val="000000"/>
                <w:sz w:val="22"/>
                <w:szCs w:val="22"/>
              </w:rPr>
            </w:pPr>
            <w:r>
              <w:rPr>
                <w:rFonts w:ascii="Arial" w:hAnsi="Arial" w:cs="Arial"/>
                <w:bCs/>
                <w:color w:val="000000"/>
                <w:sz w:val="22"/>
                <w:szCs w:val="22"/>
              </w:rPr>
              <w:t>2020/21</w:t>
            </w:r>
          </w:p>
        </w:tc>
        <w:tc>
          <w:tcPr>
            <w:tcW w:w="568" w:type="dxa"/>
            <w:tcBorders>
              <w:top w:val="nil"/>
              <w:left w:val="nil"/>
              <w:bottom w:val="nil"/>
              <w:right w:val="nil"/>
            </w:tcBorders>
            <w:shd w:val="clear" w:color="000000" w:fill="FFFFFF"/>
            <w:noWrap/>
            <w:vAlign w:val="center"/>
            <w:hideMark/>
          </w:tcPr>
          <w:p w14:paraId="3537F87F" w14:textId="77777777" w:rsidR="00F753E8" w:rsidRPr="008A0A4E" w:rsidRDefault="00F753E8" w:rsidP="006E1769">
            <w:pPr>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hideMark/>
          </w:tcPr>
          <w:p w14:paraId="3F44DE7A" w14:textId="77777777" w:rsidR="00F753E8" w:rsidRPr="008A0A4E" w:rsidRDefault="00F753E8" w:rsidP="006E1769">
            <w:pPr>
              <w:jc w:val="center"/>
              <w:rPr>
                <w:rFonts w:ascii="Arial" w:hAnsi="Arial" w:cs="Arial"/>
                <w:b/>
                <w:bCs/>
                <w:color w:val="000000"/>
                <w:sz w:val="22"/>
                <w:szCs w:val="22"/>
              </w:rPr>
            </w:pPr>
            <w:r>
              <w:rPr>
                <w:rFonts w:ascii="Arial" w:hAnsi="Arial" w:cs="Arial"/>
                <w:b/>
                <w:bCs/>
                <w:color w:val="000000"/>
                <w:sz w:val="22"/>
                <w:szCs w:val="22"/>
              </w:rPr>
              <w:t>2021/22</w:t>
            </w:r>
          </w:p>
        </w:tc>
      </w:tr>
      <w:tr w:rsidR="00F753E8" w:rsidRPr="00B64150" w14:paraId="3F43EE23"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3C1E964A"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Debtors</w:t>
            </w:r>
          </w:p>
        </w:tc>
        <w:tc>
          <w:tcPr>
            <w:tcW w:w="1547" w:type="dxa"/>
            <w:tcBorders>
              <w:top w:val="nil"/>
              <w:left w:val="nil"/>
              <w:bottom w:val="nil"/>
              <w:right w:val="nil"/>
            </w:tcBorders>
            <w:shd w:val="clear" w:color="000000" w:fill="FFFFFF"/>
            <w:noWrap/>
            <w:vAlign w:val="center"/>
            <w:hideMark/>
          </w:tcPr>
          <w:p w14:paraId="7C787310"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nil"/>
              <w:left w:val="nil"/>
              <w:bottom w:val="nil"/>
              <w:right w:val="nil"/>
            </w:tcBorders>
            <w:shd w:val="clear" w:color="000000" w:fill="FFFFFF"/>
            <w:noWrap/>
            <w:vAlign w:val="center"/>
            <w:hideMark/>
          </w:tcPr>
          <w:p w14:paraId="33E33961" w14:textId="77777777" w:rsidR="00F753E8" w:rsidRPr="008A0A4E" w:rsidRDefault="00F753E8" w:rsidP="006E1769">
            <w:pPr>
              <w:jc w:val="center"/>
              <w:rPr>
                <w:rFonts w:ascii="Arial" w:hAnsi="Arial" w:cs="Arial"/>
                <w:color w:val="000000"/>
                <w:sz w:val="22"/>
                <w:szCs w:val="22"/>
              </w:rPr>
            </w:pPr>
            <w:r w:rsidRPr="008A0A4E">
              <w:rPr>
                <w:rFonts w:ascii="Arial" w:hAnsi="Arial" w:cs="Arial"/>
                <w:bCs/>
                <w:color w:val="000000"/>
                <w:sz w:val="22"/>
                <w:szCs w:val="22"/>
              </w:rPr>
              <w:t>£000</w:t>
            </w:r>
          </w:p>
        </w:tc>
        <w:tc>
          <w:tcPr>
            <w:tcW w:w="568" w:type="dxa"/>
            <w:tcBorders>
              <w:top w:val="nil"/>
              <w:left w:val="nil"/>
              <w:bottom w:val="nil"/>
              <w:right w:val="nil"/>
            </w:tcBorders>
            <w:shd w:val="clear" w:color="000000" w:fill="FFFFFF"/>
            <w:noWrap/>
            <w:vAlign w:val="bottom"/>
            <w:hideMark/>
          </w:tcPr>
          <w:p w14:paraId="2F1D0ECA" w14:textId="77777777" w:rsidR="00F753E8" w:rsidRPr="008A0A4E" w:rsidRDefault="00F753E8" w:rsidP="006E1769">
            <w:pPr>
              <w:jc w:val="center"/>
              <w:rPr>
                <w:rFonts w:ascii="Arial" w:hAnsi="Arial" w:cs="Arial"/>
                <w:color w:val="000000"/>
                <w:sz w:val="22"/>
                <w:szCs w:val="22"/>
              </w:rPr>
            </w:pPr>
          </w:p>
        </w:tc>
        <w:tc>
          <w:tcPr>
            <w:tcW w:w="1559" w:type="dxa"/>
            <w:tcBorders>
              <w:top w:val="nil"/>
              <w:left w:val="nil"/>
              <w:bottom w:val="nil"/>
              <w:right w:val="nil"/>
            </w:tcBorders>
            <w:shd w:val="clear" w:color="000000" w:fill="FFFFFF"/>
            <w:noWrap/>
            <w:vAlign w:val="center"/>
            <w:hideMark/>
          </w:tcPr>
          <w:p w14:paraId="08CD18FA"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w:t>
            </w:r>
          </w:p>
        </w:tc>
      </w:tr>
      <w:tr w:rsidR="00F753E8" w:rsidRPr="00B64150" w14:paraId="1D0EF25F"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2C137AD9"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Other Investment Balances</w:t>
            </w:r>
          </w:p>
        </w:tc>
        <w:tc>
          <w:tcPr>
            <w:tcW w:w="1547" w:type="dxa"/>
            <w:tcBorders>
              <w:top w:val="nil"/>
              <w:left w:val="nil"/>
              <w:bottom w:val="nil"/>
              <w:right w:val="nil"/>
            </w:tcBorders>
            <w:shd w:val="clear" w:color="000000" w:fill="FFFFFF"/>
            <w:noWrap/>
            <w:vAlign w:val="center"/>
            <w:hideMark/>
          </w:tcPr>
          <w:p w14:paraId="025CB146"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nil"/>
              <w:left w:val="nil"/>
              <w:bottom w:val="nil"/>
              <w:right w:val="nil"/>
            </w:tcBorders>
            <w:shd w:val="clear" w:color="000000" w:fill="FFFFFF"/>
            <w:noWrap/>
            <w:vAlign w:val="bottom"/>
            <w:hideMark/>
          </w:tcPr>
          <w:p w14:paraId="3909871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568" w:type="dxa"/>
            <w:tcBorders>
              <w:top w:val="nil"/>
              <w:left w:val="nil"/>
              <w:bottom w:val="nil"/>
              <w:right w:val="nil"/>
            </w:tcBorders>
            <w:shd w:val="clear" w:color="000000" w:fill="FFFFFF"/>
            <w:noWrap/>
            <w:vAlign w:val="bottom"/>
            <w:hideMark/>
          </w:tcPr>
          <w:p w14:paraId="3D918F0C"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559" w:type="dxa"/>
            <w:tcBorders>
              <w:top w:val="nil"/>
              <w:left w:val="nil"/>
              <w:bottom w:val="nil"/>
              <w:right w:val="nil"/>
            </w:tcBorders>
            <w:shd w:val="clear" w:color="000000" w:fill="FFFFFF"/>
            <w:noWrap/>
            <w:vAlign w:val="bottom"/>
            <w:hideMark/>
          </w:tcPr>
          <w:p w14:paraId="1429A796"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r>
      <w:tr w:rsidR="00F753E8" w:rsidRPr="00B64150" w14:paraId="67E22CE6" w14:textId="77777777" w:rsidTr="006E1769">
        <w:trPr>
          <w:trHeight w:val="284"/>
          <w:jc w:val="center"/>
        </w:trPr>
        <w:tc>
          <w:tcPr>
            <w:tcW w:w="3981" w:type="dxa"/>
            <w:tcBorders>
              <w:top w:val="nil"/>
              <w:left w:val="nil"/>
              <w:bottom w:val="nil"/>
              <w:right w:val="nil"/>
            </w:tcBorders>
            <w:shd w:val="clear" w:color="000000" w:fill="FFFFFF"/>
            <w:noWrap/>
            <w:vAlign w:val="center"/>
          </w:tcPr>
          <w:p w14:paraId="6174E7EC" w14:textId="77777777" w:rsidR="00F753E8" w:rsidRPr="0094583F" w:rsidRDefault="00F753E8" w:rsidP="006E1769">
            <w:pPr>
              <w:rPr>
                <w:rFonts w:ascii="Arial" w:hAnsi="Arial" w:cs="Arial"/>
                <w:color w:val="000000"/>
                <w:sz w:val="22"/>
                <w:szCs w:val="22"/>
              </w:rPr>
            </w:pPr>
            <w:r w:rsidRPr="0094583F">
              <w:rPr>
                <w:rFonts w:ascii="Arial" w:hAnsi="Arial" w:cs="Arial"/>
                <w:color w:val="000000"/>
                <w:sz w:val="22"/>
                <w:szCs w:val="22"/>
              </w:rPr>
              <w:t>Pending Trade Sales</w:t>
            </w:r>
          </w:p>
        </w:tc>
        <w:tc>
          <w:tcPr>
            <w:tcW w:w="1547" w:type="dxa"/>
            <w:tcBorders>
              <w:top w:val="nil"/>
              <w:left w:val="nil"/>
              <w:bottom w:val="nil"/>
              <w:right w:val="nil"/>
            </w:tcBorders>
            <w:shd w:val="clear" w:color="000000" w:fill="FFFFFF"/>
            <w:noWrap/>
            <w:vAlign w:val="center"/>
          </w:tcPr>
          <w:p w14:paraId="5CF23887" w14:textId="77777777" w:rsidR="00F753E8" w:rsidRPr="008A0A4E" w:rsidRDefault="00F753E8" w:rsidP="006E1769">
            <w:pPr>
              <w:jc w:val="center"/>
              <w:rPr>
                <w:rFonts w:ascii="Arial" w:hAnsi="Arial" w:cs="Arial"/>
                <w:color w:val="000000"/>
                <w:sz w:val="22"/>
                <w:szCs w:val="22"/>
              </w:rPr>
            </w:pPr>
          </w:p>
        </w:tc>
        <w:tc>
          <w:tcPr>
            <w:tcW w:w="1133" w:type="dxa"/>
            <w:tcBorders>
              <w:top w:val="nil"/>
              <w:left w:val="nil"/>
              <w:bottom w:val="nil"/>
              <w:right w:val="nil"/>
            </w:tcBorders>
            <w:shd w:val="clear" w:color="000000" w:fill="FFFFFF"/>
            <w:noWrap/>
            <w:vAlign w:val="bottom"/>
          </w:tcPr>
          <w:p w14:paraId="536F6D2E" w14:textId="77777777" w:rsidR="00F753E8" w:rsidRPr="00A80B84" w:rsidRDefault="00F753E8" w:rsidP="006E1769">
            <w:pPr>
              <w:jc w:val="right"/>
              <w:rPr>
                <w:rFonts w:ascii="Arial" w:hAnsi="Arial" w:cs="Arial"/>
                <w:bCs/>
                <w:color w:val="000000"/>
                <w:sz w:val="22"/>
                <w:szCs w:val="22"/>
              </w:rPr>
            </w:pPr>
            <w:r>
              <w:rPr>
                <w:rFonts w:ascii="Arial" w:hAnsi="Arial" w:cs="Arial"/>
                <w:bCs/>
                <w:color w:val="000000"/>
                <w:sz w:val="22"/>
                <w:szCs w:val="22"/>
              </w:rPr>
              <w:t>-</w:t>
            </w:r>
          </w:p>
        </w:tc>
        <w:tc>
          <w:tcPr>
            <w:tcW w:w="568" w:type="dxa"/>
            <w:tcBorders>
              <w:top w:val="nil"/>
              <w:left w:val="nil"/>
              <w:bottom w:val="nil"/>
              <w:right w:val="nil"/>
            </w:tcBorders>
            <w:shd w:val="clear" w:color="000000" w:fill="FFFFFF"/>
            <w:noWrap/>
            <w:vAlign w:val="bottom"/>
          </w:tcPr>
          <w:p w14:paraId="74BC6B41" w14:textId="77777777" w:rsidR="00F753E8" w:rsidRPr="008A0A4E" w:rsidRDefault="00F753E8" w:rsidP="006E176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7B6B8BE1"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3,518</w:t>
            </w:r>
          </w:p>
        </w:tc>
      </w:tr>
      <w:tr w:rsidR="00F753E8" w:rsidRPr="00B64150" w14:paraId="104CE411" w14:textId="77777777" w:rsidTr="006E1769">
        <w:trPr>
          <w:trHeight w:val="284"/>
          <w:jc w:val="center"/>
        </w:trPr>
        <w:tc>
          <w:tcPr>
            <w:tcW w:w="3981" w:type="dxa"/>
            <w:tcBorders>
              <w:top w:val="nil"/>
              <w:left w:val="nil"/>
              <w:bottom w:val="nil"/>
              <w:right w:val="nil"/>
            </w:tcBorders>
            <w:shd w:val="clear" w:color="000000" w:fill="FFFFFF"/>
            <w:noWrap/>
            <w:vAlign w:val="center"/>
          </w:tcPr>
          <w:p w14:paraId="6AE15EA0" w14:textId="77777777" w:rsidR="00F753E8" w:rsidRPr="008A0A4E" w:rsidRDefault="00F753E8" w:rsidP="006E1769">
            <w:pPr>
              <w:rPr>
                <w:rFonts w:ascii="Arial" w:hAnsi="Arial" w:cs="Arial"/>
                <w:b/>
                <w:bCs/>
                <w:color w:val="000000"/>
                <w:sz w:val="22"/>
                <w:szCs w:val="22"/>
              </w:rPr>
            </w:pPr>
          </w:p>
        </w:tc>
        <w:tc>
          <w:tcPr>
            <w:tcW w:w="1547" w:type="dxa"/>
            <w:tcBorders>
              <w:top w:val="nil"/>
              <w:left w:val="nil"/>
              <w:bottom w:val="nil"/>
              <w:right w:val="nil"/>
            </w:tcBorders>
            <w:shd w:val="clear" w:color="000000" w:fill="FFFFFF"/>
            <w:noWrap/>
            <w:vAlign w:val="center"/>
          </w:tcPr>
          <w:p w14:paraId="62F80F9E" w14:textId="77777777" w:rsidR="00F753E8" w:rsidRPr="008A0A4E" w:rsidRDefault="00F753E8" w:rsidP="006E1769">
            <w:pPr>
              <w:jc w:val="center"/>
              <w:rPr>
                <w:rFonts w:ascii="Arial" w:hAnsi="Arial" w:cs="Arial"/>
                <w:color w:val="000000"/>
                <w:sz w:val="22"/>
                <w:szCs w:val="22"/>
              </w:rPr>
            </w:pPr>
          </w:p>
        </w:tc>
        <w:tc>
          <w:tcPr>
            <w:tcW w:w="1133" w:type="dxa"/>
            <w:tcBorders>
              <w:top w:val="nil"/>
              <w:left w:val="nil"/>
              <w:bottom w:val="nil"/>
              <w:right w:val="nil"/>
            </w:tcBorders>
            <w:shd w:val="clear" w:color="000000" w:fill="FFFFFF"/>
            <w:noWrap/>
            <w:vAlign w:val="bottom"/>
          </w:tcPr>
          <w:p w14:paraId="617C0507" w14:textId="77777777" w:rsidR="00F753E8" w:rsidRPr="00A80B84" w:rsidRDefault="00F753E8" w:rsidP="006E1769">
            <w:pPr>
              <w:rPr>
                <w:rFonts w:ascii="Arial" w:hAnsi="Arial" w:cs="Arial"/>
                <w:bCs/>
                <w:color w:val="000000"/>
                <w:sz w:val="22"/>
                <w:szCs w:val="22"/>
              </w:rPr>
            </w:pPr>
          </w:p>
        </w:tc>
        <w:tc>
          <w:tcPr>
            <w:tcW w:w="568" w:type="dxa"/>
            <w:tcBorders>
              <w:top w:val="nil"/>
              <w:left w:val="nil"/>
              <w:bottom w:val="nil"/>
              <w:right w:val="nil"/>
            </w:tcBorders>
            <w:shd w:val="clear" w:color="000000" w:fill="FFFFFF"/>
            <w:noWrap/>
            <w:vAlign w:val="bottom"/>
          </w:tcPr>
          <w:p w14:paraId="6DD9B535" w14:textId="77777777" w:rsidR="00F753E8" w:rsidRPr="008A0A4E" w:rsidRDefault="00F753E8" w:rsidP="006E176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5409A006" w14:textId="77777777" w:rsidR="00F753E8" w:rsidRPr="008A0A4E" w:rsidRDefault="00F753E8" w:rsidP="006E1769">
            <w:pPr>
              <w:rPr>
                <w:rFonts w:ascii="Arial" w:hAnsi="Arial" w:cs="Arial"/>
                <w:b/>
                <w:color w:val="000000"/>
                <w:sz w:val="22"/>
                <w:szCs w:val="22"/>
              </w:rPr>
            </w:pPr>
          </w:p>
        </w:tc>
      </w:tr>
      <w:tr w:rsidR="00F753E8" w:rsidRPr="00B64150" w14:paraId="119ED148"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70D62A81"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Current Assets</w:t>
            </w:r>
          </w:p>
        </w:tc>
        <w:tc>
          <w:tcPr>
            <w:tcW w:w="1547" w:type="dxa"/>
            <w:tcBorders>
              <w:top w:val="nil"/>
              <w:left w:val="nil"/>
              <w:bottom w:val="nil"/>
              <w:right w:val="nil"/>
            </w:tcBorders>
            <w:shd w:val="clear" w:color="000000" w:fill="FFFFFF"/>
            <w:noWrap/>
            <w:vAlign w:val="center"/>
            <w:hideMark/>
          </w:tcPr>
          <w:p w14:paraId="632977E5"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nil"/>
              <w:left w:val="nil"/>
              <w:bottom w:val="nil"/>
              <w:right w:val="nil"/>
            </w:tcBorders>
            <w:shd w:val="clear" w:color="000000" w:fill="FFFFFF"/>
            <w:noWrap/>
            <w:vAlign w:val="bottom"/>
          </w:tcPr>
          <w:p w14:paraId="48E96EB9" w14:textId="77777777" w:rsidR="00F753E8" w:rsidRPr="00A80B84" w:rsidRDefault="00F753E8" w:rsidP="006E1769">
            <w:pPr>
              <w:rPr>
                <w:rFonts w:ascii="Arial" w:hAnsi="Arial" w:cs="Arial"/>
                <w:bCs/>
                <w:color w:val="000000"/>
                <w:sz w:val="22"/>
                <w:szCs w:val="22"/>
              </w:rPr>
            </w:pPr>
          </w:p>
        </w:tc>
        <w:tc>
          <w:tcPr>
            <w:tcW w:w="568" w:type="dxa"/>
            <w:tcBorders>
              <w:top w:val="nil"/>
              <w:left w:val="nil"/>
              <w:bottom w:val="nil"/>
              <w:right w:val="nil"/>
            </w:tcBorders>
            <w:shd w:val="clear" w:color="000000" w:fill="FFFFFF"/>
            <w:noWrap/>
            <w:vAlign w:val="bottom"/>
            <w:hideMark/>
          </w:tcPr>
          <w:p w14:paraId="3E498394"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nil"/>
              <w:left w:val="nil"/>
              <w:bottom w:val="nil"/>
              <w:right w:val="nil"/>
            </w:tcBorders>
            <w:shd w:val="clear" w:color="000000" w:fill="FFFFFF"/>
            <w:noWrap/>
            <w:vAlign w:val="bottom"/>
          </w:tcPr>
          <w:p w14:paraId="25498C79" w14:textId="77777777" w:rsidR="00F753E8" w:rsidRPr="008A0A4E" w:rsidRDefault="00F753E8" w:rsidP="006E1769">
            <w:pPr>
              <w:rPr>
                <w:rFonts w:ascii="Arial" w:hAnsi="Arial" w:cs="Arial"/>
                <w:b/>
                <w:color w:val="000000"/>
                <w:sz w:val="22"/>
                <w:szCs w:val="22"/>
              </w:rPr>
            </w:pPr>
          </w:p>
        </w:tc>
      </w:tr>
      <w:tr w:rsidR="00F753E8" w:rsidRPr="00B64150" w14:paraId="3AE0F79F"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14CF6A09"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Other local authorities</w:t>
            </w:r>
          </w:p>
        </w:tc>
        <w:tc>
          <w:tcPr>
            <w:tcW w:w="1547" w:type="dxa"/>
            <w:tcBorders>
              <w:top w:val="nil"/>
              <w:left w:val="nil"/>
              <w:bottom w:val="nil"/>
              <w:right w:val="nil"/>
            </w:tcBorders>
            <w:shd w:val="clear" w:color="000000" w:fill="FFFFFF"/>
            <w:noWrap/>
            <w:vAlign w:val="center"/>
            <w:hideMark/>
          </w:tcPr>
          <w:p w14:paraId="74239B8E"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nil"/>
              <w:left w:val="nil"/>
              <w:bottom w:val="nil"/>
              <w:right w:val="nil"/>
            </w:tcBorders>
            <w:shd w:val="clear" w:color="000000" w:fill="FFFFFF"/>
            <w:noWrap/>
          </w:tcPr>
          <w:p w14:paraId="151390F2" w14:textId="77777777" w:rsidR="00F753E8" w:rsidRPr="00A80B84" w:rsidRDefault="00F753E8" w:rsidP="006E1769">
            <w:pPr>
              <w:jc w:val="right"/>
              <w:rPr>
                <w:rFonts w:ascii="Arial" w:hAnsi="Arial" w:cs="Arial"/>
                <w:bCs/>
                <w:color w:val="000000"/>
                <w:sz w:val="22"/>
                <w:szCs w:val="22"/>
              </w:rPr>
            </w:pPr>
            <w:r w:rsidRPr="00EC7659">
              <w:rPr>
                <w:rFonts w:ascii="Arial" w:hAnsi="Arial" w:cs="Arial"/>
                <w:bCs/>
                <w:color w:val="000000"/>
                <w:sz w:val="22"/>
                <w:szCs w:val="22"/>
              </w:rPr>
              <w:t>191</w:t>
            </w:r>
          </w:p>
        </w:tc>
        <w:tc>
          <w:tcPr>
            <w:tcW w:w="568" w:type="dxa"/>
            <w:tcBorders>
              <w:top w:val="nil"/>
              <w:left w:val="nil"/>
              <w:bottom w:val="nil"/>
              <w:right w:val="nil"/>
            </w:tcBorders>
            <w:shd w:val="clear" w:color="000000" w:fill="FFFFFF"/>
            <w:noWrap/>
            <w:vAlign w:val="bottom"/>
            <w:hideMark/>
          </w:tcPr>
          <w:p w14:paraId="2AAC5F38"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nil"/>
              <w:left w:val="nil"/>
              <w:bottom w:val="nil"/>
              <w:right w:val="nil"/>
            </w:tcBorders>
            <w:shd w:val="clear" w:color="000000" w:fill="FFFFFF"/>
            <w:noWrap/>
            <w:vAlign w:val="bottom"/>
          </w:tcPr>
          <w:p w14:paraId="31CDAFE0"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426</w:t>
            </w:r>
          </w:p>
        </w:tc>
      </w:tr>
      <w:tr w:rsidR="00F753E8" w:rsidRPr="00B64150" w14:paraId="553BF665"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63886108"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Other entities and individuals</w:t>
            </w:r>
          </w:p>
        </w:tc>
        <w:tc>
          <w:tcPr>
            <w:tcW w:w="1547" w:type="dxa"/>
            <w:tcBorders>
              <w:top w:val="nil"/>
              <w:left w:val="nil"/>
              <w:bottom w:val="nil"/>
              <w:right w:val="nil"/>
            </w:tcBorders>
            <w:shd w:val="clear" w:color="000000" w:fill="FFFFFF"/>
            <w:noWrap/>
            <w:vAlign w:val="center"/>
            <w:hideMark/>
          </w:tcPr>
          <w:p w14:paraId="01FF5AAF"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nil"/>
              <w:left w:val="nil"/>
              <w:bottom w:val="single" w:sz="4" w:space="0" w:color="auto"/>
              <w:right w:val="nil"/>
            </w:tcBorders>
            <w:shd w:val="clear" w:color="000000" w:fill="FFFFFF"/>
            <w:noWrap/>
          </w:tcPr>
          <w:p w14:paraId="3C4698D5" w14:textId="77777777" w:rsidR="00F753E8" w:rsidRPr="00A80B84" w:rsidRDefault="00F753E8" w:rsidP="006E1769">
            <w:pPr>
              <w:jc w:val="right"/>
              <w:rPr>
                <w:rFonts w:ascii="Arial" w:hAnsi="Arial" w:cs="Arial"/>
                <w:bCs/>
                <w:color w:val="000000"/>
                <w:sz w:val="22"/>
                <w:szCs w:val="22"/>
              </w:rPr>
            </w:pPr>
            <w:r w:rsidRPr="00EC7659">
              <w:rPr>
                <w:rFonts w:ascii="Arial" w:hAnsi="Arial" w:cs="Arial"/>
                <w:bCs/>
                <w:color w:val="000000"/>
                <w:sz w:val="22"/>
                <w:szCs w:val="22"/>
              </w:rPr>
              <w:t>876</w:t>
            </w:r>
          </w:p>
        </w:tc>
        <w:tc>
          <w:tcPr>
            <w:tcW w:w="568" w:type="dxa"/>
            <w:tcBorders>
              <w:top w:val="nil"/>
              <w:left w:val="nil"/>
              <w:bottom w:val="nil"/>
              <w:right w:val="nil"/>
            </w:tcBorders>
            <w:shd w:val="clear" w:color="000000" w:fill="FFFFFF"/>
            <w:noWrap/>
            <w:vAlign w:val="bottom"/>
            <w:hideMark/>
          </w:tcPr>
          <w:p w14:paraId="7B61F221"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nil"/>
              <w:left w:val="nil"/>
              <w:bottom w:val="single" w:sz="4" w:space="0" w:color="auto"/>
              <w:right w:val="nil"/>
            </w:tcBorders>
            <w:shd w:val="clear" w:color="000000" w:fill="FFFFFF"/>
            <w:noWrap/>
            <w:vAlign w:val="bottom"/>
          </w:tcPr>
          <w:p w14:paraId="7792C928"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803</w:t>
            </w:r>
          </w:p>
        </w:tc>
      </w:tr>
      <w:tr w:rsidR="00F753E8" w:rsidRPr="00B64150" w14:paraId="365CCD05"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78686C0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Total Current Assets</w:t>
            </w:r>
          </w:p>
        </w:tc>
        <w:tc>
          <w:tcPr>
            <w:tcW w:w="1547" w:type="dxa"/>
            <w:tcBorders>
              <w:top w:val="nil"/>
              <w:left w:val="nil"/>
              <w:bottom w:val="nil"/>
              <w:right w:val="nil"/>
            </w:tcBorders>
            <w:shd w:val="clear" w:color="000000" w:fill="FFFFFF"/>
            <w:noWrap/>
            <w:vAlign w:val="center"/>
            <w:hideMark/>
          </w:tcPr>
          <w:p w14:paraId="590686D1"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single" w:sz="4" w:space="0" w:color="auto"/>
              <w:left w:val="nil"/>
              <w:bottom w:val="single" w:sz="4" w:space="0" w:color="auto"/>
              <w:right w:val="nil"/>
            </w:tcBorders>
            <w:shd w:val="clear" w:color="000000" w:fill="FFFFFF"/>
            <w:noWrap/>
          </w:tcPr>
          <w:p w14:paraId="6A6ED411" w14:textId="77777777" w:rsidR="00F753E8" w:rsidRPr="00EC7659" w:rsidRDefault="00F753E8" w:rsidP="006E1769">
            <w:pPr>
              <w:jc w:val="right"/>
              <w:rPr>
                <w:rFonts w:ascii="Arial" w:hAnsi="Arial" w:cs="Arial"/>
                <w:b/>
                <w:color w:val="000000"/>
                <w:sz w:val="22"/>
                <w:szCs w:val="22"/>
              </w:rPr>
            </w:pPr>
            <w:r w:rsidRPr="00EC7659">
              <w:rPr>
                <w:rFonts w:ascii="Arial" w:hAnsi="Arial" w:cs="Arial"/>
                <w:b/>
                <w:color w:val="000000"/>
                <w:sz w:val="22"/>
                <w:szCs w:val="22"/>
              </w:rPr>
              <w:t>1,067</w:t>
            </w:r>
          </w:p>
        </w:tc>
        <w:tc>
          <w:tcPr>
            <w:tcW w:w="568" w:type="dxa"/>
            <w:tcBorders>
              <w:top w:val="nil"/>
              <w:left w:val="nil"/>
              <w:bottom w:val="nil"/>
              <w:right w:val="nil"/>
            </w:tcBorders>
            <w:shd w:val="clear" w:color="000000" w:fill="FFFFFF"/>
            <w:noWrap/>
            <w:vAlign w:val="bottom"/>
            <w:hideMark/>
          </w:tcPr>
          <w:p w14:paraId="38CA8FB4"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single" w:sz="4" w:space="0" w:color="auto"/>
              <w:left w:val="nil"/>
              <w:bottom w:val="single" w:sz="4" w:space="0" w:color="auto"/>
              <w:right w:val="nil"/>
            </w:tcBorders>
            <w:shd w:val="clear" w:color="000000" w:fill="FFFFFF"/>
            <w:noWrap/>
            <w:vAlign w:val="bottom"/>
          </w:tcPr>
          <w:p w14:paraId="4DF7CC13"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1,229</w:t>
            </w:r>
          </w:p>
        </w:tc>
      </w:tr>
      <w:tr w:rsidR="00F753E8" w:rsidRPr="00B64150" w14:paraId="24B65540"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213203AC"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Total Debtors</w:t>
            </w:r>
          </w:p>
        </w:tc>
        <w:tc>
          <w:tcPr>
            <w:tcW w:w="1547" w:type="dxa"/>
            <w:tcBorders>
              <w:top w:val="nil"/>
              <w:left w:val="nil"/>
              <w:bottom w:val="nil"/>
              <w:right w:val="nil"/>
            </w:tcBorders>
            <w:shd w:val="clear" w:color="000000" w:fill="FFFFFF"/>
            <w:noWrap/>
            <w:vAlign w:val="center"/>
            <w:hideMark/>
          </w:tcPr>
          <w:p w14:paraId="16C3A292"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single" w:sz="4" w:space="0" w:color="auto"/>
              <w:left w:val="nil"/>
              <w:bottom w:val="double" w:sz="6" w:space="0" w:color="auto"/>
              <w:right w:val="nil"/>
            </w:tcBorders>
            <w:shd w:val="clear" w:color="000000" w:fill="FFFFFF"/>
            <w:noWrap/>
          </w:tcPr>
          <w:p w14:paraId="6A4080A5" w14:textId="77777777" w:rsidR="00F753E8" w:rsidRPr="00EC7659" w:rsidRDefault="00F753E8" w:rsidP="006E1769">
            <w:pPr>
              <w:jc w:val="right"/>
              <w:rPr>
                <w:rFonts w:ascii="Arial" w:hAnsi="Arial" w:cs="Arial"/>
                <w:b/>
                <w:color w:val="000000"/>
                <w:sz w:val="22"/>
                <w:szCs w:val="22"/>
              </w:rPr>
            </w:pPr>
            <w:r w:rsidRPr="00EC7659">
              <w:rPr>
                <w:rFonts w:ascii="Arial" w:hAnsi="Arial" w:cs="Arial"/>
                <w:b/>
                <w:color w:val="000000"/>
                <w:sz w:val="22"/>
                <w:szCs w:val="22"/>
              </w:rPr>
              <w:t>1,067</w:t>
            </w:r>
          </w:p>
        </w:tc>
        <w:tc>
          <w:tcPr>
            <w:tcW w:w="568" w:type="dxa"/>
            <w:tcBorders>
              <w:top w:val="nil"/>
              <w:left w:val="nil"/>
              <w:bottom w:val="nil"/>
              <w:right w:val="nil"/>
            </w:tcBorders>
            <w:shd w:val="clear" w:color="000000" w:fill="FFFFFF"/>
            <w:noWrap/>
            <w:vAlign w:val="bottom"/>
            <w:hideMark/>
          </w:tcPr>
          <w:p w14:paraId="47943054"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single" w:sz="4" w:space="0" w:color="auto"/>
              <w:left w:val="nil"/>
              <w:bottom w:val="double" w:sz="6" w:space="0" w:color="auto"/>
              <w:right w:val="nil"/>
            </w:tcBorders>
            <w:shd w:val="clear" w:color="000000" w:fill="FFFFFF"/>
            <w:noWrap/>
            <w:vAlign w:val="bottom"/>
          </w:tcPr>
          <w:p w14:paraId="1B0EE00F"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4,747</w:t>
            </w:r>
          </w:p>
        </w:tc>
      </w:tr>
      <w:tr w:rsidR="00F753E8" w:rsidRPr="00B64150" w14:paraId="7C16F29C" w14:textId="77777777" w:rsidTr="006E1769">
        <w:trPr>
          <w:trHeight w:val="284"/>
          <w:jc w:val="center"/>
        </w:trPr>
        <w:tc>
          <w:tcPr>
            <w:tcW w:w="3981" w:type="dxa"/>
            <w:tcBorders>
              <w:top w:val="nil"/>
              <w:left w:val="nil"/>
              <w:bottom w:val="nil"/>
              <w:right w:val="nil"/>
            </w:tcBorders>
            <w:shd w:val="clear" w:color="000000" w:fill="FFFFFF"/>
            <w:noWrap/>
            <w:vAlign w:val="center"/>
          </w:tcPr>
          <w:p w14:paraId="01F13BC4" w14:textId="77777777" w:rsidR="00F753E8" w:rsidRPr="008A0A4E" w:rsidRDefault="00F753E8" w:rsidP="006E1769">
            <w:pPr>
              <w:rPr>
                <w:rFonts w:ascii="Arial" w:hAnsi="Arial" w:cs="Arial"/>
                <w:b/>
                <w:bCs/>
                <w:color w:val="000000"/>
                <w:sz w:val="22"/>
                <w:szCs w:val="22"/>
              </w:rPr>
            </w:pPr>
          </w:p>
        </w:tc>
        <w:tc>
          <w:tcPr>
            <w:tcW w:w="1547" w:type="dxa"/>
            <w:tcBorders>
              <w:top w:val="nil"/>
              <w:left w:val="nil"/>
              <w:bottom w:val="nil"/>
              <w:right w:val="nil"/>
            </w:tcBorders>
            <w:shd w:val="clear" w:color="000000" w:fill="FFFFFF"/>
            <w:noWrap/>
            <w:vAlign w:val="center"/>
          </w:tcPr>
          <w:p w14:paraId="1E8E7492" w14:textId="77777777" w:rsidR="00F753E8" w:rsidRPr="008A0A4E" w:rsidRDefault="00F753E8" w:rsidP="006E1769">
            <w:pPr>
              <w:rPr>
                <w:rFonts w:ascii="Arial" w:hAnsi="Arial" w:cs="Arial"/>
                <w:color w:val="000000"/>
                <w:sz w:val="22"/>
                <w:szCs w:val="22"/>
              </w:rPr>
            </w:pPr>
          </w:p>
        </w:tc>
        <w:tc>
          <w:tcPr>
            <w:tcW w:w="1133" w:type="dxa"/>
            <w:tcBorders>
              <w:top w:val="nil"/>
              <w:left w:val="nil"/>
              <w:bottom w:val="nil"/>
              <w:right w:val="nil"/>
            </w:tcBorders>
            <w:shd w:val="clear" w:color="000000" w:fill="FFFFFF"/>
            <w:noWrap/>
            <w:vAlign w:val="bottom"/>
          </w:tcPr>
          <w:p w14:paraId="5A1AB884" w14:textId="77777777" w:rsidR="00F753E8" w:rsidRPr="008A0A4E" w:rsidRDefault="00F753E8" w:rsidP="006E1769">
            <w:pPr>
              <w:jc w:val="right"/>
              <w:rPr>
                <w:rFonts w:ascii="Arial" w:hAnsi="Arial" w:cs="Arial"/>
                <w:bCs/>
                <w:color w:val="000000"/>
                <w:sz w:val="22"/>
                <w:szCs w:val="22"/>
              </w:rPr>
            </w:pPr>
          </w:p>
        </w:tc>
        <w:tc>
          <w:tcPr>
            <w:tcW w:w="568" w:type="dxa"/>
            <w:tcBorders>
              <w:top w:val="nil"/>
              <w:left w:val="nil"/>
              <w:bottom w:val="nil"/>
              <w:right w:val="nil"/>
            </w:tcBorders>
            <w:shd w:val="clear" w:color="000000" w:fill="FFFFFF"/>
            <w:noWrap/>
            <w:vAlign w:val="bottom"/>
          </w:tcPr>
          <w:p w14:paraId="4E2588A1" w14:textId="77777777" w:rsidR="00F753E8" w:rsidRPr="008A0A4E" w:rsidRDefault="00F753E8" w:rsidP="006E176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10F758D1" w14:textId="77777777" w:rsidR="00F753E8" w:rsidRPr="008A0A4E" w:rsidRDefault="00F753E8" w:rsidP="006E1769">
            <w:pPr>
              <w:jc w:val="right"/>
              <w:rPr>
                <w:rFonts w:ascii="Arial" w:hAnsi="Arial" w:cs="Arial"/>
                <w:b/>
                <w:color w:val="000000"/>
                <w:sz w:val="22"/>
                <w:szCs w:val="22"/>
              </w:rPr>
            </w:pPr>
          </w:p>
        </w:tc>
      </w:tr>
      <w:tr w:rsidR="00F753E8" w:rsidRPr="00B64150" w14:paraId="040E0FCE" w14:textId="77777777" w:rsidTr="006E1769">
        <w:trPr>
          <w:trHeight w:val="284"/>
          <w:jc w:val="center"/>
        </w:trPr>
        <w:tc>
          <w:tcPr>
            <w:tcW w:w="3981" w:type="dxa"/>
            <w:tcBorders>
              <w:top w:val="nil"/>
              <w:left w:val="nil"/>
              <w:bottom w:val="nil"/>
              <w:right w:val="nil"/>
            </w:tcBorders>
            <w:shd w:val="clear" w:color="000000" w:fill="FFFFFF"/>
            <w:noWrap/>
            <w:vAlign w:val="center"/>
          </w:tcPr>
          <w:p w14:paraId="17663CB7" w14:textId="77777777" w:rsidR="00F753E8" w:rsidRPr="00735B21" w:rsidRDefault="00F753E8" w:rsidP="006E1769">
            <w:pPr>
              <w:rPr>
                <w:rFonts w:ascii="Arial" w:hAnsi="Arial" w:cs="Arial"/>
                <w:b/>
                <w:bCs/>
                <w:color w:val="000000"/>
                <w:sz w:val="22"/>
                <w:szCs w:val="22"/>
              </w:rPr>
            </w:pPr>
            <w:r>
              <w:rPr>
                <w:rFonts w:ascii="Arial" w:hAnsi="Arial" w:cs="Arial"/>
                <w:b/>
                <w:bCs/>
                <w:color w:val="000000"/>
                <w:sz w:val="22"/>
                <w:szCs w:val="22"/>
              </w:rPr>
              <w:t xml:space="preserve">Creditors: </w:t>
            </w:r>
            <w:r w:rsidRPr="00735B21">
              <w:rPr>
                <w:rFonts w:ascii="Arial" w:hAnsi="Arial" w:cs="Arial"/>
                <w:b/>
                <w:bCs/>
                <w:color w:val="000000"/>
                <w:sz w:val="22"/>
                <w:szCs w:val="22"/>
              </w:rPr>
              <w:t>Investment Liabilities</w:t>
            </w:r>
          </w:p>
        </w:tc>
        <w:tc>
          <w:tcPr>
            <w:tcW w:w="1547" w:type="dxa"/>
            <w:tcBorders>
              <w:top w:val="nil"/>
              <w:left w:val="nil"/>
              <w:bottom w:val="nil"/>
              <w:right w:val="nil"/>
            </w:tcBorders>
            <w:shd w:val="clear" w:color="000000" w:fill="FFFFFF"/>
            <w:noWrap/>
            <w:vAlign w:val="center"/>
          </w:tcPr>
          <w:p w14:paraId="4833FDA4" w14:textId="77777777" w:rsidR="00F753E8" w:rsidRPr="008A0A4E" w:rsidRDefault="00F753E8" w:rsidP="006E1769">
            <w:pPr>
              <w:rPr>
                <w:rFonts w:ascii="Arial" w:hAnsi="Arial" w:cs="Arial"/>
                <w:color w:val="000000"/>
                <w:sz w:val="22"/>
                <w:szCs w:val="22"/>
              </w:rPr>
            </w:pPr>
          </w:p>
        </w:tc>
        <w:tc>
          <w:tcPr>
            <w:tcW w:w="1133" w:type="dxa"/>
            <w:tcBorders>
              <w:top w:val="nil"/>
              <w:left w:val="nil"/>
              <w:bottom w:val="nil"/>
              <w:right w:val="nil"/>
            </w:tcBorders>
            <w:shd w:val="clear" w:color="000000" w:fill="FFFFFF"/>
            <w:noWrap/>
            <w:vAlign w:val="bottom"/>
          </w:tcPr>
          <w:p w14:paraId="0D964929" w14:textId="77777777" w:rsidR="00F753E8" w:rsidRPr="008A0A4E" w:rsidRDefault="00F753E8" w:rsidP="006E1769">
            <w:pPr>
              <w:jc w:val="right"/>
              <w:rPr>
                <w:rFonts w:ascii="Arial" w:hAnsi="Arial" w:cs="Arial"/>
                <w:bCs/>
                <w:color w:val="000000"/>
                <w:sz w:val="22"/>
                <w:szCs w:val="22"/>
              </w:rPr>
            </w:pPr>
          </w:p>
        </w:tc>
        <w:tc>
          <w:tcPr>
            <w:tcW w:w="568" w:type="dxa"/>
            <w:tcBorders>
              <w:top w:val="nil"/>
              <w:left w:val="nil"/>
              <w:bottom w:val="nil"/>
              <w:right w:val="nil"/>
            </w:tcBorders>
            <w:shd w:val="clear" w:color="000000" w:fill="FFFFFF"/>
            <w:noWrap/>
            <w:vAlign w:val="bottom"/>
          </w:tcPr>
          <w:p w14:paraId="59814F6F" w14:textId="77777777" w:rsidR="00F753E8" w:rsidRPr="008A0A4E" w:rsidRDefault="00F753E8" w:rsidP="006E176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50D12F3D" w14:textId="77777777" w:rsidR="00F753E8" w:rsidRPr="008A0A4E" w:rsidRDefault="00F753E8" w:rsidP="006E1769">
            <w:pPr>
              <w:jc w:val="right"/>
              <w:rPr>
                <w:rFonts w:ascii="Arial" w:hAnsi="Arial" w:cs="Arial"/>
                <w:b/>
                <w:color w:val="000000"/>
                <w:sz w:val="22"/>
                <w:szCs w:val="22"/>
              </w:rPr>
            </w:pPr>
          </w:p>
        </w:tc>
      </w:tr>
      <w:tr w:rsidR="00F753E8" w:rsidRPr="00B64150" w14:paraId="22B6AEC7" w14:textId="77777777" w:rsidTr="006E1769">
        <w:trPr>
          <w:trHeight w:val="284"/>
          <w:jc w:val="center"/>
        </w:trPr>
        <w:tc>
          <w:tcPr>
            <w:tcW w:w="3981" w:type="dxa"/>
            <w:tcBorders>
              <w:top w:val="nil"/>
              <w:left w:val="nil"/>
              <w:bottom w:val="nil"/>
              <w:right w:val="nil"/>
            </w:tcBorders>
            <w:shd w:val="clear" w:color="000000" w:fill="FFFFFF"/>
            <w:noWrap/>
            <w:vAlign w:val="center"/>
          </w:tcPr>
          <w:p w14:paraId="2A8100BE" w14:textId="77777777" w:rsidR="00F753E8" w:rsidRPr="00735B21" w:rsidRDefault="00F753E8" w:rsidP="006E1769">
            <w:pPr>
              <w:rPr>
                <w:rFonts w:ascii="Arial" w:hAnsi="Arial" w:cs="Arial"/>
                <w:bCs/>
                <w:color w:val="000000"/>
                <w:sz w:val="22"/>
                <w:szCs w:val="22"/>
              </w:rPr>
            </w:pPr>
            <w:r w:rsidRPr="00735B21">
              <w:rPr>
                <w:rFonts w:ascii="Arial" w:hAnsi="Arial" w:cs="Arial"/>
                <w:bCs/>
                <w:color w:val="000000"/>
                <w:sz w:val="22"/>
                <w:szCs w:val="22"/>
              </w:rPr>
              <w:t>Futures</w:t>
            </w:r>
          </w:p>
        </w:tc>
        <w:tc>
          <w:tcPr>
            <w:tcW w:w="1547" w:type="dxa"/>
            <w:tcBorders>
              <w:top w:val="nil"/>
              <w:left w:val="nil"/>
              <w:bottom w:val="nil"/>
              <w:right w:val="nil"/>
            </w:tcBorders>
            <w:shd w:val="clear" w:color="000000" w:fill="FFFFFF"/>
            <w:noWrap/>
            <w:vAlign w:val="center"/>
          </w:tcPr>
          <w:p w14:paraId="320647A0" w14:textId="77777777" w:rsidR="00F753E8" w:rsidRPr="008A0A4E" w:rsidRDefault="00F753E8" w:rsidP="006E1769">
            <w:pPr>
              <w:rPr>
                <w:rFonts w:ascii="Arial" w:hAnsi="Arial" w:cs="Arial"/>
                <w:color w:val="000000"/>
                <w:sz w:val="22"/>
                <w:szCs w:val="22"/>
              </w:rPr>
            </w:pPr>
          </w:p>
        </w:tc>
        <w:tc>
          <w:tcPr>
            <w:tcW w:w="1133" w:type="dxa"/>
            <w:tcBorders>
              <w:top w:val="nil"/>
              <w:left w:val="nil"/>
              <w:bottom w:val="nil"/>
              <w:right w:val="nil"/>
            </w:tcBorders>
            <w:shd w:val="clear" w:color="000000" w:fill="FFFFFF"/>
            <w:noWrap/>
            <w:vAlign w:val="bottom"/>
          </w:tcPr>
          <w:p w14:paraId="35F68D5B" w14:textId="77777777" w:rsidR="00F753E8" w:rsidRPr="00A80B84" w:rsidRDefault="00F753E8" w:rsidP="006E1769">
            <w:pPr>
              <w:jc w:val="right"/>
              <w:rPr>
                <w:rFonts w:ascii="Arial" w:hAnsi="Arial" w:cs="Arial"/>
                <w:bCs/>
                <w:color w:val="000000"/>
                <w:sz w:val="22"/>
                <w:szCs w:val="22"/>
              </w:rPr>
            </w:pPr>
            <w:r>
              <w:rPr>
                <w:rFonts w:ascii="Arial" w:hAnsi="Arial" w:cs="Arial"/>
                <w:bCs/>
                <w:color w:val="000000"/>
                <w:sz w:val="22"/>
                <w:szCs w:val="22"/>
              </w:rPr>
              <w:t>-</w:t>
            </w:r>
          </w:p>
        </w:tc>
        <w:tc>
          <w:tcPr>
            <w:tcW w:w="568" w:type="dxa"/>
            <w:tcBorders>
              <w:top w:val="nil"/>
              <w:left w:val="nil"/>
              <w:bottom w:val="nil"/>
              <w:right w:val="nil"/>
            </w:tcBorders>
            <w:shd w:val="clear" w:color="000000" w:fill="FFFFFF"/>
            <w:noWrap/>
            <w:vAlign w:val="bottom"/>
          </w:tcPr>
          <w:p w14:paraId="4E99B9CB" w14:textId="77777777" w:rsidR="00F753E8" w:rsidRPr="008A0A4E" w:rsidRDefault="00F753E8" w:rsidP="006E176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7A798380" w14:textId="77777777" w:rsidR="00F753E8" w:rsidRPr="008A0A4E" w:rsidRDefault="00F753E8" w:rsidP="006E1769">
            <w:pPr>
              <w:jc w:val="right"/>
              <w:rPr>
                <w:rFonts w:ascii="Arial" w:hAnsi="Arial" w:cs="Arial"/>
                <w:b/>
                <w:color w:val="000000"/>
                <w:sz w:val="22"/>
                <w:szCs w:val="22"/>
              </w:rPr>
            </w:pPr>
          </w:p>
        </w:tc>
      </w:tr>
      <w:tr w:rsidR="00F753E8" w:rsidRPr="00B64150" w14:paraId="606B2A77" w14:textId="77777777" w:rsidTr="006E1769">
        <w:trPr>
          <w:trHeight w:val="284"/>
          <w:jc w:val="center"/>
        </w:trPr>
        <w:tc>
          <w:tcPr>
            <w:tcW w:w="3981" w:type="dxa"/>
            <w:tcBorders>
              <w:top w:val="nil"/>
              <w:left w:val="nil"/>
              <w:bottom w:val="nil"/>
              <w:right w:val="nil"/>
            </w:tcBorders>
            <w:shd w:val="clear" w:color="000000" w:fill="FFFFFF"/>
            <w:noWrap/>
            <w:vAlign w:val="center"/>
          </w:tcPr>
          <w:p w14:paraId="555BC3B6" w14:textId="77777777" w:rsidR="00F753E8" w:rsidRPr="008A0A4E" w:rsidRDefault="00F753E8" w:rsidP="006E1769">
            <w:pPr>
              <w:rPr>
                <w:rFonts w:ascii="Arial" w:hAnsi="Arial" w:cs="Arial"/>
                <w:b/>
                <w:bCs/>
                <w:color w:val="000000"/>
                <w:sz w:val="22"/>
                <w:szCs w:val="22"/>
              </w:rPr>
            </w:pPr>
          </w:p>
        </w:tc>
        <w:tc>
          <w:tcPr>
            <w:tcW w:w="1547" w:type="dxa"/>
            <w:tcBorders>
              <w:top w:val="nil"/>
              <w:left w:val="nil"/>
              <w:bottom w:val="nil"/>
              <w:right w:val="nil"/>
            </w:tcBorders>
            <w:shd w:val="clear" w:color="000000" w:fill="FFFFFF"/>
            <w:noWrap/>
            <w:vAlign w:val="center"/>
          </w:tcPr>
          <w:p w14:paraId="3C6FF888" w14:textId="77777777" w:rsidR="00F753E8" w:rsidRPr="008A0A4E" w:rsidRDefault="00F753E8" w:rsidP="006E1769">
            <w:pPr>
              <w:rPr>
                <w:rFonts w:ascii="Arial" w:hAnsi="Arial" w:cs="Arial"/>
                <w:color w:val="000000"/>
                <w:sz w:val="22"/>
                <w:szCs w:val="22"/>
              </w:rPr>
            </w:pPr>
          </w:p>
        </w:tc>
        <w:tc>
          <w:tcPr>
            <w:tcW w:w="1133" w:type="dxa"/>
            <w:tcBorders>
              <w:top w:val="nil"/>
              <w:left w:val="nil"/>
              <w:bottom w:val="nil"/>
              <w:right w:val="nil"/>
            </w:tcBorders>
            <w:shd w:val="clear" w:color="000000" w:fill="FFFFFF"/>
            <w:noWrap/>
            <w:vAlign w:val="bottom"/>
          </w:tcPr>
          <w:p w14:paraId="2E9E43F6" w14:textId="77777777" w:rsidR="00F753E8" w:rsidRPr="00A80B84" w:rsidRDefault="00F753E8" w:rsidP="006E1769">
            <w:pPr>
              <w:jc w:val="right"/>
              <w:rPr>
                <w:rFonts w:ascii="Arial" w:hAnsi="Arial" w:cs="Arial"/>
                <w:bCs/>
                <w:color w:val="000000"/>
                <w:sz w:val="22"/>
                <w:szCs w:val="22"/>
              </w:rPr>
            </w:pPr>
          </w:p>
        </w:tc>
        <w:tc>
          <w:tcPr>
            <w:tcW w:w="568" w:type="dxa"/>
            <w:tcBorders>
              <w:top w:val="nil"/>
              <w:left w:val="nil"/>
              <w:bottom w:val="nil"/>
              <w:right w:val="nil"/>
            </w:tcBorders>
            <w:shd w:val="clear" w:color="000000" w:fill="FFFFFF"/>
            <w:noWrap/>
            <w:vAlign w:val="bottom"/>
          </w:tcPr>
          <w:p w14:paraId="08A203F2" w14:textId="77777777" w:rsidR="00F753E8" w:rsidRPr="008A0A4E" w:rsidRDefault="00F753E8" w:rsidP="006E176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4A7E0AA5" w14:textId="77777777" w:rsidR="00F753E8" w:rsidRPr="008A0A4E" w:rsidRDefault="00F753E8" w:rsidP="006E1769">
            <w:pPr>
              <w:jc w:val="right"/>
              <w:rPr>
                <w:rFonts w:ascii="Arial" w:hAnsi="Arial" w:cs="Arial"/>
                <w:b/>
                <w:color w:val="000000"/>
                <w:sz w:val="22"/>
                <w:szCs w:val="22"/>
              </w:rPr>
            </w:pPr>
          </w:p>
        </w:tc>
      </w:tr>
      <w:tr w:rsidR="00F753E8" w:rsidRPr="00B64150" w14:paraId="69A87187"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0A48FEDC"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Current Liabilities</w:t>
            </w:r>
          </w:p>
        </w:tc>
        <w:tc>
          <w:tcPr>
            <w:tcW w:w="1547" w:type="dxa"/>
            <w:tcBorders>
              <w:top w:val="nil"/>
              <w:left w:val="nil"/>
              <w:bottom w:val="nil"/>
              <w:right w:val="nil"/>
            </w:tcBorders>
            <w:shd w:val="clear" w:color="000000" w:fill="FFFFFF"/>
            <w:noWrap/>
            <w:vAlign w:val="center"/>
            <w:hideMark/>
          </w:tcPr>
          <w:p w14:paraId="2D65F96B"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nil"/>
              <w:left w:val="nil"/>
              <w:bottom w:val="nil"/>
              <w:right w:val="nil"/>
            </w:tcBorders>
            <w:shd w:val="clear" w:color="000000" w:fill="FFFFFF"/>
            <w:noWrap/>
            <w:vAlign w:val="bottom"/>
            <w:hideMark/>
          </w:tcPr>
          <w:p w14:paraId="3C1E39E4" w14:textId="77777777" w:rsidR="00F753E8" w:rsidRPr="00A80B84" w:rsidRDefault="00F753E8" w:rsidP="006E1769">
            <w:pPr>
              <w:jc w:val="right"/>
              <w:rPr>
                <w:rFonts w:ascii="Arial" w:hAnsi="Arial" w:cs="Arial"/>
                <w:bCs/>
                <w:color w:val="000000"/>
                <w:sz w:val="22"/>
                <w:szCs w:val="22"/>
              </w:rPr>
            </w:pPr>
          </w:p>
        </w:tc>
        <w:tc>
          <w:tcPr>
            <w:tcW w:w="568" w:type="dxa"/>
            <w:tcBorders>
              <w:top w:val="nil"/>
              <w:left w:val="nil"/>
              <w:bottom w:val="nil"/>
              <w:right w:val="nil"/>
            </w:tcBorders>
            <w:shd w:val="clear" w:color="000000" w:fill="FFFFFF"/>
            <w:noWrap/>
            <w:vAlign w:val="bottom"/>
            <w:hideMark/>
          </w:tcPr>
          <w:p w14:paraId="6E9FA642"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nil"/>
              <w:left w:val="nil"/>
              <w:bottom w:val="nil"/>
              <w:right w:val="nil"/>
            </w:tcBorders>
            <w:shd w:val="clear" w:color="000000" w:fill="FFFFFF"/>
            <w:noWrap/>
            <w:vAlign w:val="bottom"/>
          </w:tcPr>
          <w:p w14:paraId="7DBA2849" w14:textId="77777777" w:rsidR="00F753E8" w:rsidRPr="008A0A4E" w:rsidRDefault="00F753E8" w:rsidP="006E1769">
            <w:pPr>
              <w:jc w:val="right"/>
              <w:rPr>
                <w:rFonts w:ascii="Arial" w:hAnsi="Arial" w:cs="Arial"/>
                <w:b/>
                <w:color w:val="000000"/>
                <w:sz w:val="22"/>
                <w:szCs w:val="22"/>
              </w:rPr>
            </w:pPr>
          </w:p>
        </w:tc>
      </w:tr>
      <w:tr w:rsidR="00F753E8" w:rsidRPr="00B64150" w14:paraId="2C68C329"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7E182F5E"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Other local authorities</w:t>
            </w:r>
          </w:p>
        </w:tc>
        <w:tc>
          <w:tcPr>
            <w:tcW w:w="1547" w:type="dxa"/>
            <w:tcBorders>
              <w:top w:val="nil"/>
              <w:left w:val="nil"/>
              <w:bottom w:val="nil"/>
              <w:right w:val="nil"/>
            </w:tcBorders>
            <w:shd w:val="clear" w:color="000000" w:fill="FFFFFF"/>
            <w:noWrap/>
            <w:vAlign w:val="center"/>
            <w:hideMark/>
          </w:tcPr>
          <w:p w14:paraId="00DE1580"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nil"/>
              <w:left w:val="nil"/>
              <w:bottom w:val="nil"/>
              <w:right w:val="nil"/>
            </w:tcBorders>
            <w:shd w:val="clear" w:color="000000" w:fill="FFFFFF"/>
            <w:noWrap/>
            <w:vAlign w:val="bottom"/>
          </w:tcPr>
          <w:p w14:paraId="62EB75C9" w14:textId="77777777" w:rsidR="00F753E8" w:rsidRPr="00EC7659" w:rsidRDefault="00F753E8" w:rsidP="006E1769">
            <w:pPr>
              <w:jc w:val="right"/>
              <w:rPr>
                <w:rFonts w:ascii="Arial" w:hAnsi="Arial" w:cs="Arial"/>
                <w:bCs/>
                <w:color w:val="000000"/>
                <w:sz w:val="22"/>
                <w:szCs w:val="22"/>
              </w:rPr>
            </w:pPr>
            <w:r w:rsidRPr="00EC7659">
              <w:rPr>
                <w:rFonts w:ascii="Arial" w:hAnsi="Arial" w:cs="Arial"/>
                <w:bCs/>
                <w:color w:val="000000"/>
                <w:sz w:val="22"/>
                <w:szCs w:val="22"/>
              </w:rPr>
              <w:t>424</w:t>
            </w:r>
          </w:p>
        </w:tc>
        <w:tc>
          <w:tcPr>
            <w:tcW w:w="568" w:type="dxa"/>
            <w:tcBorders>
              <w:top w:val="nil"/>
              <w:left w:val="nil"/>
              <w:bottom w:val="nil"/>
              <w:right w:val="nil"/>
            </w:tcBorders>
            <w:shd w:val="clear" w:color="000000" w:fill="FFFFFF"/>
            <w:noWrap/>
            <w:vAlign w:val="bottom"/>
            <w:hideMark/>
          </w:tcPr>
          <w:p w14:paraId="7E129940"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nil"/>
              <w:left w:val="nil"/>
              <w:bottom w:val="nil"/>
              <w:right w:val="nil"/>
            </w:tcBorders>
            <w:shd w:val="clear" w:color="000000" w:fill="FFFFFF"/>
            <w:noWrap/>
            <w:vAlign w:val="bottom"/>
          </w:tcPr>
          <w:p w14:paraId="2A8E33DF"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410</w:t>
            </w:r>
          </w:p>
        </w:tc>
      </w:tr>
      <w:tr w:rsidR="00F753E8" w:rsidRPr="00B64150" w14:paraId="028AFE9F" w14:textId="77777777" w:rsidTr="006E1769">
        <w:trPr>
          <w:trHeight w:val="284"/>
          <w:jc w:val="center"/>
        </w:trPr>
        <w:tc>
          <w:tcPr>
            <w:tcW w:w="3981" w:type="dxa"/>
            <w:tcBorders>
              <w:top w:val="nil"/>
              <w:left w:val="nil"/>
              <w:bottom w:val="nil"/>
              <w:right w:val="nil"/>
            </w:tcBorders>
            <w:shd w:val="clear" w:color="000000" w:fill="FFFFFF"/>
            <w:noWrap/>
            <w:vAlign w:val="center"/>
          </w:tcPr>
          <w:p w14:paraId="4A13CADE"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LBBD Prepayment</w:t>
            </w:r>
          </w:p>
        </w:tc>
        <w:tc>
          <w:tcPr>
            <w:tcW w:w="1547" w:type="dxa"/>
            <w:tcBorders>
              <w:top w:val="nil"/>
              <w:left w:val="nil"/>
              <w:bottom w:val="nil"/>
              <w:right w:val="nil"/>
            </w:tcBorders>
            <w:shd w:val="clear" w:color="000000" w:fill="FFFFFF"/>
            <w:noWrap/>
            <w:vAlign w:val="center"/>
          </w:tcPr>
          <w:p w14:paraId="745A91B8" w14:textId="77777777" w:rsidR="00F753E8" w:rsidRPr="008A0A4E" w:rsidRDefault="00F753E8" w:rsidP="006E1769">
            <w:pPr>
              <w:rPr>
                <w:rFonts w:ascii="Arial" w:hAnsi="Arial" w:cs="Arial"/>
                <w:color w:val="000000"/>
                <w:sz w:val="22"/>
                <w:szCs w:val="22"/>
              </w:rPr>
            </w:pPr>
          </w:p>
        </w:tc>
        <w:tc>
          <w:tcPr>
            <w:tcW w:w="1133" w:type="dxa"/>
            <w:tcBorders>
              <w:top w:val="nil"/>
              <w:left w:val="nil"/>
              <w:bottom w:val="nil"/>
              <w:right w:val="nil"/>
            </w:tcBorders>
            <w:shd w:val="clear" w:color="000000" w:fill="FFFFFF"/>
            <w:noWrap/>
            <w:vAlign w:val="bottom"/>
          </w:tcPr>
          <w:p w14:paraId="51952F56" w14:textId="77777777" w:rsidR="00F753E8" w:rsidRPr="00EC7659" w:rsidRDefault="00F753E8" w:rsidP="006E1769">
            <w:pPr>
              <w:jc w:val="right"/>
              <w:rPr>
                <w:rFonts w:ascii="Arial" w:hAnsi="Arial" w:cs="Arial"/>
                <w:bCs/>
                <w:color w:val="000000"/>
                <w:sz w:val="22"/>
                <w:szCs w:val="22"/>
              </w:rPr>
            </w:pPr>
            <w:r w:rsidRPr="00EC7659">
              <w:rPr>
                <w:rFonts w:ascii="Arial" w:hAnsi="Arial" w:cs="Arial"/>
                <w:bCs/>
                <w:color w:val="000000"/>
                <w:sz w:val="22"/>
                <w:szCs w:val="22"/>
              </w:rPr>
              <w:t>20,000</w:t>
            </w:r>
          </w:p>
        </w:tc>
        <w:tc>
          <w:tcPr>
            <w:tcW w:w="568" w:type="dxa"/>
            <w:tcBorders>
              <w:top w:val="nil"/>
              <w:left w:val="nil"/>
              <w:bottom w:val="nil"/>
              <w:right w:val="nil"/>
            </w:tcBorders>
            <w:shd w:val="clear" w:color="000000" w:fill="FFFFFF"/>
            <w:noWrap/>
            <w:vAlign w:val="bottom"/>
          </w:tcPr>
          <w:p w14:paraId="6345DADE" w14:textId="77777777" w:rsidR="00F753E8" w:rsidRPr="008A0A4E" w:rsidRDefault="00F753E8" w:rsidP="006E176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09EA74AE"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20,000</w:t>
            </w:r>
          </w:p>
        </w:tc>
      </w:tr>
      <w:tr w:rsidR="00F753E8" w:rsidRPr="00B64150" w14:paraId="5308E717"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2956D136"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Other entities and individuals</w:t>
            </w:r>
          </w:p>
        </w:tc>
        <w:tc>
          <w:tcPr>
            <w:tcW w:w="1547" w:type="dxa"/>
            <w:tcBorders>
              <w:top w:val="nil"/>
              <w:left w:val="nil"/>
              <w:bottom w:val="nil"/>
              <w:right w:val="nil"/>
            </w:tcBorders>
            <w:shd w:val="clear" w:color="000000" w:fill="FFFFFF"/>
            <w:noWrap/>
            <w:vAlign w:val="center"/>
            <w:hideMark/>
          </w:tcPr>
          <w:p w14:paraId="02A4C7FC"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nil"/>
              <w:left w:val="nil"/>
              <w:bottom w:val="nil"/>
              <w:right w:val="nil"/>
            </w:tcBorders>
            <w:shd w:val="clear" w:color="000000" w:fill="FFFFFF"/>
            <w:noWrap/>
            <w:vAlign w:val="bottom"/>
          </w:tcPr>
          <w:p w14:paraId="0698BDFB" w14:textId="77777777" w:rsidR="00F753E8" w:rsidRPr="00EC7659" w:rsidRDefault="00F753E8" w:rsidP="006E1769">
            <w:pPr>
              <w:jc w:val="right"/>
              <w:rPr>
                <w:rFonts w:ascii="Arial" w:hAnsi="Arial" w:cs="Arial"/>
                <w:bCs/>
                <w:color w:val="000000"/>
                <w:sz w:val="22"/>
                <w:szCs w:val="22"/>
              </w:rPr>
            </w:pPr>
            <w:r w:rsidRPr="00EC7659">
              <w:rPr>
                <w:rFonts w:ascii="Arial" w:hAnsi="Arial" w:cs="Arial"/>
                <w:bCs/>
                <w:color w:val="000000"/>
                <w:sz w:val="22"/>
                <w:szCs w:val="22"/>
              </w:rPr>
              <w:t>338</w:t>
            </w:r>
          </w:p>
        </w:tc>
        <w:tc>
          <w:tcPr>
            <w:tcW w:w="568" w:type="dxa"/>
            <w:tcBorders>
              <w:top w:val="nil"/>
              <w:left w:val="nil"/>
              <w:bottom w:val="nil"/>
              <w:right w:val="nil"/>
            </w:tcBorders>
            <w:shd w:val="clear" w:color="000000" w:fill="FFFFFF"/>
            <w:noWrap/>
            <w:vAlign w:val="bottom"/>
            <w:hideMark/>
          </w:tcPr>
          <w:p w14:paraId="2CBCF8D7"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nil"/>
              <w:left w:val="nil"/>
              <w:bottom w:val="nil"/>
              <w:right w:val="nil"/>
            </w:tcBorders>
            <w:shd w:val="clear" w:color="000000" w:fill="FFFFFF"/>
            <w:noWrap/>
            <w:vAlign w:val="bottom"/>
          </w:tcPr>
          <w:p w14:paraId="68A3127B"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287</w:t>
            </w:r>
          </w:p>
        </w:tc>
      </w:tr>
      <w:tr w:rsidR="00F753E8" w:rsidRPr="00B64150" w14:paraId="6FE7606D" w14:textId="77777777" w:rsidTr="006E1769">
        <w:trPr>
          <w:trHeight w:val="284"/>
          <w:jc w:val="center"/>
        </w:trPr>
        <w:tc>
          <w:tcPr>
            <w:tcW w:w="3981" w:type="dxa"/>
            <w:tcBorders>
              <w:top w:val="nil"/>
              <w:left w:val="nil"/>
              <w:bottom w:val="nil"/>
              <w:right w:val="nil"/>
            </w:tcBorders>
            <w:shd w:val="clear" w:color="000000" w:fill="FFFFFF"/>
            <w:noWrap/>
            <w:vAlign w:val="center"/>
          </w:tcPr>
          <w:p w14:paraId="17963CD1" w14:textId="77777777" w:rsidR="00F753E8" w:rsidRPr="008A0A4E" w:rsidRDefault="00F753E8" w:rsidP="006E1769">
            <w:pPr>
              <w:rPr>
                <w:rFonts w:ascii="Arial" w:hAnsi="Arial" w:cs="Arial"/>
                <w:color w:val="000000"/>
                <w:sz w:val="22"/>
                <w:szCs w:val="22"/>
              </w:rPr>
            </w:pPr>
            <w:r>
              <w:rPr>
                <w:rFonts w:ascii="Arial" w:hAnsi="Arial" w:cs="Arial"/>
                <w:color w:val="000000"/>
                <w:sz w:val="22"/>
                <w:szCs w:val="22"/>
              </w:rPr>
              <w:t>Short Term Loan from LBBD</w:t>
            </w:r>
          </w:p>
        </w:tc>
        <w:tc>
          <w:tcPr>
            <w:tcW w:w="1547" w:type="dxa"/>
            <w:tcBorders>
              <w:top w:val="nil"/>
              <w:left w:val="nil"/>
              <w:bottom w:val="nil"/>
              <w:right w:val="nil"/>
            </w:tcBorders>
            <w:shd w:val="clear" w:color="000000" w:fill="FFFFFF"/>
            <w:noWrap/>
            <w:vAlign w:val="center"/>
          </w:tcPr>
          <w:p w14:paraId="79A7E122" w14:textId="77777777" w:rsidR="00F753E8" w:rsidRPr="008A0A4E" w:rsidRDefault="00F753E8" w:rsidP="006E1769">
            <w:pPr>
              <w:rPr>
                <w:rFonts w:ascii="Arial" w:hAnsi="Arial" w:cs="Arial"/>
                <w:color w:val="000000"/>
                <w:sz w:val="22"/>
                <w:szCs w:val="22"/>
              </w:rPr>
            </w:pPr>
          </w:p>
        </w:tc>
        <w:tc>
          <w:tcPr>
            <w:tcW w:w="1133" w:type="dxa"/>
            <w:tcBorders>
              <w:top w:val="nil"/>
              <w:left w:val="nil"/>
              <w:bottom w:val="nil"/>
              <w:right w:val="nil"/>
            </w:tcBorders>
            <w:shd w:val="clear" w:color="000000" w:fill="FFFFFF"/>
            <w:noWrap/>
            <w:vAlign w:val="bottom"/>
          </w:tcPr>
          <w:p w14:paraId="3874D2EF" w14:textId="77777777" w:rsidR="00F753E8" w:rsidRPr="00EC7659" w:rsidRDefault="00F753E8" w:rsidP="006E1769">
            <w:pPr>
              <w:jc w:val="right"/>
              <w:rPr>
                <w:rFonts w:ascii="Arial" w:hAnsi="Arial" w:cs="Arial"/>
                <w:bCs/>
                <w:color w:val="000000"/>
                <w:sz w:val="22"/>
                <w:szCs w:val="22"/>
              </w:rPr>
            </w:pPr>
            <w:r w:rsidRPr="00EC7659">
              <w:rPr>
                <w:rFonts w:ascii="Arial" w:hAnsi="Arial" w:cs="Arial"/>
                <w:bCs/>
                <w:color w:val="000000"/>
                <w:sz w:val="22"/>
                <w:szCs w:val="22"/>
              </w:rPr>
              <w:t>29,200</w:t>
            </w:r>
          </w:p>
        </w:tc>
        <w:tc>
          <w:tcPr>
            <w:tcW w:w="568" w:type="dxa"/>
            <w:tcBorders>
              <w:top w:val="nil"/>
              <w:left w:val="nil"/>
              <w:bottom w:val="nil"/>
              <w:right w:val="nil"/>
            </w:tcBorders>
            <w:shd w:val="clear" w:color="000000" w:fill="FFFFFF"/>
            <w:noWrap/>
            <w:vAlign w:val="bottom"/>
          </w:tcPr>
          <w:p w14:paraId="74CCDEC8" w14:textId="77777777" w:rsidR="00F753E8" w:rsidRPr="008A0A4E" w:rsidRDefault="00F753E8" w:rsidP="006E1769">
            <w:pPr>
              <w:jc w:val="right"/>
              <w:rPr>
                <w:rFonts w:ascii="Arial" w:hAnsi="Arial" w:cs="Arial"/>
                <w:color w:val="000000"/>
                <w:sz w:val="22"/>
                <w:szCs w:val="22"/>
              </w:rPr>
            </w:pPr>
          </w:p>
        </w:tc>
        <w:tc>
          <w:tcPr>
            <w:tcW w:w="1559" w:type="dxa"/>
            <w:tcBorders>
              <w:top w:val="nil"/>
              <w:left w:val="nil"/>
              <w:bottom w:val="nil"/>
              <w:right w:val="nil"/>
            </w:tcBorders>
            <w:shd w:val="clear" w:color="000000" w:fill="FFFFFF"/>
            <w:noWrap/>
            <w:vAlign w:val="bottom"/>
          </w:tcPr>
          <w:p w14:paraId="728B9531" w14:textId="77777777" w:rsidR="00F753E8" w:rsidRDefault="00F753E8" w:rsidP="006E1769">
            <w:pPr>
              <w:jc w:val="right"/>
              <w:rPr>
                <w:rFonts w:ascii="Arial" w:hAnsi="Arial" w:cs="Arial"/>
                <w:b/>
                <w:color w:val="000000"/>
                <w:sz w:val="22"/>
                <w:szCs w:val="22"/>
              </w:rPr>
            </w:pPr>
            <w:r>
              <w:rPr>
                <w:rFonts w:ascii="Arial" w:hAnsi="Arial" w:cs="Arial"/>
                <w:b/>
                <w:color w:val="000000"/>
                <w:sz w:val="22"/>
                <w:szCs w:val="22"/>
              </w:rPr>
              <w:t>24,150</w:t>
            </w:r>
          </w:p>
        </w:tc>
      </w:tr>
      <w:tr w:rsidR="00F753E8" w:rsidRPr="00B64150" w14:paraId="71B490F4" w14:textId="77777777" w:rsidTr="006E1769">
        <w:trPr>
          <w:trHeight w:val="284"/>
          <w:jc w:val="center"/>
        </w:trPr>
        <w:tc>
          <w:tcPr>
            <w:tcW w:w="3981" w:type="dxa"/>
            <w:tcBorders>
              <w:top w:val="nil"/>
              <w:left w:val="nil"/>
              <w:bottom w:val="nil"/>
              <w:right w:val="nil"/>
            </w:tcBorders>
            <w:shd w:val="clear" w:color="000000" w:fill="FFFFFF"/>
            <w:noWrap/>
            <w:vAlign w:val="center"/>
          </w:tcPr>
          <w:p w14:paraId="1A6B1788" w14:textId="77777777" w:rsidR="00F753E8" w:rsidRPr="008A0A4E" w:rsidRDefault="00F753E8" w:rsidP="006E1769">
            <w:pPr>
              <w:rPr>
                <w:rFonts w:ascii="Arial" w:hAnsi="Arial" w:cs="Arial"/>
                <w:b/>
                <w:bCs/>
                <w:color w:val="000000"/>
                <w:sz w:val="22"/>
                <w:szCs w:val="22"/>
              </w:rPr>
            </w:pPr>
            <w:r>
              <w:rPr>
                <w:rFonts w:ascii="Arial" w:hAnsi="Arial" w:cs="Arial"/>
                <w:b/>
                <w:bCs/>
                <w:color w:val="000000"/>
                <w:sz w:val="22"/>
                <w:szCs w:val="22"/>
              </w:rPr>
              <w:t>Total Current Liabilities</w:t>
            </w:r>
          </w:p>
        </w:tc>
        <w:tc>
          <w:tcPr>
            <w:tcW w:w="1547" w:type="dxa"/>
            <w:tcBorders>
              <w:top w:val="nil"/>
              <w:left w:val="nil"/>
              <w:bottom w:val="nil"/>
              <w:right w:val="nil"/>
            </w:tcBorders>
            <w:shd w:val="clear" w:color="000000" w:fill="FFFFFF"/>
            <w:noWrap/>
            <w:vAlign w:val="center"/>
          </w:tcPr>
          <w:p w14:paraId="19727F78" w14:textId="77777777" w:rsidR="00F753E8" w:rsidRPr="008A0A4E" w:rsidRDefault="00F753E8" w:rsidP="006E1769">
            <w:pPr>
              <w:rPr>
                <w:rFonts w:ascii="Arial" w:hAnsi="Arial" w:cs="Arial"/>
                <w:color w:val="000000"/>
                <w:sz w:val="22"/>
                <w:szCs w:val="22"/>
              </w:rPr>
            </w:pPr>
          </w:p>
        </w:tc>
        <w:tc>
          <w:tcPr>
            <w:tcW w:w="1133" w:type="dxa"/>
            <w:tcBorders>
              <w:top w:val="single" w:sz="4" w:space="0" w:color="auto"/>
              <w:left w:val="nil"/>
              <w:bottom w:val="double" w:sz="6" w:space="0" w:color="auto"/>
              <w:right w:val="nil"/>
            </w:tcBorders>
            <w:shd w:val="clear" w:color="000000" w:fill="FFFFFF"/>
            <w:noWrap/>
            <w:vAlign w:val="bottom"/>
          </w:tcPr>
          <w:p w14:paraId="5890E7DF" w14:textId="77777777" w:rsidR="00F753E8" w:rsidRPr="00EC7659" w:rsidRDefault="00F753E8" w:rsidP="006E1769">
            <w:pPr>
              <w:jc w:val="right"/>
              <w:rPr>
                <w:rFonts w:ascii="Arial" w:hAnsi="Arial" w:cs="Arial"/>
                <w:b/>
                <w:color w:val="000000"/>
                <w:sz w:val="22"/>
                <w:szCs w:val="22"/>
              </w:rPr>
            </w:pPr>
            <w:r w:rsidRPr="00EC7659">
              <w:rPr>
                <w:rFonts w:ascii="Arial" w:hAnsi="Arial" w:cs="Arial"/>
                <w:b/>
                <w:color w:val="000000"/>
                <w:sz w:val="22"/>
                <w:szCs w:val="22"/>
              </w:rPr>
              <w:t>49,962</w:t>
            </w:r>
          </w:p>
        </w:tc>
        <w:tc>
          <w:tcPr>
            <w:tcW w:w="568" w:type="dxa"/>
            <w:tcBorders>
              <w:top w:val="nil"/>
              <w:left w:val="nil"/>
              <w:bottom w:val="nil"/>
              <w:right w:val="nil"/>
            </w:tcBorders>
            <w:shd w:val="clear" w:color="000000" w:fill="FFFFFF"/>
            <w:noWrap/>
            <w:vAlign w:val="bottom"/>
          </w:tcPr>
          <w:p w14:paraId="4A1C4894"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single" w:sz="4" w:space="0" w:color="auto"/>
              <w:left w:val="nil"/>
              <w:bottom w:val="double" w:sz="6" w:space="0" w:color="auto"/>
              <w:right w:val="nil"/>
            </w:tcBorders>
            <w:shd w:val="clear" w:color="000000" w:fill="FFFFFF"/>
            <w:noWrap/>
            <w:vAlign w:val="bottom"/>
          </w:tcPr>
          <w:p w14:paraId="3A192531"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44,847</w:t>
            </w:r>
          </w:p>
        </w:tc>
      </w:tr>
      <w:tr w:rsidR="00F753E8" w:rsidRPr="00B64150" w14:paraId="4FF0B48C" w14:textId="77777777" w:rsidTr="006E1769">
        <w:trPr>
          <w:trHeight w:val="284"/>
          <w:jc w:val="center"/>
        </w:trPr>
        <w:tc>
          <w:tcPr>
            <w:tcW w:w="3981" w:type="dxa"/>
            <w:tcBorders>
              <w:top w:val="nil"/>
              <w:left w:val="nil"/>
              <w:bottom w:val="nil"/>
              <w:right w:val="nil"/>
            </w:tcBorders>
            <w:shd w:val="clear" w:color="000000" w:fill="FFFFFF"/>
            <w:noWrap/>
            <w:vAlign w:val="center"/>
            <w:hideMark/>
          </w:tcPr>
          <w:p w14:paraId="3729DDC6"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Total Creditors</w:t>
            </w:r>
          </w:p>
        </w:tc>
        <w:tc>
          <w:tcPr>
            <w:tcW w:w="1547" w:type="dxa"/>
            <w:tcBorders>
              <w:top w:val="nil"/>
              <w:left w:val="nil"/>
              <w:bottom w:val="nil"/>
              <w:right w:val="nil"/>
            </w:tcBorders>
            <w:shd w:val="clear" w:color="000000" w:fill="FFFFFF"/>
            <w:noWrap/>
            <w:vAlign w:val="center"/>
            <w:hideMark/>
          </w:tcPr>
          <w:p w14:paraId="5C2DB597"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133" w:type="dxa"/>
            <w:tcBorders>
              <w:top w:val="single" w:sz="4" w:space="0" w:color="auto"/>
              <w:left w:val="nil"/>
              <w:bottom w:val="double" w:sz="6" w:space="0" w:color="auto"/>
              <w:right w:val="nil"/>
            </w:tcBorders>
            <w:shd w:val="clear" w:color="000000" w:fill="FFFFFF"/>
            <w:noWrap/>
            <w:vAlign w:val="bottom"/>
          </w:tcPr>
          <w:p w14:paraId="609C58B1" w14:textId="77777777" w:rsidR="00F753E8" w:rsidRPr="00EC7659" w:rsidRDefault="00F753E8" w:rsidP="006E1769">
            <w:pPr>
              <w:jc w:val="right"/>
              <w:rPr>
                <w:rFonts w:ascii="Arial" w:hAnsi="Arial" w:cs="Arial"/>
                <w:b/>
                <w:color w:val="000000"/>
                <w:sz w:val="22"/>
                <w:szCs w:val="22"/>
              </w:rPr>
            </w:pPr>
            <w:r w:rsidRPr="00EC7659">
              <w:rPr>
                <w:rFonts w:ascii="Arial" w:hAnsi="Arial" w:cs="Arial"/>
                <w:b/>
                <w:color w:val="000000"/>
                <w:sz w:val="22"/>
                <w:szCs w:val="22"/>
              </w:rPr>
              <w:t>49,962</w:t>
            </w:r>
          </w:p>
        </w:tc>
        <w:tc>
          <w:tcPr>
            <w:tcW w:w="568" w:type="dxa"/>
            <w:tcBorders>
              <w:top w:val="nil"/>
              <w:left w:val="nil"/>
              <w:bottom w:val="nil"/>
              <w:right w:val="nil"/>
            </w:tcBorders>
            <w:shd w:val="clear" w:color="000000" w:fill="FFFFFF"/>
            <w:noWrap/>
            <w:vAlign w:val="bottom"/>
            <w:hideMark/>
          </w:tcPr>
          <w:p w14:paraId="69035B49" w14:textId="77777777" w:rsidR="00F753E8" w:rsidRPr="008A0A4E" w:rsidRDefault="00F753E8" w:rsidP="006E1769">
            <w:pPr>
              <w:jc w:val="right"/>
              <w:rPr>
                <w:rFonts w:ascii="Arial" w:hAnsi="Arial" w:cs="Arial"/>
                <w:color w:val="000000"/>
                <w:sz w:val="22"/>
                <w:szCs w:val="22"/>
              </w:rPr>
            </w:pPr>
            <w:r w:rsidRPr="008A0A4E">
              <w:rPr>
                <w:rFonts w:ascii="Arial" w:hAnsi="Arial" w:cs="Arial"/>
                <w:color w:val="000000"/>
                <w:sz w:val="22"/>
                <w:szCs w:val="22"/>
              </w:rPr>
              <w:t> </w:t>
            </w:r>
          </w:p>
        </w:tc>
        <w:tc>
          <w:tcPr>
            <w:tcW w:w="1559" w:type="dxa"/>
            <w:tcBorders>
              <w:top w:val="single" w:sz="4" w:space="0" w:color="auto"/>
              <w:left w:val="nil"/>
              <w:bottom w:val="double" w:sz="6" w:space="0" w:color="auto"/>
              <w:right w:val="nil"/>
            </w:tcBorders>
            <w:shd w:val="clear" w:color="000000" w:fill="FFFFFF"/>
            <w:noWrap/>
            <w:vAlign w:val="bottom"/>
          </w:tcPr>
          <w:p w14:paraId="40D1E952" w14:textId="77777777" w:rsidR="00F753E8" w:rsidRPr="008A0A4E" w:rsidRDefault="00F753E8" w:rsidP="006E1769">
            <w:pPr>
              <w:jc w:val="right"/>
              <w:rPr>
                <w:rFonts w:ascii="Arial" w:hAnsi="Arial" w:cs="Arial"/>
                <w:b/>
                <w:color w:val="000000"/>
                <w:sz w:val="22"/>
                <w:szCs w:val="22"/>
              </w:rPr>
            </w:pPr>
            <w:r>
              <w:rPr>
                <w:rFonts w:ascii="Arial" w:hAnsi="Arial" w:cs="Arial"/>
                <w:b/>
                <w:color w:val="000000"/>
                <w:sz w:val="22"/>
                <w:szCs w:val="22"/>
              </w:rPr>
              <w:t>44,847</w:t>
            </w:r>
          </w:p>
        </w:tc>
      </w:tr>
    </w:tbl>
    <w:p w14:paraId="604B3CD1" w14:textId="77777777" w:rsidR="00F753E8" w:rsidRPr="0067519A" w:rsidRDefault="00F753E8" w:rsidP="00F753E8">
      <w:pPr>
        <w:spacing w:line="20" w:lineRule="atLeast"/>
        <w:rPr>
          <w:rFonts w:ascii="Arial" w:hAnsi="Arial" w:cs="Arial"/>
          <w:b/>
        </w:rPr>
      </w:pPr>
    </w:p>
    <w:p w14:paraId="41691596" w14:textId="77777777" w:rsidR="00F753E8" w:rsidRPr="008A0A4E" w:rsidRDefault="00F753E8" w:rsidP="007337FE">
      <w:pPr>
        <w:pStyle w:val="ListParagraph"/>
        <w:numPr>
          <w:ilvl w:val="0"/>
          <w:numId w:val="90"/>
        </w:numPr>
        <w:spacing w:line="20" w:lineRule="atLeast"/>
        <w:ind w:left="502"/>
        <w:rPr>
          <w:rFonts w:ascii="Arial" w:hAnsi="Arial" w:cs="Arial"/>
          <w:b/>
        </w:rPr>
      </w:pPr>
      <w:r w:rsidRPr="008A0A4E">
        <w:rPr>
          <w:rFonts w:ascii="Arial" w:hAnsi="Arial" w:cs="Arial"/>
          <w:b/>
        </w:rPr>
        <w:t>Holdings</w:t>
      </w:r>
    </w:p>
    <w:p w14:paraId="776DF866" w14:textId="77777777" w:rsidR="00F753E8" w:rsidRPr="008A0A4E" w:rsidRDefault="00F753E8" w:rsidP="00F753E8">
      <w:pPr>
        <w:pStyle w:val="ListParagraph"/>
        <w:spacing w:after="0" w:line="20" w:lineRule="atLeast"/>
        <w:ind w:left="360"/>
        <w:rPr>
          <w:rFonts w:ascii="Arial" w:hAnsi="Arial" w:cs="Arial"/>
        </w:rPr>
      </w:pPr>
    </w:p>
    <w:p w14:paraId="50DF6A3F" w14:textId="77777777" w:rsidR="00F753E8" w:rsidRPr="008A0A4E" w:rsidRDefault="00F753E8" w:rsidP="00F753E8">
      <w:pPr>
        <w:pStyle w:val="ListParagraph"/>
        <w:spacing w:after="0" w:line="20" w:lineRule="atLeast"/>
        <w:ind w:left="284"/>
        <w:jc w:val="both"/>
        <w:rPr>
          <w:rFonts w:ascii="Arial" w:hAnsi="Arial" w:cs="Arial"/>
        </w:rPr>
      </w:pPr>
      <w:r w:rsidRPr="008A0A4E">
        <w:rPr>
          <w:rFonts w:ascii="Arial" w:hAnsi="Arial" w:cs="Arial"/>
        </w:rPr>
        <w:t xml:space="preserve">All holdings within the Fund </w:t>
      </w:r>
      <w:proofErr w:type="gramStart"/>
      <w:r w:rsidRPr="008A0A4E">
        <w:rPr>
          <w:rFonts w:ascii="Arial" w:hAnsi="Arial" w:cs="Arial"/>
        </w:rPr>
        <w:t>at</w:t>
      </w:r>
      <w:proofErr w:type="gramEnd"/>
      <w:r w:rsidRPr="008A0A4E">
        <w:rPr>
          <w:rFonts w:ascii="Arial" w:hAnsi="Arial" w:cs="Arial"/>
        </w:rPr>
        <w:t xml:space="preserve"> 31 March 202</w:t>
      </w:r>
      <w:r>
        <w:rPr>
          <w:rFonts w:ascii="Arial" w:hAnsi="Arial" w:cs="Arial"/>
        </w:rPr>
        <w:t>2</w:t>
      </w:r>
      <w:r w:rsidRPr="008A0A4E">
        <w:rPr>
          <w:rFonts w:ascii="Arial" w:hAnsi="Arial" w:cs="Arial"/>
        </w:rPr>
        <w:t xml:space="preserve"> were in pooled funds or Limited Liability Partnerships (LLP), with no direct holdings over 5% of the net assets of the scheme. </w:t>
      </w:r>
      <w:proofErr w:type="gramStart"/>
      <w:r w:rsidRPr="008A0A4E">
        <w:rPr>
          <w:rFonts w:ascii="Arial" w:hAnsi="Arial" w:cs="Arial"/>
        </w:rPr>
        <w:t>At</w:t>
      </w:r>
      <w:proofErr w:type="gramEnd"/>
      <w:r w:rsidRPr="008A0A4E">
        <w:rPr>
          <w:rFonts w:ascii="Arial" w:hAnsi="Arial" w:cs="Arial"/>
        </w:rPr>
        <w:t xml:space="preserve"> 31 March 202</w:t>
      </w:r>
      <w:r>
        <w:rPr>
          <w:rFonts w:ascii="Arial" w:hAnsi="Arial" w:cs="Arial"/>
        </w:rPr>
        <w:t>2</w:t>
      </w:r>
      <w:r w:rsidRPr="008A0A4E">
        <w:rPr>
          <w:rFonts w:ascii="Arial" w:hAnsi="Arial" w:cs="Arial"/>
        </w:rPr>
        <w:t xml:space="preserve"> the following pooled funds and LLPs were over 5% of the scheme’s net assets:</w:t>
      </w:r>
    </w:p>
    <w:p w14:paraId="25FBE335" w14:textId="77777777" w:rsidR="00F753E8" w:rsidRPr="008A0A4E" w:rsidRDefault="00F753E8" w:rsidP="00F753E8">
      <w:pPr>
        <w:pStyle w:val="ListParagraph"/>
        <w:spacing w:after="0" w:line="20" w:lineRule="atLeast"/>
        <w:ind w:left="357"/>
        <w:jc w:val="both"/>
        <w:rPr>
          <w:rFonts w:ascii="Arial" w:hAnsi="Arial" w:cs="Arial"/>
        </w:rPr>
      </w:pP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846"/>
        <w:gridCol w:w="1406"/>
      </w:tblGrid>
      <w:tr w:rsidR="00F753E8" w:rsidRPr="00B64150" w14:paraId="1B01AB40" w14:textId="77777777" w:rsidTr="006E1769">
        <w:trPr>
          <w:trHeight w:val="34"/>
          <w:jc w:val="center"/>
        </w:trPr>
        <w:tc>
          <w:tcPr>
            <w:tcW w:w="3256" w:type="dxa"/>
            <w:shd w:val="clear" w:color="auto" w:fill="auto"/>
            <w:noWrap/>
          </w:tcPr>
          <w:p w14:paraId="4B482672" w14:textId="77777777" w:rsidR="00F753E8" w:rsidRPr="008A0A4E" w:rsidRDefault="00F753E8" w:rsidP="006E1769">
            <w:pPr>
              <w:spacing w:line="20" w:lineRule="atLeast"/>
              <w:ind w:right="-50"/>
              <w:jc w:val="center"/>
              <w:rPr>
                <w:rFonts w:ascii="Arial" w:hAnsi="Arial" w:cs="Arial"/>
                <w:b/>
                <w:bCs/>
                <w:sz w:val="22"/>
                <w:szCs w:val="22"/>
              </w:rPr>
            </w:pPr>
            <w:r w:rsidRPr="008A0A4E">
              <w:rPr>
                <w:rFonts w:ascii="Arial" w:hAnsi="Arial" w:cs="Arial"/>
                <w:b/>
                <w:bCs/>
                <w:sz w:val="22"/>
                <w:szCs w:val="22"/>
              </w:rPr>
              <w:t>Security</w:t>
            </w:r>
          </w:p>
        </w:tc>
        <w:tc>
          <w:tcPr>
            <w:tcW w:w="2846" w:type="dxa"/>
            <w:shd w:val="clear" w:color="auto" w:fill="auto"/>
            <w:noWrap/>
          </w:tcPr>
          <w:p w14:paraId="29F7B41D" w14:textId="77777777" w:rsidR="00F753E8" w:rsidRPr="008A0A4E" w:rsidRDefault="00F753E8" w:rsidP="006E1769">
            <w:pPr>
              <w:spacing w:line="20" w:lineRule="atLeast"/>
              <w:ind w:right="-50"/>
              <w:jc w:val="center"/>
              <w:rPr>
                <w:rFonts w:ascii="Arial" w:hAnsi="Arial" w:cs="Arial"/>
                <w:b/>
                <w:bCs/>
                <w:sz w:val="22"/>
                <w:szCs w:val="22"/>
              </w:rPr>
            </w:pPr>
            <w:r w:rsidRPr="008A0A4E">
              <w:rPr>
                <w:rFonts w:ascii="Arial" w:hAnsi="Arial" w:cs="Arial"/>
                <w:b/>
                <w:bCs/>
                <w:sz w:val="22"/>
                <w:szCs w:val="22"/>
              </w:rPr>
              <w:t xml:space="preserve">Market Value as </w:t>
            </w:r>
            <w:proofErr w:type="gramStart"/>
            <w:r w:rsidRPr="008A0A4E">
              <w:rPr>
                <w:rFonts w:ascii="Arial" w:hAnsi="Arial" w:cs="Arial"/>
                <w:b/>
                <w:bCs/>
                <w:sz w:val="22"/>
                <w:szCs w:val="22"/>
              </w:rPr>
              <w:t>at</w:t>
            </w:r>
            <w:proofErr w:type="gramEnd"/>
            <w:r w:rsidRPr="008A0A4E">
              <w:rPr>
                <w:rFonts w:ascii="Arial" w:hAnsi="Arial" w:cs="Arial"/>
                <w:b/>
                <w:bCs/>
                <w:sz w:val="22"/>
                <w:szCs w:val="22"/>
              </w:rPr>
              <w:t xml:space="preserve"> 31 March 202</w:t>
            </w:r>
            <w:r>
              <w:rPr>
                <w:rFonts w:ascii="Arial" w:hAnsi="Arial" w:cs="Arial"/>
                <w:b/>
                <w:bCs/>
                <w:sz w:val="22"/>
                <w:szCs w:val="22"/>
              </w:rPr>
              <w:t>2</w:t>
            </w:r>
          </w:p>
        </w:tc>
        <w:tc>
          <w:tcPr>
            <w:tcW w:w="1406" w:type="dxa"/>
            <w:shd w:val="clear" w:color="000000" w:fill="FFFFFF"/>
            <w:noWrap/>
          </w:tcPr>
          <w:p w14:paraId="1EC58811" w14:textId="77777777" w:rsidR="00F753E8" w:rsidRPr="008A0A4E" w:rsidRDefault="00F753E8" w:rsidP="006E1769">
            <w:pPr>
              <w:spacing w:line="20" w:lineRule="atLeast"/>
              <w:ind w:right="-50"/>
              <w:jc w:val="center"/>
              <w:rPr>
                <w:rFonts w:ascii="Arial" w:hAnsi="Arial" w:cs="Arial"/>
                <w:b/>
                <w:bCs/>
                <w:sz w:val="22"/>
                <w:szCs w:val="22"/>
              </w:rPr>
            </w:pPr>
            <w:r w:rsidRPr="008A0A4E">
              <w:rPr>
                <w:rFonts w:ascii="Arial" w:hAnsi="Arial" w:cs="Arial"/>
                <w:b/>
                <w:bCs/>
                <w:sz w:val="22"/>
                <w:szCs w:val="22"/>
              </w:rPr>
              <w:t>% of Total Fund</w:t>
            </w:r>
          </w:p>
        </w:tc>
      </w:tr>
      <w:tr w:rsidR="00F753E8" w:rsidRPr="00B64150" w14:paraId="05AAC0C1" w14:textId="77777777" w:rsidTr="006E1769">
        <w:trPr>
          <w:trHeight w:val="34"/>
          <w:jc w:val="center"/>
        </w:trPr>
        <w:tc>
          <w:tcPr>
            <w:tcW w:w="3256" w:type="dxa"/>
            <w:shd w:val="clear" w:color="auto" w:fill="auto"/>
            <w:noWrap/>
            <w:vAlign w:val="bottom"/>
          </w:tcPr>
          <w:p w14:paraId="2A137D22" w14:textId="77777777" w:rsidR="00F753E8" w:rsidRPr="008A0A4E" w:rsidRDefault="00F753E8" w:rsidP="006E1769">
            <w:pPr>
              <w:rPr>
                <w:rFonts w:ascii="Arial" w:hAnsi="Arial" w:cs="Arial"/>
                <w:color w:val="000000"/>
                <w:sz w:val="22"/>
                <w:szCs w:val="22"/>
              </w:rPr>
            </w:pPr>
          </w:p>
        </w:tc>
        <w:tc>
          <w:tcPr>
            <w:tcW w:w="2846" w:type="dxa"/>
            <w:shd w:val="clear" w:color="auto" w:fill="auto"/>
            <w:noWrap/>
          </w:tcPr>
          <w:p w14:paraId="48B454BF" w14:textId="77777777" w:rsidR="00F753E8" w:rsidRPr="008A0A4E" w:rsidRDefault="00F753E8" w:rsidP="006E1769">
            <w:pPr>
              <w:spacing w:line="20" w:lineRule="atLeast"/>
              <w:ind w:left="333" w:right="-50"/>
              <w:jc w:val="center"/>
              <w:rPr>
                <w:rFonts w:ascii="Arial" w:hAnsi="Arial" w:cs="Arial"/>
                <w:b/>
                <w:bCs/>
                <w:sz w:val="22"/>
                <w:szCs w:val="22"/>
              </w:rPr>
            </w:pPr>
            <w:r w:rsidRPr="008A0A4E">
              <w:rPr>
                <w:rFonts w:ascii="Arial" w:hAnsi="Arial" w:cs="Arial"/>
                <w:b/>
                <w:bCs/>
                <w:sz w:val="22"/>
                <w:szCs w:val="22"/>
              </w:rPr>
              <w:t>£000</w:t>
            </w:r>
          </w:p>
        </w:tc>
        <w:tc>
          <w:tcPr>
            <w:tcW w:w="1406" w:type="dxa"/>
            <w:shd w:val="clear" w:color="000000" w:fill="FFFFFF"/>
            <w:noWrap/>
          </w:tcPr>
          <w:p w14:paraId="49240398" w14:textId="77777777" w:rsidR="00F753E8" w:rsidRPr="008A0A4E" w:rsidRDefault="00F753E8" w:rsidP="006E1769">
            <w:pPr>
              <w:spacing w:line="20" w:lineRule="atLeast"/>
              <w:ind w:left="333" w:right="-50"/>
              <w:jc w:val="center"/>
              <w:rPr>
                <w:rFonts w:ascii="Arial" w:hAnsi="Arial" w:cs="Arial"/>
                <w:b/>
                <w:bCs/>
                <w:sz w:val="22"/>
                <w:szCs w:val="22"/>
              </w:rPr>
            </w:pPr>
            <w:r w:rsidRPr="008A0A4E">
              <w:rPr>
                <w:rFonts w:ascii="Arial" w:hAnsi="Arial" w:cs="Arial"/>
                <w:b/>
                <w:bCs/>
                <w:sz w:val="22"/>
                <w:szCs w:val="22"/>
              </w:rPr>
              <w:t>%</w:t>
            </w:r>
          </w:p>
        </w:tc>
      </w:tr>
      <w:tr w:rsidR="00F753E8" w:rsidRPr="00B64150" w14:paraId="630449C0" w14:textId="77777777" w:rsidTr="006E1769">
        <w:trPr>
          <w:trHeight w:val="34"/>
          <w:jc w:val="center"/>
        </w:trPr>
        <w:tc>
          <w:tcPr>
            <w:tcW w:w="3256" w:type="dxa"/>
            <w:shd w:val="clear" w:color="auto" w:fill="auto"/>
            <w:noWrap/>
            <w:vAlign w:val="bottom"/>
            <w:hideMark/>
          </w:tcPr>
          <w:p w14:paraId="02B15A20"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 London CIV - Baillie Gifford </w:t>
            </w:r>
          </w:p>
        </w:tc>
        <w:tc>
          <w:tcPr>
            <w:tcW w:w="2846" w:type="dxa"/>
            <w:tcBorders>
              <w:top w:val="nil"/>
              <w:left w:val="nil"/>
              <w:bottom w:val="single" w:sz="8" w:space="0" w:color="auto"/>
              <w:right w:val="single" w:sz="8" w:space="0" w:color="auto"/>
            </w:tcBorders>
            <w:shd w:val="clear" w:color="000000" w:fill="FFFFFF"/>
            <w:noWrap/>
            <w:vAlign w:val="center"/>
          </w:tcPr>
          <w:p w14:paraId="68DB1EF7" w14:textId="77777777" w:rsidR="00F753E8" w:rsidRPr="008A0A4E" w:rsidRDefault="00F753E8" w:rsidP="006E1769">
            <w:pPr>
              <w:ind w:right="615"/>
              <w:jc w:val="right"/>
              <w:rPr>
                <w:rFonts w:ascii="Arial" w:hAnsi="Arial" w:cs="Arial"/>
                <w:color w:val="000000"/>
                <w:sz w:val="22"/>
                <w:szCs w:val="22"/>
                <w:highlight w:val="yellow"/>
              </w:rPr>
            </w:pPr>
            <w:r>
              <w:rPr>
                <w:rFonts w:ascii="Arial" w:hAnsi="Arial" w:cs="Arial"/>
                <w:color w:val="000000"/>
                <w:sz w:val="22"/>
                <w:szCs w:val="22"/>
              </w:rPr>
              <w:t>291,693</w:t>
            </w:r>
          </w:p>
        </w:tc>
        <w:tc>
          <w:tcPr>
            <w:tcW w:w="1406" w:type="dxa"/>
            <w:tcBorders>
              <w:top w:val="nil"/>
              <w:left w:val="nil"/>
              <w:bottom w:val="single" w:sz="8" w:space="0" w:color="auto"/>
              <w:right w:val="single" w:sz="8" w:space="0" w:color="auto"/>
            </w:tcBorders>
            <w:shd w:val="clear" w:color="000000" w:fill="FFFFFF"/>
            <w:noWrap/>
            <w:vAlign w:val="center"/>
          </w:tcPr>
          <w:p w14:paraId="393FE36B" w14:textId="77777777" w:rsidR="00F753E8" w:rsidRPr="008A0A4E" w:rsidRDefault="00F753E8" w:rsidP="006E1769">
            <w:pPr>
              <w:ind w:right="68"/>
              <w:jc w:val="right"/>
              <w:rPr>
                <w:rFonts w:ascii="Arial" w:hAnsi="Arial" w:cs="Arial"/>
                <w:color w:val="000000"/>
                <w:sz w:val="22"/>
                <w:szCs w:val="22"/>
                <w:highlight w:val="yellow"/>
              </w:rPr>
            </w:pPr>
            <w:r>
              <w:rPr>
                <w:rFonts w:ascii="Arial" w:hAnsi="Arial" w:cs="Arial"/>
                <w:color w:val="000000"/>
                <w:sz w:val="22"/>
                <w:szCs w:val="22"/>
              </w:rPr>
              <w:t>21.4%</w:t>
            </w:r>
          </w:p>
        </w:tc>
      </w:tr>
      <w:tr w:rsidR="00F753E8" w:rsidRPr="00B64150" w14:paraId="54E694B0" w14:textId="77777777" w:rsidTr="006E1769">
        <w:trPr>
          <w:trHeight w:val="34"/>
          <w:jc w:val="center"/>
        </w:trPr>
        <w:tc>
          <w:tcPr>
            <w:tcW w:w="3256" w:type="dxa"/>
            <w:shd w:val="clear" w:color="auto" w:fill="auto"/>
            <w:noWrap/>
            <w:vAlign w:val="bottom"/>
            <w:hideMark/>
          </w:tcPr>
          <w:p w14:paraId="368E2856"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 UBS Passive Equity </w:t>
            </w:r>
          </w:p>
        </w:tc>
        <w:tc>
          <w:tcPr>
            <w:tcW w:w="2846" w:type="dxa"/>
            <w:tcBorders>
              <w:top w:val="nil"/>
              <w:left w:val="nil"/>
              <w:bottom w:val="single" w:sz="8" w:space="0" w:color="auto"/>
              <w:right w:val="single" w:sz="8" w:space="0" w:color="auto"/>
            </w:tcBorders>
            <w:shd w:val="clear" w:color="000000" w:fill="FFFFFF"/>
            <w:noWrap/>
            <w:vAlign w:val="center"/>
          </w:tcPr>
          <w:p w14:paraId="06AE4011" w14:textId="77777777" w:rsidR="00F753E8" w:rsidRPr="008A0A4E" w:rsidRDefault="00F753E8" w:rsidP="006E1769">
            <w:pPr>
              <w:ind w:right="615"/>
              <w:jc w:val="right"/>
              <w:rPr>
                <w:rFonts w:ascii="Arial" w:hAnsi="Arial" w:cs="Arial"/>
                <w:color w:val="000000"/>
                <w:sz w:val="22"/>
                <w:szCs w:val="22"/>
                <w:highlight w:val="yellow"/>
              </w:rPr>
            </w:pPr>
            <w:r>
              <w:rPr>
                <w:rFonts w:ascii="Arial" w:hAnsi="Arial" w:cs="Arial"/>
                <w:color w:val="000000"/>
                <w:sz w:val="22"/>
                <w:szCs w:val="22"/>
              </w:rPr>
              <w:t>274,912</w:t>
            </w:r>
          </w:p>
        </w:tc>
        <w:tc>
          <w:tcPr>
            <w:tcW w:w="1406" w:type="dxa"/>
            <w:tcBorders>
              <w:top w:val="nil"/>
              <w:left w:val="nil"/>
              <w:bottom w:val="single" w:sz="8" w:space="0" w:color="auto"/>
              <w:right w:val="single" w:sz="8" w:space="0" w:color="auto"/>
            </w:tcBorders>
            <w:shd w:val="clear" w:color="000000" w:fill="FFFFFF"/>
            <w:noWrap/>
            <w:vAlign w:val="center"/>
          </w:tcPr>
          <w:p w14:paraId="65DC70F7" w14:textId="77777777" w:rsidR="00F753E8" w:rsidRPr="008A0A4E" w:rsidRDefault="00F753E8" w:rsidP="006E1769">
            <w:pPr>
              <w:ind w:right="68"/>
              <w:jc w:val="right"/>
              <w:rPr>
                <w:rFonts w:ascii="Arial" w:hAnsi="Arial" w:cs="Arial"/>
                <w:color w:val="000000"/>
                <w:sz w:val="22"/>
                <w:szCs w:val="22"/>
                <w:highlight w:val="yellow"/>
              </w:rPr>
            </w:pPr>
            <w:r>
              <w:rPr>
                <w:rFonts w:ascii="Arial" w:hAnsi="Arial" w:cs="Arial"/>
                <w:color w:val="000000"/>
                <w:sz w:val="22"/>
                <w:szCs w:val="22"/>
              </w:rPr>
              <w:t>20.2%</w:t>
            </w:r>
          </w:p>
        </w:tc>
      </w:tr>
      <w:tr w:rsidR="00F753E8" w:rsidRPr="00B64150" w14:paraId="54738CF2" w14:textId="77777777" w:rsidTr="006E1769">
        <w:trPr>
          <w:trHeight w:val="34"/>
          <w:jc w:val="center"/>
        </w:trPr>
        <w:tc>
          <w:tcPr>
            <w:tcW w:w="3256" w:type="dxa"/>
            <w:shd w:val="clear" w:color="auto" w:fill="auto"/>
            <w:noWrap/>
            <w:vAlign w:val="bottom"/>
            <w:hideMark/>
          </w:tcPr>
          <w:p w14:paraId="2CE2FF6D"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 </w:t>
            </w:r>
            <w:proofErr w:type="spellStart"/>
            <w:r w:rsidRPr="008A0A4E">
              <w:rPr>
                <w:rFonts w:ascii="Arial" w:hAnsi="Arial" w:cs="Arial"/>
                <w:color w:val="000000"/>
                <w:sz w:val="22"/>
                <w:szCs w:val="22"/>
              </w:rPr>
              <w:t>Kempen</w:t>
            </w:r>
            <w:proofErr w:type="spellEnd"/>
            <w:r w:rsidRPr="008A0A4E">
              <w:rPr>
                <w:rFonts w:ascii="Arial" w:hAnsi="Arial" w:cs="Arial"/>
                <w:color w:val="000000"/>
                <w:sz w:val="22"/>
                <w:szCs w:val="22"/>
              </w:rPr>
              <w:t xml:space="preserve"> </w:t>
            </w:r>
          </w:p>
        </w:tc>
        <w:tc>
          <w:tcPr>
            <w:tcW w:w="2846" w:type="dxa"/>
            <w:tcBorders>
              <w:top w:val="nil"/>
              <w:left w:val="nil"/>
              <w:bottom w:val="single" w:sz="8" w:space="0" w:color="auto"/>
              <w:right w:val="single" w:sz="8" w:space="0" w:color="auto"/>
            </w:tcBorders>
            <w:shd w:val="clear" w:color="000000" w:fill="FFFFFF"/>
            <w:noWrap/>
            <w:vAlign w:val="center"/>
          </w:tcPr>
          <w:p w14:paraId="1B6DCA1F" w14:textId="77777777" w:rsidR="00F753E8" w:rsidRPr="008A0A4E" w:rsidRDefault="00F753E8" w:rsidP="006E1769">
            <w:pPr>
              <w:ind w:right="615"/>
              <w:jc w:val="right"/>
              <w:rPr>
                <w:rFonts w:ascii="Arial" w:hAnsi="Arial" w:cs="Arial"/>
                <w:color w:val="000000"/>
                <w:sz w:val="22"/>
                <w:szCs w:val="22"/>
                <w:highlight w:val="yellow"/>
              </w:rPr>
            </w:pPr>
            <w:r>
              <w:rPr>
                <w:rFonts w:ascii="Arial" w:hAnsi="Arial" w:cs="Arial"/>
                <w:color w:val="000000"/>
                <w:sz w:val="22"/>
                <w:szCs w:val="22"/>
              </w:rPr>
              <w:t>204,309</w:t>
            </w:r>
          </w:p>
        </w:tc>
        <w:tc>
          <w:tcPr>
            <w:tcW w:w="1406" w:type="dxa"/>
            <w:tcBorders>
              <w:top w:val="nil"/>
              <w:left w:val="nil"/>
              <w:bottom w:val="single" w:sz="8" w:space="0" w:color="auto"/>
              <w:right w:val="single" w:sz="8" w:space="0" w:color="auto"/>
            </w:tcBorders>
            <w:shd w:val="clear" w:color="000000" w:fill="FFFFFF"/>
            <w:noWrap/>
            <w:vAlign w:val="center"/>
          </w:tcPr>
          <w:p w14:paraId="5DEFD2B7" w14:textId="77777777" w:rsidR="00F753E8" w:rsidRPr="008A0A4E" w:rsidRDefault="00F753E8" w:rsidP="006E1769">
            <w:pPr>
              <w:ind w:right="68"/>
              <w:jc w:val="right"/>
              <w:rPr>
                <w:rFonts w:ascii="Arial" w:hAnsi="Arial" w:cs="Arial"/>
                <w:color w:val="000000"/>
                <w:sz w:val="22"/>
                <w:szCs w:val="22"/>
                <w:highlight w:val="yellow"/>
              </w:rPr>
            </w:pPr>
            <w:r>
              <w:rPr>
                <w:rFonts w:ascii="Arial" w:hAnsi="Arial" w:cs="Arial"/>
                <w:color w:val="000000"/>
                <w:sz w:val="22"/>
                <w:szCs w:val="22"/>
              </w:rPr>
              <w:t>15.0%</w:t>
            </w:r>
          </w:p>
        </w:tc>
      </w:tr>
      <w:tr w:rsidR="00F753E8" w:rsidRPr="00B64150" w14:paraId="4AB8440A" w14:textId="77777777" w:rsidTr="006E1769">
        <w:trPr>
          <w:trHeight w:val="34"/>
          <w:jc w:val="center"/>
        </w:trPr>
        <w:tc>
          <w:tcPr>
            <w:tcW w:w="3256" w:type="dxa"/>
            <w:shd w:val="clear" w:color="auto" w:fill="auto"/>
            <w:noWrap/>
            <w:vAlign w:val="bottom"/>
            <w:hideMark/>
          </w:tcPr>
          <w:p w14:paraId="6FF31147"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 London CIV </w:t>
            </w:r>
            <w:r>
              <w:rPr>
                <w:rFonts w:ascii="Arial" w:hAnsi="Arial" w:cs="Arial"/>
                <w:color w:val="000000"/>
                <w:sz w:val="22"/>
                <w:szCs w:val="22"/>
              </w:rPr>
              <w:t>–</w:t>
            </w:r>
            <w:r w:rsidRPr="008A0A4E">
              <w:rPr>
                <w:rFonts w:ascii="Arial" w:hAnsi="Arial" w:cs="Arial"/>
                <w:color w:val="000000"/>
                <w:sz w:val="22"/>
                <w:szCs w:val="22"/>
              </w:rPr>
              <w:t xml:space="preserve"> </w:t>
            </w:r>
            <w:proofErr w:type="spellStart"/>
            <w:r w:rsidRPr="008A0A4E">
              <w:rPr>
                <w:rFonts w:ascii="Arial" w:hAnsi="Arial" w:cs="Arial"/>
                <w:color w:val="000000"/>
                <w:sz w:val="22"/>
                <w:szCs w:val="22"/>
              </w:rPr>
              <w:t>Pyrford</w:t>
            </w:r>
            <w:proofErr w:type="spellEnd"/>
            <w:r>
              <w:rPr>
                <w:rFonts w:ascii="Arial" w:hAnsi="Arial" w:cs="Arial"/>
                <w:color w:val="000000"/>
                <w:sz w:val="22"/>
                <w:szCs w:val="22"/>
              </w:rPr>
              <w:t>/Newton</w:t>
            </w:r>
          </w:p>
        </w:tc>
        <w:tc>
          <w:tcPr>
            <w:tcW w:w="2846" w:type="dxa"/>
            <w:tcBorders>
              <w:top w:val="nil"/>
              <w:left w:val="nil"/>
              <w:bottom w:val="single" w:sz="8" w:space="0" w:color="auto"/>
              <w:right w:val="single" w:sz="8" w:space="0" w:color="auto"/>
            </w:tcBorders>
            <w:shd w:val="clear" w:color="000000" w:fill="FFFFFF"/>
            <w:noWrap/>
            <w:vAlign w:val="center"/>
          </w:tcPr>
          <w:p w14:paraId="5AEACA2D" w14:textId="77777777" w:rsidR="00F753E8" w:rsidRPr="008A0A4E" w:rsidRDefault="00F753E8" w:rsidP="006E1769">
            <w:pPr>
              <w:ind w:right="615"/>
              <w:jc w:val="right"/>
              <w:rPr>
                <w:rFonts w:ascii="Arial" w:hAnsi="Arial" w:cs="Arial"/>
                <w:color w:val="000000"/>
                <w:sz w:val="22"/>
                <w:szCs w:val="22"/>
                <w:highlight w:val="yellow"/>
              </w:rPr>
            </w:pPr>
            <w:r>
              <w:rPr>
                <w:rFonts w:ascii="Arial" w:hAnsi="Arial" w:cs="Arial"/>
                <w:color w:val="000000"/>
                <w:sz w:val="22"/>
                <w:szCs w:val="22"/>
              </w:rPr>
              <w:t>196,336</w:t>
            </w:r>
          </w:p>
        </w:tc>
        <w:tc>
          <w:tcPr>
            <w:tcW w:w="1406" w:type="dxa"/>
            <w:tcBorders>
              <w:top w:val="nil"/>
              <w:left w:val="nil"/>
              <w:bottom w:val="single" w:sz="8" w:space="0" w:color="auto"/>
              <w:right w:val="single" w:sz="8" w:space="0" w:color="auto"/>
            </w:tcBorders>
            <w:shd w:val="clear" w:color="000000" w:fill="FFFFFF"/>
            <w:noWrap/>
            <w:vAlign w:val="center"/>
          </w:tcPr>
          <w:p w14:paraId="7C5B0413" w14:textId="77777777" w:rsidR="00F753E8" w:rsidRPr="008A0A4E" w:rsidRDefault="00F753E8" w:rsidP="006E1769">
            <w:pPr>
              <w:ind w:right="68"/>
              <w:jc w:val="right"/>
              <w:rPr>
                <w:rFonts w:ascii="Arial" w:hAnsi="Arial" w:cs="Arial"/>
                <w:color w:val="000000"/>
                <w:sz w:val="22"/>
                <w:szCs w:val="22"/>
                <w:highlight w:val="yellow"/>
              </w:rPr>
            </w:pPr>
            <w:r>
              <w:rPr>
                <w:rFonts w:ascii="Arial" w:hAnsi="Arial" w:cs="Arial"/>
                <w:color w:val="000000"/>
                <w:sz w:val="22"/>
                <w:szCs w:val="22"/>
              </w:rPr>
              <w:t>14.4%</w:t>
            </w:r>
          </w:p>
        </w:tc>
      </w:tr>
      <w:tr w:rsidR="00F753E8" w:rsidRPr="00B64150" w14:paraId="6543F37F" w14:textId="77777777" w:rsidTr="006E1769">
        <w:trPr>
          <w:trHeight w:val="34"/>
          <w:jc w:val="center"/>
        </w:trPr>
        <w:tc>
          <w:tcPr>
            <w:tcW w:w="3256" w:type="dxa"/>
            <w:shd w:val="clear" w:color="auto" w:fill="auto"/>
            <w:noWrap/>
            <w:vAlign w:val="bottom"/>
            <w:hideMark/>
          </w:tcPr>
          <w:p w14:paraId="1A170648"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 Hermes </w:t>
            </w:r>
          </w:p>
        </w:tc>
        <w:tc>
          <w:tcPr>
            <w:tcW w:w="2846" w:type="dxa"/>
            <w:tcBorders>
              <w:top w:val="nil"/>
              <w:left w:val="nil"/>
              <w:bottom w:val="single" w:sz="8" w:space="0" w:color="auto"/>
              <w:right w:val="single" w:sz="8" w:space="0" w:color="auto"/>
            </w:tcBorders>
            <w:shd w:val="clear" w:color="000000" w:fill="FFFFFF"/>
            <w:noWrap/>
            <w:vAlign w:val="center"/>
          </w:tcPr>
          <w:p w14:paraId="0058B90C" w14:textId="77777777" w:rsidR="00F753E8" w:rsidRPr="008A0A4E" w:rsidRDefault="00F753E8" w:rsidP="006E1769">
            <w:pPr>
              <w:ind w:right="615"/>
              <w:jc w:val="right"/>
              <w:rPr>
                <w:rFonts w:ascii="Arial" w:hAnsi="Arial" w:cs="Arial"/>
                <w:color w:val="000000"/>
                <w:sz w:val="22"/>
                <w:szCs w:val="22"/>
                <w:highlight w:val="yellow"/>
              </w:rPr>
            </w:pPr>
            <w:r>
              <w:rPr>
                <w:rFonts w:ascii="Arial" w:hAnsi="Arial" w:cs="Arial"/>
                <w:color w:val="000000"/>
                <w:sz w:val="22"/>
                <w:szCs w:val="22"/>
              </w:rPr>
              <w:t>104,150</w:t>
            </w:r>
          </w:p>
        </w:tc>
        <w:tc>
          <w:tcPr>
            <w:tcW w:w="1406" w:type="dxa"/>
            <w:tcBorders>
              <w:top w:val="nil"/>
              <w:left w:val="nil"/>
              <w:bottom w:val="single" w:sz="8" w:space="0" w:color="auto"/>
              <w:right w:val="single" w:sz="8" w:space="0" w:color="auto"/>
            </w:tcBorders>
            <w:shd w:val="clear" w:color="000000" w:fill="FFFFFF"/>
            <w:noWrap/>
            <w:vAlign w:val="center"/>
          </w:tcPr>
          <w:p w14:paraId="66BFC05F" w14:textId="77777777" w:rsidR="00F753E8" w:rsidRPr="008A0A4E" w:rsidRDefault="00F753E8" w:rsidP="006E1769">
            <w:pPr>
              <w:ind w:right="68"/>
              <w:jc w:val="right"/>
              <w:rPr>
                <w:rFonts w:ascii="Arial" w:hAnsi="Arial" w:cs="Arial"/>
                <w:color w:val="000000"/>
                <w:sz w:val="22"/>
                <w:szCs w:val="22"/>
                <w:highlight w:val="yellow"/>
              </w:rPr>
            </w:pPr>
            <w:r>
              <w:rPr>
                <w:rFonts w:ascii="Arial" w:hAnsi="Arial" w:cs="Arial"/>
                <w:color w:val="000000"/>
                <w:sz w:val="22"/>
                <w:szCs w:val="22"/>
              </w:rPr>
              <w:t>7.7%</w:t>
            </w:r>
          </w:p>
        </w:tc>
      </w:tr>
    </w:tbl>
    <w:p w14:paraId="7AE14871" w14:textId="77777777" w:rsidR="00F753E8" w:rsidRPr="008A0A4E" w:rsidRDefault="00F753E8" w:rsidP="00F753E8">
      <w:pPr>
        <w:pStyle w:val="BodyTextIndent2"/>
        <w:spacing w:after="0" w:line="240" w:lineRule="auto"/>
        <w:ind w:left="502"/>
        <w:jc w:val="both"/>
        <w:rPr>
          <w:rFonts w:ascii="Arial" w:hAnsi="Arial" w:cs="Arial"/>
          <w:b/>
          <w:sz w:val="22"/>
          <w:szCs w:val="22"/>
        </w:rPr>
      </w:pPr>
    </w:p>
    <w:p w14:paraId="2FA51A2D" w14:textId="77777777" w:rsidR="00F753E8" w:rsidRPr="008A0A4E" w:rsidRDefault="00F753E8" w:rsidP="007337FE">
      <w:pPr>
        <w:pStyle w:val="BodyTextIndent2"/>
        <w:numPr>
          <w:ilvl w:val="0"/>
          <w:numId w:val="90"/>
        </w:numPr>
        <w:spacing w:after="0" w:line="240" w:lineRule="auto"/>
        <w:ind w:left="502"/>
        <w:jc w:val="both"/>
        <w:rPr>
          <w:rFonts w:ascii="Arial" w:hAnsi="Arial" w:cs="Arial"/>
          <w:b/>
          <w:sz w:val="22"/>
          <w:szCs w:val="22"/>
        </w:rPr>
      </w:pPr>
      <w:r w:rsidRPr="008A0A4E">
        <w:rPr>
          <w:rFonts w:ascii="Arial" w:hAnsi="Arial" w:cs="Arial"/>
          <w:b/>
          <w:sz w:val="22"/>
          <w:szCs w:val="22"/>
        </w:rPr>
        <w:t>Investment Strategy Statement</w:t>
      </w:r>
    </w:p>
    <w:p w14:paraId="6BEA0564" w14:textId="77777777" w:rsidR="00F753E8" w:rsidRPr="008A0A4E" w:rsidRDefault="00F753E8" w:rsidP="00F753E8">
      <w:pPr>
        <w:pStyle w:val="BodyTextIndent2"/>
        <w:spacing w:after="0" w:line="240" w:lineRule="auto"/>
        <w:ind w:left="426"/>
        <w:jc w:val="both"/>
        <w:rPr>
          <w:rFonts w:ascii="Arial" w:hAnsi="Arial" w:cs="Arial"/>
          <w:b/>
          <w:sz w:val="22"/>
          <w:szCs w:val="22"/>
        </w:rPr>
      </w:pPr>
    </w:p>
    <w:p w14:paraId="0BDDAD64" w14:textId="77777777" w:rsidR="00F753E8" w:rsidRPr="008A0A4E" w:rsidRDefault="00F753E8" w:rsidP="00F753E8">
      <w:pPr>
        <w:tabs>
          <w:tab w:val="left" w:pos="426"/>
        </w:tabs>
        <w:ind w:left="425"/>
        <w:jc w:val="both"/>
        <w:rPr>
          <w:rStyle w:val="Hyperlink"/>
          <w:rFonts w:ascii="Arial" w:hAnsi="Arial" w:cs="Arial"/>
          <w:sz w:val="22"/>
          <w:szCs w:val="22"/>
        </w:rPr>
      </w:pPr>
      <w:r w:rsidRPr="008A0A4E">
        <w:rPr>
          <w:rFonts w:ascii="Arial" w:hAnsi="Arial" w:cs="Arial"/>
          <w:sz w:val="22"/>
          <w:szCs w:val="22"/>
        </w:rPr>
        <w:t>An Investment Strategy Statement was agreed by the Council’s Investment Committee on 1</w:t>
      </w:r>
      <w:r>
        <w:rPr>
          <w:rFonts w:ascii="Arial" w:hAnsi="Arial" w:cs="Arial"/>
          <w:sz w:val="22"/>
          <w:szCs w:val="22"/>
        </w:rPr>
        <w:t>6 December</w:t>
      </w:r>
      <w:r w:rsidRPr="008A0A4E">
        <w:rPr>
          <w:rFonts w:ascii="Arial" w:hAnsi="Arial" w:cs="Arial"/>
          <w:sz w:val="22"/>
          <w:szCs w:val="22"/>
        </w:rPr>
        <w:t xml:space="preserve"> 20</w:t>
      </w:r>
      <w:r>
        <w:rPr>
          <w:rFonts w:ascii="Arial" w:hAnsi="Arial" w:cs="Arial"/>
          <w:sz w:val="22"/>
          <w:szCs w:val="22"/>
        </w:rPr>
        <w:t>20</w:t>
      </w:r>
      <w:r w:rsidRPr="008A0A4E">
        <w:rPr>
          <w:rFonts w:ascii="Arial" w:hAnsi="Arial" w:cs="Arial"/>
          <w:sz w:val="22"/>
          <w:szCs w:val="22"/>
        </w:rPr>
        <w:t xml:space="preserve"> and is updated periodically to reflect changes made in Investment Management arrangements. The nature and extent of risk arising from financial instruments and how the Fund manages those risks is included in the Investment Strategy Statement. Copies can be obtained from the Council’s Pension website: </w:t>
      </w:r>
      <w:hyperlink r:id="rId40" w:history="1">
        <w:r w:rsidRPr="008A0A4E">
          <w:rPr>
            <w:rStyle w:val="Hyperlink"/>
            <w:rFonts w:ascii="Arial" w:hAnsi="Arial" w:cs="Arial"/>
            <w:sz w:val="22"/>
            <w:szCs w:val="22"/>
          </w:rPr>
          <w:t>http://www.lbbdpensionfund.org</w:t>
        </w:r>
      </w:hyperlink>
    </w:p>
    <w:p w14:paraId="525183B5" w14:textId="77777777" w:rsidR="00F753E8" w:rsidRDefault="00F753E8" w:rsidP="00F753E8">
      <w:pPr>
        <w:tabs>
          <w:tab w:val="left" w:pos="426"/>
        </w:tabs>
        <w:jc w:val="both"/>
        <w:rPr>
          <w:rFonts w:ascii="Arial" w:hAnsi="Arial" w:cs="Arial"/>
          <w:sz w:val="22"/>
          <w:szCs w:val="22"/>
        </w:rPr>
      </w:pPr>
    </w:p>
    <w:p w14:paraId="1C36A14E" w14:textId="77777777" w:rsidR="00F753E8" w:rsidRPr="008A0A4E" w:rsidRDefault="00F753E8" w:rsidP="00F753E8">
      <w:pPr>
        <w:tabs>
          <w:tab w:val="left" w:pos="426"/>
        </w:tabs>
        <w:jc w:val="both"/>
        <w:rPr>
          <w:rFonts w:ascii="Arial" w:hAnsi="Arial" w:cs="Arial"/>
          <w:sz w:val="22"/>
          <w:szCs w:val="22"/>
        </w:rPr>
      </w:pPr>
    </w:p>
    <w:p w14:paraId="76D6EC0C" w14:textId="77777777" w:rsidR="00F753E8" w:rsidRPr="008A0A4E" w:rsidRDefault="00F753E8" w:rsidP="007337FE">
      <w:pPr>
        <w:pStyle w:val="BodyTextIndent2"/>
        <w:numPr>
          <w:ilvl w:val="0"/>
          <w:numId w:val="90"/>
        </w:numPr>
        <w:spacing w:after="0" w:line="240" w:lineRule="auto"/>
        <w:ind w:left="502"/>
        <w:jc w:val="both"/>
        <w:rPr>
          <w:rFonts w:ascii="Arial" w:hAnsi="Arial" w:cs="Arial"/>
          <w:b/>
          <w:sz w:val="22"/>
          <w:szCs w:val="22"/>
        </w:rPr>
      </w:pPr>
      <w:r w:rsidRPr="008A0A4E">
        <w:rPr>
          <w:rFonts w:ascii="Arial" w:hAnsi="Arial" w:cs="Arial"/>
          <w:b/>
          <w:sz w:val="22"/>
          <w:szCs w:val="22"/>
        </w:rPr>
        <w:t xml:space="preserve">Actuarial position </w:t>
      </w:r>
    </w:p>
    <w:p w14:paraId="2E2A89D6" w14:textId="77777777" w:rsidR="00F753E8" w:rsidRPr="008A0A4E" w:rsidRDefault="00F753E8" w:rsidP="00F753E8">
      <w:pPr>
        <w:ind w:left="720"/>
        <w:jc w:val="both"/>
        <w:rPr>
          <w:rFonts w:ascii="Arial" w:hAnsi="Arial" w:cs="Arial"/>
          <w:b/>
          <w:sz w:val="22"/>
          <w:szCs w:val="22"/>
          <w:highlight w:val="yellow"/>
        </w:rPr>
      </w:pPr>
    </w:p>
    <w:p w14:paraId="30F6ABC9" w14:textId="77777777" w:rsidR="00F753E8" w:rsidRPr="008A0A4E" w:rsidRDefault="00F753E8" w:rsidP="00F753E8">
      <w:pPr>
        <w:tabs>
          <w:tab w:val="left" w:pos="851"/>
        </w:tabs>
        <w:ind w:left="284"/>
        <w:jc w:val="both"/>
        <w:rPr>
          <w:rFonts w:ascii="Arial" w:hAnsi="Arial" w:cs="Arial"/>
          <w:b/>
          <w:sz w:val="22"/>
          <w:szCs w:val="22"/>
        </w:rPr>
      </w:pPr>
      <w:r w:rsidRPr="008A0A4E">
        <w:rPr>
          <w:rFonts w:ascii="Arial" w:hAnsi="Arial" w:cs="Arial"/>
          <w:b/>
          <w:sz w:val="22"/>
          <w:szCs w:val="22"/>
        </w:rPr>
        <w:t>Actuarial assumptions</w:t>
      </w:r>
      <w:r w:rsidRPr="008A0A4E">
        <w:rPr>
          <w:rFonts w:ascii="Arial" w:hAnsi="Arial" w:cs="Arial"/>
          <w:color w:val="FF0000"/>
          <w:sz w:val="22"/>
          <w:szCs w:val="22"/>
        </w:rPr>
        <w:t xml:space="preserve"> </w:t>
      </w:r>
    </w:p>
    <w:p w14:paraId="02291E15" w14:textId="77777777" w:rsidR="00F753E8" w:rsidRPr="008A0A4E" w:rsidRDefault="00F753E8" w:rsidP="00F753E8">
      <w:pPr>
        <w:tabs>
          <w:tab w:val="left" w:pos="851"/>
        </w:tabs>
        <w:ind w:left="284"/>
        <w:jc w:val="both"/>
        <w:rPr>
          <w:rFonts w:ascii="Arial" w:hAnsi="Arial" w:cs="Arial"/>
          <w:b/>
          <w:sz w:val="22"/>
          <w:szCs w:val="22"/>
        </w:rPr>
      </w:pPr>
    </w:p>
    <w:p w14:paraId="7E73B9DB" w14:textId="77777777" w:rsidR="00F753E8" w:rsidRPr="008A0A4E" w:rsidRDefault="00F753E8" w:rsidP="00F753E8">
      <w:pPr>
        <w:tabs>
          <w:tab w:val="left" w:pos="851"/>
          <w:tab w:val="left" w:pos="1560"/>
        </w:tabs>
        <w:ind w:left="284"/>
        <w:jc w:val="both"/>
        <w:rPr>
          <w:rFonts w:ascii="Arial" w:hAnsi="Arial" w:cs="Arial"/>
          <w:sz w:val="22"/>
          <w:szCs w:val="22"/>
        </w:rPr>
      </w:pPr>
      <w:r w:rsidRPr="008A0A4E">
        <w:rPr>
          <w:rFonts w:ascii="Arial" w:hAnsi="Arial" w:cs="Arial"/>
          <w:sz w:val="22"/>
          <w:szCs w:val="22"/>
        </w:rPr>
        <w:t xml:space="preserve">The 2019 triennial review of the Fund took place as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2019 and the salient features of that review were as follows:</w:t>
      </w:r>
    </w:p>
    <w:p w14:paraId="38AE0989" w14:textId="77777777" w:rsidR="00F753E8" w:rsidRPr="008A0A4E" w:rsidRDefault="00F753E8" w:rsidP="00F753E8">
      <w:pPr>
        <w:ind w:left="720"/>
        <w:jc w:val="both"/>
        <w:rPr>
          <w:rFonts w:ascii="Arial" w:hAnsi="Arial" w:cs="Arial"/>
          <w:sz w:val="22"/>
          <w:szCs w:val="22"/>
        </w:rPr>
      </w:pPr>
    </w:p>
    <w:p w14:paraId="07B0AACF" w14:textId="77777777" w:rsidR="00F753E8" w:rsidRPr="008A0A4E" w:rsidRDefault="00F753E8" w:rsidP="007337FE">
      <w:pPr>
        <w:numPr>
          <w:ilvl w:val="0"/>
          <w:numId w:val="96"/>
        </w:numPr>
        <w:ind w:left="709" w:hanging="283"/>
        <w:jc w:val="both"/>
        <w:rPr>
          <w:rFonts w:ascii="Arial" w:hAnsi="Arial" w:cs="Arial"/>
          <w:sz w:val="22"/>
          <w:szCs w:val="22"/>
        </w:rPr>
      </w:pPr>
      <w:r w:rsidRPr="008A0A4E">
        <w:rPr>
          <w:rFonts w:ascii="Arial" w:hAnsi="Arial" w:cs="Arial"/>
          <w:sz w:val="22"/>
          <w:szCs w:val="22"/>
        </w:rPr>
        <w:t xml:space="preserve">The funding target is to achieve a funding level of at least 100% over a specific </w:t>
      </w:r>
      <w:proofErr w:type="gramStart"/>
      <w:r w:rsidRPr="008A0A4E">
        <w:rPr>
          <w:rFonts w:ascii="Arial" w:hAnsi="Arial" w:cs="Arial"/>
          <w:sz w:val="22"/>
          <w:szCs w:val="22"/>
        </w:rPr>
        <w:t>period;</w:t>
      </w:r>
      <w:proofErr w:type="gramEnd"/>
    </w:p>
    <w:p w14:paraId="1F95791B" w14:textId="77777777" w:rsidR="00F753E8" w:rsidRPr="008A0A4E" w:rsidRDefault="00F753E8" w:rsidP="007337FE">
      <w:pPr>
        <w:numPr>
          <w:ilvl w:val="0"/>
          <w:numId w:val="96"/>
        </w:numPr>
        <w:ind w:left="709" w:hanging="283"/>
        <w:jc w:val="both"/>
        <w:rPr>
          <w:rFonts w:ascii="Arial" w:hAnsi="Arial" w:cs="Arial"/>
          <w:sz w:val="22"/>
          <w:szCs w:val="22"/>
        </w:rPr>
      </w:pPr>
      <w:r w:rsidRPr="008A0A4E">
        <w:rPr>
          <w:rFonts w:ascii="Arial" w:hAnsi="Arial" w:cs="Arial"/>
          <w:sz w:val="22"/>
          <w:szCs w:val="22"/>
        </w:rPr>
        <w:t xml:space="preserve">Deficit recovery period remained 17 years in </w:t>
      </w:r>
      <w:proofErr w:type="gramStart"/>
      <w:r w:rsidRPr="008A0A4E">
        <w:rPr>
          <w:rFonts w:ascii="Arial" w:hAnsi="Arial" w:cs="Arial"/>
          <w:sz w:val="22"/>
          <w:szCs w:val="22"/>
        </w:rPr>
        <w:t>2019;</w:t>
      </w:r>
      <w:proofErr w:type="gramEnd"/>
    </w:p>
    <w:p w14:paraId="4453B33C" w14:textId="77777777" w:rsidR="00F753E8" w:rsidRPr="008A0A4E" w:rsidRDefault="00F753E8" w:rsidP="007337FE">
      <w:pPr>
        <w:numPr>
          <w:ilvl w:val="0"/>
          <w:numId w:val="96"/>
        </w:numPr>
        <w:ind w:left="709" w:hanging="283"/>
        <w:jc w:val="both"/>
        <w:rPr>
          <w:rFonts w:ascii="Arial" w:hAnsi="Arial" w:cs="Arial"/>
          <w:sz w:val="22"/>
          <w:szCs w:val="22"/>
        </w:rPr>
      </w:pPr>
      <w:r w:rsidRPr="008A0A4E">
        <w:rPr>
          <w:rFonts w:ascii="Arial" w:hAnsi="Arial" w:cs="Arial"/>
          <w:sz w:val="22"/>
          <w:szCs w:val="22"/>
        </w:rPr>
        <w:t>The key financial assumptions adopted at this valuation are:</w:t>
      </w:r>
    </w:p>
    <w:p w14:paraId="5A0FE800" w14:textId="77777777" w:rsidR="00F753E8" w:rsidRPr="008A0A4E" w:rsidRDefault="00F753E8" w:rsidP="00F753E8">
      <w:pPr>
        <w:numPr>
          <w:ilvl w:val="0"/>
          <w:numId w:val="4"/>
        </w:numPr>
        <w:ind w:left="992" w:hanging="283"/>
        <w:jc w:val="both"/>
        <w:rPr>
          <w:rFonts w:ascii="Arial" w:hAnsi="Arial" w:cs="Arial"/>
          <w:sz w:val="22"/>
          <w:szCs w:val="22"/>
        </w:rPr>
      </w:pPr>
      <w:r w:rsidRPr="008A0A4E">
        <w:rPr>
          <w:rFonts w:ascii="Arial" w:hAnsi="Arial" w:cs="Arial"/>
          <w:sz w:val="22"/>
          <w:szCs w:val="22"/>
        </w:rPr>
        <w:t>Future levels of price inflation are based on the Consumer Price Index (CPI</w:t>
      </w:r>
      <w:proofErr w:type="gramStart"/>
      <w:r w:rsidRPr="008A0A4E">
        <w:rPr>
          <w:rFonts w:ascii="Arial" w:hAnsi="Arial" w:cs="Arial"/>
          <w:sz w:val="22"/>
          <w:szCs w:val="22"/>
        </w:rPr>
        <w:t>);</w:t>
      </w:r>
      <w:proofErr w:type="gramEnd"/>
    </w:p>
    <w:p w14:paraId="2F4434B9" w14:textId="77777777" w:rsidR="00F753E8" w:rsidRPr="008A0A4E" w:rsidRDefault="00F753E8" w:rsidP="00F753E8">
      <w:pPr>
        <w:numPr>
          <w:ilvl w:val="0"/>
          <w:numId w:val="2"/>
        </w:numPr>
        <w:ind w:left="992" w:hanging="283"/>
        <w:jc w:val="both"/>
        <w:rPr>
          <w:rFonts w:ascii="Arial" w:hAnsi="Arial" w:cs="Arial"/>
          <w:sz w:val="22"/>
          <w:szCs w:val="22"/>
        </w:rPr>
      </w:pPr>
      <w:r w:rsidRPr="008A0A4E">
        <w:rPr>
          <w:rFonts w:ascii="Arial" w:hAnsi="Arial" w:cs="Arial"/>
          <w:sz w:val="22"/>
          <w:szCs w:val="22"/>
        </w:rPr>
        <w:t xml:space="preserve">The resulting discount rate of 4.0% (4.1% as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2016).</w:t>
      </w:r>
    </w:p>
    <w:p w14:paraId="66A7662F" w14:textId="77777777" w:rsidR="00F753E8" w:rsidRPr="008A0A4E" w:rsidRDefault="00F753E8" w:rsidP="007337FE">
      <w:pPr>
        <w:numPr>
          <w:ilvl w:val="0"/>
          <w:numId w:val="97"/>
        </w:numPr>
        <w:ind w:left="709" w:hanging="283"/>
        <w:jc w:val="both"/>
        <w:rPr>
          <w:rFonts w:ascii="Arial" w:hAnsi="Arial" w:cs="Arial"/>
          <w:sz w:val="22"/>
          <w:szCs w:val="22"/>
        </w:rPr>
      </w:pPr>
      <w:r w:rsidRPr="008A0A4E">
        <w:rPr>
          <w:rFonts w:ascii="Arial" w:hAnsi="Arial" w:cs="Arial"/>
          <w:sz w:val="22"/>
          <w:szCs w:val="22"/>
        </w:rPr>
        <w:t xml:space="preserve">Market value of the scheme’s assets at the date of the valuation were £1,022 </w:t>
      </w:r>
      <w:proofErr w:type="gramStart"/>
      <w:r w:rsidRPr="008A0A4E">
        <w:rPr>
          <w:rFonts w:ascii="Arial" w:hAnsi="Arial" w:cs="Arial"/>
          <w:sz w:val="22"/>
          <w:szCs w:val="22"/>
        </w:rPr>
        <w:t>million;</w:t>
      </w:r>
      <w:proofErr w:type="gramEnd"/>
    </w:p>
    <w:p w14:paraId="3F081621" w14:textId="77777777" w:rsidR="00F753E8" w:rsidRPr="008A0A4E" w:rsidRDefault="00F753E8" w:rsidP="007337FE">
      <w:pPr>
        <w:numPr>
          <w:ilvl w:val="0"/>
          <w:numId w:val="97"/>
        </w:numPr>
        <w:ind w:left="709" w:hanging="283"/>
        <w:jc w:val="both"/>
        <w:rPr>
          <w:rFonts w:ascii="Arial" w:hAnsi="Arial" w:cs="Arial"/>
          <w:sz w:val="22"/>
          <w:szCs w:val="22"/>
        </w:rPr>
      </w:pPr>
      <w:r w:rsidRPr="008A0A4E">
        <w:rPr>
          <w:rFonts w:ascii="Arial" w:hAnsi="Arial" w:cs="Arial"/>
          <w:sz w:val="22"/>
          <w:szCs w:val="22"/>
        </w:rPr>
        <w:t xml:space="preserve">The past service liabilities at the rate of the valuation were £1,141 </w:t>
      </w:r>
      <w:proofErr w:type="gramStart"/>
      <w:r w:rsidRPr="008A0A4E">
        <w:rPr>
          <w:rFonts w:ascii="Arial" w:hAnsi="Arial" w:cs="Arial"/>
          <w:sz w:val="22"/>
          <w:szCs w:val="22"/>
        </w:rPr>
        <w:t>Million;</w:t>
      </w:r>
      <w:proofErr w:type="gramEnd"/>
    </w:p>
    <w:p w14:paraId="3445CFE6" w14:textId="77777777" w:rsidR="00F753E8" w:rsidRPr="008A0A4E" w:rsidRDefault="00F753E8" w:rsidP="007337FE">
      <w:pPr>
        <w:numPr>
          <w:ilvl w:val="0"/>
          <w:numId w:val="97"/>
        </w:numPr>
        <w:ind w:left="709" w:hanging="283"/>
        <w:jc w:val="both"/>
        <w:rPr>
          <w:rFonts w:ascii="Arial" w:hAnsi="Arial" w:cs="Arial"/>
          <w:sz w:val="22"/>
          <w:szCs w:val="22"/>
        </w:rPr>
      </w:pPr>
      <w:r w:rsidRPr="008A0A4E">
        <w:rPr>
          <w:rFonts w:ascii="Arial" w:hAnsi="Arial" w:cs="Arial"/>
          <w:sz w:val="22"/>
          <w:szCs w:val="22"/>
        </w:rPr>
        <w:t xml:space="preserve">The resulting funding level was 90% (77% as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2016); and</w:t>
      </w:r>
    </w:p>
    <w:p w14:paraId="75457136" w14:textId="77777777" w:rsidR="00F753E8" w:rsidRPr="008A0A4E" w:rsidRDefault="00F753E8" w:rsidP="007337FE">
      <w:pPr>
        <w:numPr>
          <w:ilvl w:val="0"/>
          <w:numId w:val="97"/>
        </w:numPr>
        <w:ind w:left="709" w:hanging="283"/>
        <w:jc w:val="both"/>
        <w:rPr>
          <w:rFonts w:ascii="Arial" w:hAnsi="Arial" w:cs="Arial"/>
          <w:sz w:val="22"/>
          <w:szCs w:val="22"/>
        </w:rPr>
      </w:pPr>
      <w:r w:rsidRPr="008A0A4E">
        <w:rPr>
          <w:rFonts w:ascii="Arial" w:hAnsi="Arial" w:cs="Arial"/>
          <w:sz w:val="22"/>
          <w:szCs w:val="22"/>
        </w:rPr>
        <w:t xml:space="preserve">The use of an appropriate asset outperformance assumption is based on available evidence and is a measure of the degree of prudence assumed in the funding strategy. </w:t>
      </w:r>
    </w:p>
    <w:p w14:paraId="0415097A" w14:textId="77777777" w:rsidR="00F753E8" w:rsidRPr="008A0A4E" w:rsidRDefault="00F753E8" w:rsidP="00F753E8">
      <w:pPr>
        <w:jc w:val="both"/>
        <w:rPr>
          <w:rFonts w:ascii="Arial" w:hAnsi="Arial" w:cs="Arial"/>
          <w:sz w:val="22"/>
          <w:szCs w:val="22"/>
        </w:rPr>
      </w:pPr>
    </w:p>
    <w:p w14:paraId="36192D51" w14:textId="77777777" w:rsidR="00F753E8" w:rsidRPr="008A0A4E" w:rsidRDefault="00F753E8" w:rsidP="00F753E8">
      <w:pPr>
        <w:tabs>
          <w:tab w:val="left" w:pos="426"/>
        </w:tabs>
        <w:ind w:left="284"/>
        <w:jc w:val="both"/>
        <w:rPr>
          <w:rFonts w:ascii="Arial" w:hAnsi="Arial" w:cs="Arial"/>
          <w:sz w:val="22"/>
          <w:szCs w:val="22"/>
        </w:rPr>
      </w:pPr>
      <w:r w:rsidRPr="008A0A4E">
        <w:rPr>
          <w:rFonts w:ascii="Arial" w:hAnsi="Arial" w:cs="Arial"/>
          <w:sz w:val="22"/>
          <w:szCs w:val="22"/>
        </w:rPr>
        <w:t>The valuation has made assumptions about member longevity and has used the following average future life expectancies for pensioners aged 65 at the valuation date:</w:t>
      </w:r>
    </w:p>
    <w:p w14:paraId="7EEC4567" w14:textId="77777777" w:rsidR="00F753E8" w:rsidRPr="008A0A4E" w:rsidRDefault="00F753E8" w:rsidP="00F753E8">
      <w:pPr>
        <w:rPr>
          <w:rFonts w:ascii="Arial" w:hAnsi="Arial" w:cs="Arial"/>
          <w:sz w:val="22"/>
          <w:szCs w:val="22"/>
        </w:rPr>
      </w:pP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706"/>
        <w:gridCol w:w="950"/>
        <w:gridCol w:w="706"/>
        <w:gridCol w:w="975"/>
      </w:tblGrid>
      <w:tr w:rsidR="00F753E8" w:rsidRPr="00B64150" w14:paraId="71B6A980" w14:textId="77777777" w:rsidTr="006E1769">
        <w:trPr>
          <w:trHeight w:val="80"/>
          <w:jc w:val="center"/>
        </w:trPr>
        <w:tc>
          <w:tcPr>
            <w:tcW w:w="5524" w:type="dxa"/>
            <w:shd w:val="clear" w:color="auto" w:fill="auto"/>
            <w:noWrap/>
            <w:hideMark/>
          </w:tcPr>
          <w:p w14:paraId="492F7D79" w14:textId="77777777" w:rsidR="00F753E8" w:rsidRPr="008A0A4E" w:rsidRDefault="00F753E8" w:rsidP="006E1769">
            <w:pPr>
              <w:rPr>
                <w:rFonts w:ascii="Arial" w:hAnsi="Arial" w:cs="Arial"/>
                <w:b/>
                <w:bCs/>
                <w:sz w:val="22"/>
                <w:szCs w:val="22"/>
              </w:rPr>
            </w:pPr>
            <w:r w:rsidRPr="008A0A4E">
              <w:rPr>
                <w:rFonts w:ascii="Arial" w:hAnsi="Arial" w:cs="Arial"/>
                <w:b/>
                <w:bCs/>
                <w:sz w:val="22"/>
                <w:szCs w:val="22"/>
              </w:rPr>
              <w:t>Longevity Assumptions</w:t>
            </w:r>
          </w:p>
        </w:tc>
        <w:tc>
          <w:tcPr>
            <w:tcW w:w="706" w:type="dxa"/>
            <w:shd w:val="clear" w:color="auto" w:fill="auto"/>
            <w:noWrap/>
            <w:hideMark/>
          </w:tcPr>
          <w:p w14:paraId="3DED6AF1" w14:textId="77777777" w:rsidR="00F753E8" w:rsidRPr="008A0A4E" w:rsidRDefault="00F753E8" w:rsidP="006E1769">
            <w:pPr>
              <w:jc w:val="center"/>
              <w:rPr>
                <w:rFonts w:ascii="Arial" w:hAnsi="Arial" w:cs="Arial"/>
                <w:bCs/>
                <w:sz w:val="22"/>
                <w:szCs w:val="22"/>
              </w:rPr>
            </w:pPr>
            <w:r w:rsidRPr="008A0A4E">
              <w:rPr>
                <w:rFonts w:ascii="Arial" w:hAnsi="Arial" w:cs="Arial"/>
                <w:bCs/>
                <w:sz w:val="22"/>
                <w:szCs w:val="22"/>
              </w:rPr>
              <w:t>2016</w:t>
            </w:r>
          </w:p>
        </w:tc>
        <w:tc>
          <w:tcPr>
            <w:tcW w:w="950" w:type="dxa"/>
            <w:shd w:val="clear" w:color="auto" w:fill="auto"/>
            <w:noWrap/>
            <w:hideMark/>
          </w:tcPr>
          <w:p w14:paraId="582C6D2D" w14:textId="77777777" w:rsidR="00F753E8" w:rsidRPr="008A0A4E" w:rsidRDefault="00F753E8" w:rsidP="006E1769">
            <w:pPr>
              <w:jc w:val="center"/>
              <w:rPr>
                <w:rFonts w:ascii="Arial" w:hAnsi="Arial" w:cs="Arial"/>
                <w:bCs/>
                <w:sz w:val="22"/>
                <w:szCs w:val="22"/>
              </w:rPr>
            </w:pPr>
            <w:r w:rsidRPr="008A0A4E">
              <w:rPr>
                <w:rFonts w:ascii="Arial" w:hAnsi="Arial" w:cs="Arial"/>
                <w:bCs/>
                <w:sz w:val="22"/>
                <w:szCs w:val="22"/>
              </w:rPr>
              <w:t>2016</w:t>
            </w:r>
          </w:p>
        </w:tc>
        <w:tc>
          <w:tcPr>
            <w:tcW w:w="706" w:type="dxa"/>
            <w:shd w:val="clear" w:color="auto" w:fill="auto"/>
            <w:noWrap/>
            <w:hideMark/>
          </w:tcPr>
          <w:p w14:paraId="3B653815" w14:textId="77777777" w:rsidR="00F753E8" w:rsidRPr="008A0A4E" w:rsidRDefault="00F753E8" w:rsidP="006E1769">
            <w:pPr>
              <w:jc w:val="center"/>
              <w:rPr>
                <w:rFonts w:ascii="Arial" w:hAnsi="Arial" w:cs="Arial"/>
                <w:b/>
                <w:bCs/>
                <w:sz w:val="22"/>
                <w:szCs w:val="22"/>
              </w:rPr>
            </w:pPr>
            <w:r w:rsidRPr="008A0A4E">
              <w:rPr>
                <w:rFonts w:ascii="Arial" w:hAnsi="Arial" w:cs="Arial"/>
                <w:b/>
                <w:bCs/>
                <w:sz w:val="22"/>
                <w:szCs w:val="22"/>
              </w:rPr>
              <w:t>2019</w:t>
            </w:r>
          </w:p>
        </w:tc>
        <w:tc>
          <w:tcPr>
            <w:tcW w:w="975" w:type="dxa"/>
            <w:shd w:val="clear" w:color="auto" w:fill="auto"/>
            <w:noWrap/>
            <w:hideMark/>
          </w:tcPr>
          <w:p w14:paraId="35254436" w14:textId="77777777" w:rsidR="00F753E8" w:rsidRPr="008A0A4E" w:rsidRDefault="00F753E8" w:rsidP="006E1769">
            <w:pPr>
              <w:jc w:val="center"/>
              <w:rPr>
                <w:rFonts w:ascii="Arial" w:hAnsi="Arial" w:cs="Arial"/>
                <w:b/>
                <w:bCs/>
                <w:sz w:val="22"/>
                <w:szCs w:val="22"/>
              </w:rPr>
            </w:pPr>
            <w:r w:rsidRPr="008A0A4E">
              <w:rPr>
                <w:rFonts w:ascii="Arial" w:hAnsi="Arial" w:cs="Arial"/>
                <w:b/>
                <w:bCs/>
                <w:sz w:val="22"/>
                <w:szCs w:val="22"/>
              </w:rPr>
              <w:t>2019</w:t>
            </w:r>
          </w:p>
        </w:tc>
      </w:tr>
      <w:tr w:rsidR="00F753E8" w:rsidRPr="00B64150" w14:paraId="31CE9CCB" w14:textId="77777777" w:rsidTr="006E1769">
        <w:trPr>
          <w:trHeight w:val="80"/>
          <w:jc w:val="center"/>
        </w:trPr>
        <w:tc>
          <w:tcPr>
            <w:tcW w:w="5524" w:type="dxa"/>
            <w:shd w:val="clear" w:color="auto" w:fill="auto"/>
            <w:noWrap/>
            <w:hideMark/>
          </w:tcPr>
          <w:p w14:paraId="07918432" w14:textId="77777777" w:rsidR="00F753E8" w:rsidRPr="008A0A4E" w:rsidRDefault="00F753E8" w:rsidP="006E1769">
            <w:pPr>
              <w:rPr>
                <w:rFonts w:ascii="Arial" w:hAnsi="Arial" w:cs="Arial"/>
                <w:sz w:val="22"/>
                <w:szCs w:val="22"/>
              </w:rPr>
            </w:pPr>
            <w:proofErr w:type="gramStart"/>
            <w:r w:rsidRPr="008A0A4E">
              <w:rPr>
                <w:rFonts w:ascii="Arial" w:hAnsi="Arial" w:cs="Arial"/>
                <w:sz w:val="22"/>
                <w:szCs w:val="22"/>
              </w:rPr>
              <w:t>at</w:t>
            </w:r>
            <w:proofErr w:type="gramEnd"/>
            <w:r w:rsidRPr="008A0A4E">
              <w:rPr>
                <w:rFonts w:ascii="Arial" w:hAnsi="Arial" w:cs="Arial"/>
                <w:sz w:val="22"/>
                <w:szCs w:val="22"/>
              </w:rPr>
              <w:t xml:space="preserve"> 31 March</w:t>
            </w:r>
          </w:p>
        </w:tc>
        <w:tc>
          <w:tcPr>
            <w:tcW w:w="706" w:type="dxa"/>
            <w:shd w:val="clear" w:color="auto" w:fill="auto"/>
            <w:noWrap/>
            <w:hideMark/>
          </w:tcPr>
          <w:p w14:paraId="74892CD4" w14:textId="77777777" w:rsidR="00F753E8" w:rsidRPr="008A0A4E" w:rsidRDefault="00F753E8" w:rsidP="006E1769">
            <w:pPr>
              <w:jc w:val="center"/>
              <w:rPr>
                <w:rFonts w:ascii="Arial" w:hAnsi="Arial" w:cs="Arial"/>
                <w:bCs/>
                <w:sz w:val="22"/>
                <w:szCs w:val="22"/>
              </w:rPr>
            </w:pPr>
            <w:r w:rsidRPr="008A0A4E">
              <w:rPr>
                <w:rFonts w:ascii="Arial" w:hAnsi="Arial" w:cs="Arial"/>
                <w:bCs/>
                <w:sz w:val="22"/>
                <w:szCs w:val="22"/>
              </w:rPr>
              <w:t>Male</w:t>
            </w:r>
          </w:p>
        </w:tc>
        <w:tc>
          <w:tcPr>
            <w:tcW w:w="950" w:type="dxa"/>
            <w:shd w:val="clear" w:color="auto" w:fill="auto"/>
            <w:noWrap/>
            <w:hideMark/>
          </w:tcPr>
          <w:p w14:paraId="4D89C9D6" w14:textId="77777777" w:rsidR="00F753E8" w:rsidRPr="008A0A4E" w:rsidRDefault="00F753E8" w:rsidP="006E1769">
            <w:pPr>
              <w:jc w:val="center"/>
              <w:rPr>
                <w:rFonts w:ascii="Arial" w:hAnsi="Arial" w:cs="Arial"/>
                <w:bCs/>
                <w:sz w:val="22"/>
                <w:szCs w:val="22"/>
              </w:rPr>
            </w:pPr>
            <w:r w:rsidRPr="008A0A4E">
              <w:rPr>
                <w:rFonts w:ascii="Arial" w:hAnsi="Arial" w:cs="Arial"/>
                <w:bCs/>
                <w:sz w:val="22"/>
                <w:szCs w:val="22"/>
              </w:rPr>
              <w:t>Female</w:t>
            </w:r>
          </w:p>
        </w:tc>
        <w:tc>
          <w:tcPr>
            <w:tcW w:w="706" w:type="dxa"/>
            <w:shd w:val="clear" w:color="auto" w:fill="auto"/>
            <w:noWrap/>
            <w:hideMark/>
          </w:tcPr>
          <w:p w14:paraId="3A10E44B" w14:textId="77777777" w:rsidR="00F753E8" w:rsidRPr="008A0A4E" w:rsidRDefault="00F753E8" w:rsidP="006E1769">
            <w:pPr>
              <w:jc w:val="center"/>
              <w:rPr>
                <w:rFonts w:ascii="Arial" w:hAnsi="Arial" w:cs="Arial"/>
                <w:b/>
                <w:bCs/>
                <w:sz w:val="22"/>
                <w:szCs w:val="22"/>
              </w:rPr>
            </w:pPr>
            <w:r w:rsidRPr="008A0A4E">
              <w:rPr>
                <w:rFonts w:ascii="Arial" w:hAnsi="Arial" w:cs="Arial"/>
                <w:b/>
                <w:bCs/>
                <w:sz w:val="22"/>
                <w:szCs w:val="22"/>
              </w:rPr>
              <w:t>Male</w:t>
            </w:r>
          </w:p>
        </w:tc>
        <w:tc>
          <w:tcPr>
            <w:tcW w:w="975" w:type="dxa"/>
            <w:shd w:val="clear" w:color="auto" w:fill="auto"/>
            <w:noWrap/>
            <w:hideMark/>
          </w:tcPr>
          <w:p w14:paraId="3512EB03" w14:textId="77777777" w:rsidR="00F753E8" w:rsidRPr="008A0A4E" w:rsidRDefault="00F753E8" w:rsidP="006E1769">
            <w:pPr>
              <w:jc w:val="center"/>
              <w:rPr>
                <w:rFonts w:ascii="Arial" w:hAnsi="Arial" w:cs="Arial"/>
                <w:b/>
                <w:bCs/>
                <w:sz w:val="22"/>
                <w:szCs w:val="22"/>
              </w:rPr>
            </w:pPr>
            <w:r w:rsidRPr="008A0A4E">
              <w:rPr>
                <w:rFonts w:ascii="Arial" w:hAnsi="Arial" w:cs="Arial"/>
                <w:b/>
                <w:bCs/>
                <w:sz w:val="22"/>
                <w:szCs w:val="22"/>
              </w:rPr>
              <w:t>Female</w:t>
            </w:r>
          </w:p>
        </w:tc>
      </w:tr>
      <w:tr w:rsidR="00F753E8" w:rsidRPr="00B64150" w14:paraId="2D866738" w14:textId="77777777" w:rsidTr="006E1769">
        <w:trPr>
          <w:trHeight w:val="159"/>
          <w:jc w:val="center"/>
        </w:trPr>
        <w:tc>
          <w:tcPr>
            <w:tcW w:w="5524" w:type="dxa"/>
            <w:shd w:val="clear" w:color="auto" w:fill="auto"/>
            <w:hideMark/>
          </w:tcPr>
          <w:p w14:paraId="5E61F541" w14:textId="77777777" w:rsidR="00F753E8" w:rsidRPr="008A0A4E" w:rsidRDefault="00F753E8" w:rsidP="006E1769">
            <w:pPr>
              <w:rPr>
                <w:rFonts w:ascii="Arial" w:hAnsi="Arial" w:cs="Arial"/>
                <w:sz w:val="22"/>
                <w:szCs w:val="22"/>
              </w:rPr>
            </w:pPr>
            <w:r w:rsidRPr="008A0A4E">
              <w:rPr>
                <w:rFonts w:ascii="Arial" w:hAnsi="Arial" w:cs="Arial"/>
                <w:sz w:val="22"/>
                <w:szCs w:val="22"/>
              </w:rPr>
              <w:t>Ave</w:t>
            </w:r>
            <w:r>
              <w:rPr>
                <w:rFonts w:ascii="Arial" w:hAnsi="Arial" w:cs="Arial"/>
                <w:sz w:val="22"/>
                <w:szCs w:val="22"/>
              </w:rPr>
              <w:t>.</w:t>
            </w:r>
            <w:r w:rsidRPr="008A0A4E">
              <w:rPr>
                <w:rFonts w:ascii="Arial" w:hAnsi="Arial" w:cs="Arial"/>
                <w:sz w:val="22"/>
                <w:szCs w:val="22"/>
              </w:rPr>
              <w:t xml:space="preserve"> future life expectancy (in years for a pensioner)</w:t>
            </w:r>
          </w:p>
        </w:tc>
        <w:tc>
          <w:tcPr>
            <w:tcW w:w="706" w:type="dxa"/>
            <w:shd w:val="clear" w:color="auto" w:fill="auto"/>
            <w:noWrap/>
          </w:tcPr>
          <w:p w14:paraId="6F0AB2D3" w14:textId="77777777" w:rsidR="00F753E8" w:rsidRPr="008A0A4E" w:rsidRDefault="00F753E8" w:rsidP="006E1769">
            <w:pPr>
              <w:jc w:val="right"/>
              <w:rPr>
                <w:rFonts w:ascii="Arial" w:hAnsi="Arial" w:cs="Arial"/>
                <w:bCs/>
                <w:sz w:val="22"/>
                <w:szCs w:val="22"/>
              </w:rPr>
            </w:pPr>
            <w:r w:rsidRPr="008A0A4E">
              <w:rPr>
                <w:rFonts w:ascii="Arial" w:hAnsi="Arial" w:cs="Arial"/>
                <w:bCs/>
                <w:sz w:val="22"/>
                <w:szCs w:val="22"/>
              </w:rPr>
              <w:t>22.0</w:t>
            </w:r>
          </w:p>
        </w:tc>
        <w:tc>
          <w:tcPr>
            <w:tcW w:w="950" w:type="dxa"/>
            <w:shd w:val="clear" w:color="auto" w:fill="auto"/>
            <w:noWrap/>
          </w:tcPr>
          <w:p w14:paraId="087B3E4B" w14:textId="77777777" w:rsidR="00F753E8" w:rsidRPr="008A0A4E" w:rsidRDefault="00F753E8" w:rsidP="006E1769">
            <w:pPr>
              <w:jc w:val="right"/>
              <w:rPr>
                <w:rFonts w:ascii="Arial" w:hAnsi="Arial" w:cs="Arial"/>
                <w:bCs/>
                <w:sz w:val="22"/>
                <w:szCs w:val="22"/>
              </w:rPr>
            </w:pPr>
            <w:r w:rsidRPr="008A0A4E">
              <w:rPr>
                <w:rFonts w:ascii="Arial" w:hAnsi="Arial" w:cs="Arial"/>
                <w:bCs/>
                <w:sz w:val="22"/>
                <w:szCs w:val="22"/>
              </w:rPr>
              <w:t>24.7</w:t>
            </w:r>
          </w:p>
        </w:tc>
        <w:tc>
          <w:tcPr>
            <w:tcW w:w="706" w:type="dxa"/>
            <w:shd w:val="clear" w:color="auto" w:fill="auto"/>
            <w:noWrap/>
          </w:tcPr>
          <w:p w14:paraId="7B117D9D" w14:textId="77777777" w:rsidR="00F753E8" w:rsidRPr="008A0A4E" w:rsidRDefault="00F753E8" w:rsidP="006E1769">
            <w:pPr>
              <w:jc w:val="right"/>
              <w:rPr>
                <w:rFonts w:ascii="Arial" w:hAnsi="Arial" w:cs="Arial"/>
                <w:b/>
                <w:bCs/>
                <w:sz w:val="22"/>
                <w:szCs w:val="22"/>
              </w:rPr>
            </w:pPr>
            <w:r w:rsidRPr="008A0A4E">
              <w:rPr>
                <w:rFonts w:ascii="Arial" w:hAnsi="Arial" w:cs="Arial"/>
                <w:b/>
                <w:bCs/>
                <w:sz w:val="22"/>
                <w:szCs w:val="22"/>
              </w:rPr>
              <w:t>21.3</w:t>
            </w:r>
          </w:p>
        </w:tc>
        <w:tc>
          <w:tcPr>
            <w:tcW w:w="975" w:type="dxa"/>
            <w:shd w:val="clear" w:color="auto" w:fill="auto"/>
            <w:noWrap/>
          </w:tcPr>
          <w:p w14:paraId="690CDCFB" w14:textId="77777777" w:rsidR="00F753E8" w:rsidRPr="008A0A4E" w:rsidRDefault="00F753E8" w:rsidP="006E1769">
            <w:pPr>
              <w:jc w:val="right"/>
              <w:rPr>
                <w:rFonts w:ascii="Arial" w:hAnsi="Arial" w:cs="Arial"/>
                <w:b/>
                <w:bCs/>
                <w:sz w:val="22"/>
                <w:szCs w:val="22"/>
              </w:rPr>
            </w:pPr>
            <w:r w:rsidRPr="008A0A4E">
              <w:rPr>
                <w:rFonts w:ascii="Arial" w:hAnsi="Arial" w:cs="Arial"/>
                <w:b/>
                <w:bCs/>
                <w:sz w:val="22"/>
                <w:szCs w:val="22"/>
              </w:rPr>
              <w:t>23.4</w:t>
            </w:r>
          </w:p>
        </w:tc>
      </w:tr>
      <w:tr w:rsidR="00F753E8" w:rsidRPr="00B64150" w14:paraId="72F2FA97" w14:textId="77777777" w:rsidTr="006E1769">
        <w:trPr>
          <w:trHeight w:val="316"/>
          <w:jc w:val="center"/>
        </w:trPr>
        <w:tc>
          <w:tcPr>
            <w:tcW w:w="5524" w:type="dxa"/>
            <w:shd w:val="clear" w:color="auto" w:fill="auto"/>
            <w:hideMark/>
          </w:tcPr>
          <w:p w14:paraId="1832A79D" w14:textId="77777777" w:rsidR="00F753E8" w:rsidRPr="008A0A4E" w:rsidRDefault="00F753E8" w:rsidP="006E1769">
            <w:pPr>
              <w:ind w:right="-109"/>
              <w:rPr>
                <w:rFonts w:ascii="Arial" w:hAnsi="Arial" w:cs="Arial"/>
                <w:sz w:val="22"/>
                <w:szCs w:val="22"/>
              </w:rPr>
            </w:pPr>
            <w:r w:rsidRPr="008A0A4E">
              <w:rPr>
                <w:rFonts w:ascii="Arial" w:hAnsi="Arial" w:cs="Arial"/>
                <w:sz w:val="22"/>
                <w:szCs w:val="22"/>
              </w:rPr>
              <w:t>Ave</w:t>
            </w:r>
            <w:r>
              <w:rPr>
                <w:rFonts w:ascii="Arial" w:hAnsi="Arial" w:cs="Arial"/>
                <w:sz w:val="22"/>
                <w:szCs w:val="22"/>
              </w:rPr>
              <w:t>.</w:t>
            </w:r>
            <w:r w:rsidRPr="008A0A4E">
              <w:rPr>
                <w:rFonts w:ascii="Arial" w:hAnsi="Arial" w:cs="Arial"/>
                <w:sz w:val="22"/>
                <w:szCs w:val="22"/>
              </w:rPr>
              <w:t xml:space="preserve"> future life expectancy (in years) at age 65 for non </w:t>
            </w:r>
          </w:p>
          <w:p w14:paraId="6A54E476" w14:textId="77777777" w:rsidR="00F753E8" w:rsidRPr="008A0A4E" w:rsidRDefault="00F753E8" w:rsidP="006E1769">
            <w:pPr>
              <w:ind w:left="27" w:right="-109"/>
              <w:rPr>
                <w:rFonts w:ascii="Arial" w:hAnsi="Arial" w:cs="Arial"/>
                <w:sz w:val="22"/>
                <w:szCs w:val="22"/>
              </w:rPr>
            </w:pPr>
            <w:r w:rsidRPr="008A0A4E">
              <w:rPr>
                <w:rFonts w:ascii="Arial" w:hAnsi="Arial" w:cs="Arial"/>
                <w:sz w:val="22"/>
                <w:szCs w:val="22"/>
              </w:rPr>
              <w:t>-pensioner assumed to be aged 45 at valuation date</w:t>
            </w:r>
          </w:p>
        </w:tc>
        <w:tc>
          <w:tcPr>
            <w:tcW w:w="706" w:type="dxa"/>
            <w:shd w:val="clear" w:color="auto" w:fill="auto"/>
            <w:noWrap/>
          </w:tcPr>
          <w:p w14:paraId="55CD6612" w14:textId="77777777" w:rsidR="00F753E8" w:rsidRPr="008A0A4E" w:rsidRDefault="00F753E8" w:rsidP="006E1769">
            <w:pPr>
              <w:jc w:val="right"/>
              <w:rPr>
                <w:rFonts w:ascii="Arial" w:hAnsi="Arial" w:cs="Arial"/>
                <w:bCs/>
                <w:sz w:val="22"/>
                <w:szCs w:val="22"/>
              </w:rPr>
            </w:pPr>
            <w:r w:rsidRPr="008A0A4E">
              <w:rPr>
                <w:rFonts w:ascii="Arial" w:hAnsi="Arial" w:cs="Arial"/>
                <w:bCs/>
                <w:sz w:val="22"/>
                <w:szCs w:val="22"/>
              </w:rPr>
              <w:t>24.0</w:t>
            </w:r>
          </w:p>
        </w:tc>
        <w:tc>
          <w:tcPr>
            <w:tcW w:w="950" w:type="dxa"/>
            <w:shd w:val="clear" w:color="auto" w:fill="auto"/>
            <w:noWrap/>
          </w:tcPr>
          <w:p w14:paraId="43D1AD43" w14:textId="77777777" w:rsidR="00F753E8" w:rsidRPr="008A0A4E" w:rsidRDefault="00F753E8" w:rsidP="006E1769">
            <w:pPr>
              <w:jc w:val="right"/>
              <w:rPr>
                <w:rFonts w:ascii="Arial" w:hAnsi="Arial" w:cs="Arial"/>
                <w:bCs/>
                <w:sz w:val="22"/>
                <w:szCs w:val="22"/>
              </w:rPr>
            </w:pPr>
            <w:r w:rsidRPr="008A0A4E">
              <w:rPr>
                <w:rFonts w:ascii="Arial" w:hAnsi="Arial" w:cs="Arial"/>
                <w:bCs/>
                <w:sz w:val="22"/>
                <w:szCs w:val="22"/>
              </w:rPr>
              <w:t>26.4</w:t>
            </w:r>
          </w:p>
        </w:tc>
        <w:tc>
          <w:tcPr>
            <w:tcW w:w="706" w:type="dxa"/>
            <w:shd w:val="clear" w:color="auto" w:fill="auto"/>
            <w:noWrap/>
          </w:tcPr>
          <w:p w14:paraId="5DF0AC52" w14:textId="77777777" w:rsidR="00F753E8" w:rsidRPr="008A0A4E" w:rsidRDefault="00F753E8" w:rsidP="006E1769">
            <w:pPr>
              <w:jc w:val="right"/>
              <w:rPr>
                <w:rFonts w:ascii="Arial" w:hAnsi="Arial" w:cs="Arial"/>
                <w:b/>
                <w:bCs/>
                <w:sz w:val="22"/>
                <w:szCs w:val="22"/>
              </w:rPr>
            </w:pPr>
            <w:r w:rsidRPr="008A0A4E">
              <w:rPr>
                <w:rFonts w:ascii="Arial" w:hAnsi="Arial" w:cs="Arial"/>
                <w:b/>
                <w:bCs/>
                <w:sz w:val="22"/>
                <w:szCs w:val="22"/>
              </w:rPr>
              <w:t>22.3</w:t>
            </w:r>
          </w:p>
        </w:tc>
        <w:tc>
          <w:tcPr>
            <w:tcW w:w="975" w:type="dxa"/>
            <w:shd w:val="clear" w:color="auto" w:fill="auto"/>
            <w:noWrap/>
          </w:tcPr>
          <w:p w14:paraId="750F9C7A" w14:textId="77777777" w:rsidR="00F753E8" w:rsidRPr="008A0A4E" w:rsidRDefault="00F753E8" w:rsidP="006E1769">
            <w:pPr>
              <w:jc w:val="right"/>
              <w:rPr>
                <w:rFonts w:ascii="Arial" w:hAnsi="Arial" w:cs="Arial"/>
                <w:b/>
                <w:bCs/>
                <w:sz w:val="22"/>
                <w:szCs w:val="22"/>
              </w:rPr>
            </w:pPr>
            <w:r w:rsidRPr="008A0A4E">
              <w:rPr>
                <w:rFonts w:ascii="Arial" w:hAnsi="Arial" w:cs="Arial"/>
                <w:b/>
                <w:bCs/>
                <w:sz w:val="22"/>
                <w:szCs w:val="22"/>
              </w:rPr>
              <w:t>24.9</w:t>
            </w:r>
          </w:p>
        </w:tc>
      </w:tr>
    </w:tbl>
    <w:p w14:paraId="6E845FE0" w14:textId="77777777" w:rsidR="00F753E8" w:rsidRPr="008A0A4E" w:rsidRDefault="00F753E8" w:rsidP="00F753E8">
      <w:pPr>
        <w:ind w:left="567"/>
        <w:jc w:val="both"/>
        <w:rPr>
          <w:rFonts w:ascii="Arial" w:hAnsi="Arial" w:cs="Arial"/>
          <w:sz w:val="22"/>
          <w:szCs w:val="22"/>
          <w:highlight w:val="yellow"/>
        </w:rPr>
      </w:pPr>
    </w:p>
    <w:p w14:paraId="675EF94D" w14:textId="77777777" w:rsidR="00F753E8" w:rsidRPr="008A0A4E" w:rsidRDefault="00F753E8" w:rsidP="00F753E8">
      <w:pPr>
        <w:ind w:left="284"/>
        <w:jc w:val="both"/>
        <w:rPr>
          <w:rFonts w:ascii="Arial" w:hAnsi="Arial" w:cs="Arial"/>
          <w:sz w:val="22"/>
          <w:szCs w:val="22"/>
        </w:rPr>
      </w:pPr>
      <w:r w:rsidRPr="008A0A4E">
        <w:rPr>
          <w:rFonts w:ascii="Arial" w:hAnsi="Arial" w:cs="Arial"/>
          <w:sz w:val="22"/>
          <w:szCs w:val="22"/>
        </w:rPr>
        <w:t>Some of the key financial assumptions adopted by the actuary for the valuation of members’ benefits at the 2019 valuation are set out below:</w:t>
      </w:r>
    </w:p>
    <w:p w14:paraId="418EF296" w14:textId="77777777" w:rsidR="00F753E8" w:rsidRPr="008A0A4E" w:rsidRDefault="00F753E8" w:rsidP="00F753E8">
      <w:pPr>
        <w:jc w:val="both"/>
        <w:rPr>
          <w:rFonts w:ascii="Arial" w:hAnsi="Arial" w:cs="Arial"/>
          <w:sz w:val="22"/>
          <w:szCs w:val="22"/>
        </w:rPr>
      </w:pPr>
    </w:p>
    <w:p w14:paraId="23FD48C0" w14:textId="77777777" w:rsidR="00F753E8" w:rsidRPr="008A0A4E" w:rsidRDefault="00F753E8" w:rsidP="00F753E8">
      <w:pPr>
        <w:jc w:val="both"/>
        <w:rPr>
          <w:rFonts w:ascii="Arial" w:hAnsi="Arial" w:cs="Arial"/>
          <w:sz w:val="22"/>
          <w:szCs w:val="22"/>
        </w:rPr>
      </w:pPr>
      <w:r>
        <w:rPr>
          <w:noProof/>
        </w:rPr>
        <w:drawing>
          <wp:inline distT="0" distB="0" distL="0" distR="0" wp14:anchorId="1E3797A5" wp14:editId="55C155C1">
            <wp:extent cx="5791202" cy="1028700"/>
            <wp:effectExtent l="0" t="0" r="0" b="0"/>
            <wp:docPr id="7" name="Picture 7"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able&#10;&#10;Description automatically generated"/>
                    <pic:cNvPicPr/>
                  </pic:nvPicPr>
                  <pic:blipFill>
                    <a:blip r:embed="rId41">
                      <a:extLst>
                        <a:ext uri="{28A0092B-C50C-407E-A947-70E740481C1C}">
                          <a14:useLocalDpi xmlns:a14="http://schemas.microsoft.com/office/drawing/2010/main" val="0"/>
                        </a:ext>
                      </a:extLst>
                    </a:blip>
                    <a:stretch>
                      <a:fillRect/>
                    </a:stretch>
                  </pic:blipFill>
                  <pic:spPr>
                    <a:xfrm>
                      <a:off x="0" y="0"/>
                      <a:ext cx="5791202" cy="1028700"/>
                    </a:xfrm>
                    <a:prstGeom prst="rect">
                      <a:avLst/>
                    </a:prstGeom>
                  </pic:spPr>
                </pic:pic>
              </a:graphicData>
            </a:graphic>
          </wp:inline>
        </w:drawing>
      </w:r>
    </w:p>
    <w:p w14:paraId="46DCA293" w14:textId="77777777" w:rsidR="00F753E8" w:rsidRPr="008A0A4E" w:rsidRDefault="00F753E8" w:rsidP="00F753E8">
      <w:pPr>
        <w:ind w:left="284" w:firstLine="283"/>
        <w:jc w:val="both"/>
        <w:rPr>
          <w:rFonts w:ascii="Arial" w:hAnsi="Arial" w:cs="Arial"/>
          <w:b/>
          <w:sz w:val="22"/>
          <w:szCs w:val="22"/>
        </w:rPr>
      </w:pPr>
    </w:p>
    <w:p w14:paraId="1955BD6B" w14:textId="77777777" w:rsidR="00F753E8" w:rsidRPr="008A0A4E" w:rsidRDefault="00F753E8" w:rsidP="00F753E8">
      <w:pPr>
        <w:autoSpaceDE w:val="0"/>
        <w:autoSpaceDN w:val="0"/>
        <w:ind w:left="284"/>
        <w:jc w:val="both"/>
        <w:rPr>
          <w:rFonts w:ascii="Arial" w:hAnsi="Arial" w:cs="Arial"/>
          <w:b/>
          <w:bCs/>
          <w:sz w:val="22"/>
          <w:szCs w:val="22"/>
        </w:rPr>
      </w:pPr>
      <w:r w:rsidRPr="008A0A4E">
        <w:rPr>
          <w:rFonts w:ascii="Arial" w:hAnsi="Arial" w:cs="Arial"/>
          <w:b/>
          <w:bCs/>
          <w:sz w:val="22"/>
          <w:szCs w:val="22"/>
        </w:rPr>
        <w:t>Present value of funded obligation</w:t>
      </w:r>
    </w:p>
    <w:p w14:paraId="09506773" w14:textId="77777777" w:rsidR="00F753E8" w:rsidRPr="008A0A4E" w:rsidRDefault="00F753E8" w:rsidP="00F753E8">
      <w:pPr>
        <w:autoSpaceDE w:val="0"/>
        <w:autoSpaceDN w:val="0"/>
        <w:ind w:left="284"/>
        <w:jc w:val="both"/>
        <w:rPr>
          <w:rFonts w:ascii="Arial" w:hAnsi="Arial" w:cs="Arial"/>
          <w:sz w:val="22"/>
          <w:szCs w:val="22"/>
        </w:rPr>
      </w:pPr>
    </w:p>
    <w:p w14:paraId="6C9D5561" w14:textId="77777777" w:rsidR="00F753E8" w:rsidRPr="008A0A4E" w:rsidRDefault="00F753E8" w:rsidP="00F753E8">
      <w:pPr>
        <w:ind w:left="284"/>
        <w:jc w:val="both"/>
        <w:rPr>
          <w:rFonts w:ascii="Arial" w:hAnsi="Arial" w:cs="Arial"/>
          <w:color w:val="000000"/>
          <w:sz w:val="22"/>
          <w:szCs w:val="22"/>
        </w:rPr>
      </w:pPr>
      <w:r w:rsidRPr="008A0A4E">
        <w:rPr>
          <w:rFonts w:ascii="Arial" w:hAnsi="Arial" w:cs="Arial"/>
          <w:color w:val="000000"/>
          <w:sz w:val="22"/>
          <w:szCs w:val="22"/>
        </w:rPr>
        <w:t xml:space="preserve">The actuarial value of promised retirement benefits at the accounting date, calculated in line with </w:t>
      </w:r>
      <w:r w:rsidRPr="00650A24">
        <w:rPr>
          <w:rFonts w:ascii="Arial" w:hAnsi="Arial" w:cs="Arial"/>
          <w:color w:val="000000"/>
          <w:sz w:val="22"/>
          <w:szCs w:val="22"/>
        </w:rPr>
        <w:t xml:space="preserve">International Accounting Standard 19 Employee Benefits (IAS 19) assumptions, is estimated to be </w:t>
      </w:r>
      <w:r w:rsidRPr="00650A24">
        <w:rPr>
          <w:rFonts w:ascii="Arial" w:hAnsi="Arial" w:cs="Arial"/>
          <w:b/>
          <w:color w:val="000000"/>
          <w:sz w:val="22"/>
          <w:szCs w:val="22"/>
        </w:rPr>
        <w:t>£1,978m</w:t>
      </w:r>
      <w:r w:rsidRPr="00650A24">
        <w:rPr>
          <w:rFonts w:ascii="Arial" w:hAnsi="Arial" w:cs="Arial"/>
          <w:color w:val="000000"/>
          <w:sz w:val="22"/>
          <w:szCs w:val="22"/>
        </w:rPr>
        <w:t xml:space="preserve"> as </w:t>
      </w:r>
      <w:proofErr w:type="gramStart"/>
      <w:r w:rsidRPr="00650A24">
        <w:rPr>
          <w:rFonts w:ascii="Arial" w:hAnsi="Arial" w:cs="Arial"/>
          <w:color w:val="000000"/>
          <w:sz w:val="22"/>
          <w:szCs w:val="22"/>
        </w:rPr>
        <w:t>at</w:t>
      </w:r>
      <w:proofErr w:type="gramEnd"/>
      <w:r w:rsidRPr="00650A24">
        <w:rPr>
          <w:rFonts w:ascii="Arial" w:hAnsi="Arial" w:cs="Arial"/>
          <w:color w:val="000000"/>
          <w:sz w:val="22"/>
          <w:szCs w:val="22"/>
        </w:rPr>
        <w:t xml:space="preserve"> 31 March 2021 (31 March 2020: £1,501m). This</w:t>
      </w:r>
      <w:r w:rsidRPr="008A0A4E">
        <w:rPr>
          <w:rFonts w:ascii="Arial" w:hAnsi="Arial" w:cs="Arial"/>
          <w:color w:val="000000"/>
          <w:sz w:val="22"/>
          <w:szCs w:val="22"/>
        </w:rPr>
        <w:t xml:space="preserve"> figure is used for statutory accounting purposes by the Pension Fund and complies with the requirements of IAS 26 Accounting and Reporting by Retirement Benefit Plans. The assumptions underlying the figure are as per the IAS 19 assumptions above. </w:t>
      </w:r>
    </w:p>
    <w:p w14:paraId="6AE169B0" w14:textId="77777777" w:rsidR="00F753E8" w:rsidRPr="008A0A4E" w:rsidRDefault="00F753E8" w:rsidP="00F753E8">
      <w:pPr>
        <w:ind w:left="284"/>
        <w:jc w:val="both"/>
        <w:rPr>
          <w:rFonts w:ascii="Arial" w:hAnsi="Arial" w:cs="Arial"/>
          <w:color w:val="000000"/>
          <w:sz w:val="22"/>
          <w:szCs w:val="22"/>
        </w:rPr>
      </w:pPr>
    </w:p>
    <w:p w14:paraId="64A08417" w14:textId="77777777" w:rsidR="00F753E8" w:rsidRPr="008A0A4E" w:rsidRDefault="00F753E8" w:rsidP="00F753E8">
      <w:pPr>
        <w:ind w:left="284"/>
        <w:jc w:val="both"/>
        <w:rPr>
          <w:rFonts w:ascii="Arial" w:hAnsi="Arial" w:cs="Arial"/>
          <w:color w:val="000000"/>
          <w:sz w:val="22"/>
          <w:szCs w:val="22"/>
        </w:rPr>
      </w:pPr>
      <w:r w:rsidRPr="008A0A4E">
        <w:rPr>
          <w:rFonts w:ascii="Arial" w:hAnsi="Arial" w:cs="Arial"/>
          <w:color w:val="000000"/>
          <w:sz w:val="22"/>
          <w:szCs w:val="22"/>
        </w:rPr>
        <w:t>The figure is prepared for the purposes of IAS 26 and has no validity in other circumstances. It is not relevant for calculations undertaken for funding purposes and setting contributions payable to the Fund, which is carried out on a triennial basis.</w:t>
      </w:r>
    </w:p>
    <w:p w14:paraId="7CF849A2" w14:textId="77777777" w:rsidR="00F753E8" w:rsidRPr="0015609C" w:rsidRDefault="00F753E8" w:rsidP="00F753E8">
      <w:pPr>
        <w:ind w:left="284"/>
        <w:jc w:val="both"/>
        <w:rPr>
          <w:rFonts w:ascii="Arial" w:hAnsi="Arial" w:cs="Arial"/>
          <w:color w:val="000000"/>
          <w:sz w:val="22"/>
          <w:szCs w:val="22"/>
        </w:rPr>
      </w:pPr>
    </w:p>
    <w:p w14:paraId="5C2DBF8A" w14:textId="77777777" w:rsidR="00F753E8" w:rsidRDefault="00F753E8" w:rsidP="00F753E8">
      <w:pPr>
        <w:ind w:left="284"/>
        <w:jc w:val="both"/>
        <w:rPr>
          <w:rFonts w:ascii="Arial" w:hAnsi="Arial" w:cs="Arial"/>
          <w:color w:val="000000"/>
          <w:sz w:val="22"/>
          <w:szCs w:val="22"/>
        </w:rPr>
      </w:pPr>
      <w:r w:rsidRPr="00145E64">
        <w:rPr>
          <w:rFonts w:ascii="Arial" w:hAnsi="Arial" w:cs="Arial"/>
          <w:color w:val="000000"/>
          <w:sz w:val="22"/>
          <w:szCs w:val="22"/>
        </w:rPr>
        <w:t>The LGPS benefit structure is currently under review following the</w:t>
      </w:r>
      <w:r>
        <w:rPr>
          <w:rFonts w:ascii="Arial" w:hAnsi="Arial" w:cs="Arial"/>
          <w:color w:val="000000"/>
          <w:sz w:val="22"/>
          <w:szCs w:val="22"/>
        </w:rPr>
        <w:t xml:space="preserve"> </w:t>
      </w:r>
      <w:r w:rsidRPr="00145E64">
        <w:rPr>
          <w:rFonts w:ascii="Arial" w:hAnsi="Arial" w:cs="Arial"/>
          <w:color w:val="000000"/>
          <w:sz w:val="22"/>
          <w:szCs w:val="22"/>
        </w:rPr>
        <w:t>Government’s loss of the right to appeal the McCloud and other similar court</w:t>
      </w:r>
      <w:r>
        <w:rPr>
          <w:rFonts w:ascii="Arial" w:hAnsi="Arial" w:cs="Arial"/>
          <w:color w:val="000000"/>
          <w:sz w:val="22"/>
          <w:szCs w:val="22"/>
        </w:rPr>
        <w:t xml:space="preserve"> </w:t>
      </w:r>
      <w:r w:rsidRPr="00145E64">
        <w:rPr>
          <w:rFonts w:ascii="Arial" w:hAnsi="Arial" w:cs="Arial"/>
          <w:color w:val="000000"/>
          <w:sz w:val="22"/>
          <w:szCs w:val="22"/>
        </w:rPr>
        <w:t>cases.</w:t>
      </w:r>
      <w:r w:rsidRPr="00F928FC">
        <w:rPr>
          <w:rFonts w:ascii="Arial" w:hAnsi="Arial" w:cs="Arial"/>
          <w:sz w:val="22"/>
          <w:szCs w:val="22"/>
        </w:rPr>
        <w:t xml:space="preserve"> </w:t>
      </w:r>
      <w:r>
        <w:rPr>
          <w:rFonts w:ascii="Arial" w:hAnsi="Arial" w:cs="Arial"/>
          <w:color w:val="000000"/>
          <w:sz w:val="22"/>
          <w:szCs w:val="22"/>
        </w:rPr>
        <w:t>A</w:t>
      </w:r>
      <w:r w:rsidRPr="00FF727C">
        <w:rPr>
          <w:rFonts w:ascii="Arial" w:hAnsi="Arial" w:cs="Arial"/>
          <w:color w:val="000000"/>
          <w:sz w:val="22"/>
          <w:szCs w:val="22"/>
        </w:rPr>
        <w:t>dditional prudence</w:t>
      </w:r>
      <w:r>
        <w:rPr>
          <w:rFonts w:ascii="Arial" w:hAnsi="Arial" w:cs="Arial"/>
          <w:color w:val="000000"/>
          <w:sz w:val="22"/>
          <w:szCs w:val="22"/>
        </w:rPr>
        <w:t xml:space="preserve"> has</w:t>
      </w:r>
      <w:r w:rsidRPr="00FF727C">
        <w:rPr>
          <w:rFonts w:ascii="Arial" w:hAnsi="Arial" w:cs="Arial"/>
          <w:color w:val="000000"/>
          <w:sz w:val="22"/>
          <w:szCs w:val="22"/>
        </w:rPr>
        <w:t xml:space="preserve"> built into funding plans to allow for the McCloud</w:t>
      </w:r>
      <w:r>
        <w:rPr>
          <w:rFonts w:ascii="Arial" w:hAnsi="Arial" w:cs="Arial"/>
          <w:color w:val="000000"/>
          <w:sz w:val="22"/>
          <w:szCs w:val="22"/>
        </w:rPr>
        <w:t xml:space="preserve"> </w:t>
      </w:r>
      <w:r w:rsidRPr="00FF727C">
        <w:rPr>
          <w:rFonts w:ascii="Arial" w:hAnsi="Arial" w:cs="Arial"/>
          <w:color w:val="000000"/>
          <w:sz w:val="22"/>
          <w:szCs w:val="22"/>
        </w:rPr>
        <w:t>ruling</w:t>
      </w:r>
      <w:r>
        <w:rPr>
          <w:rFonts w:ascii="Arial" w:hAnsi="Arial" w:cs="Arial"/>
          <w:color w:val="000000"/>
          <w:sz w:val="22"/>
          <w:szCs w:val="22"/>
        </w:rPr>
        <w:t xml:space="preserve"> so the gross pension liability of </w:t>
      </w:r>
      <w:r w:rsidRPr="00D318C7">
        <w:rPr>
          <w:rFonts w:ascii="Arial" w:hAnsi="Arial" w:cs="Arial"/>
          <w:color w:val="000000"/>
          <w:sz w:val="22"/>
          <w:szCs w:val="22"/>
        </w:rPr>
        <w:t>£1,978m</w:t>
      </w:r>
      <w:r>
        <w:rPr>
          <w:rFonts w:ascii="Arial" w:hAnsi="Arial" w:cs="Arial"/>
          <w:color w:val="000000"/>
          <w:sz w:val="22"/>
          <w:szCs w:val="22"/>
        </w:rPr>
        <w:t xml:space="preserve"> takes this into account. </w:t>
      </w:r>
    </w:p>
    <w:p w14:paraId="6219FC5A" w14:textId="77777777" w:rsidR="00F753E8" w:rsidRDefault="00F753E8" w:rsidP="00F753E8">
      <w:pPr>
        <w:ind w:left="284"/>
        <w:jc w:val="both"/>
        <w:rPr>
          <w:rFonts w:ascii="Arial" w:hAnsi="Arial" w:cs="Arial"/>
          <w:color w:val="000000"/>
          <w:sz w:val="22"/>
          <w:szCs w:val="22"/>
        </w:rPr>
      </w:pPr>
    </w:p>
    <w:p w14:paraId="19F30621" w14:textId="77777777" w:rsidR="00F753E8" w:rsidRDefault="00F753E8" w:rsidP="00F753E8">
      <w:pPr>
        <w:ind w:left="284"/>
        <w:jc w:val="both"/>
        <w:rPr>
          <w:rFonts w:ascii="Arial" w:hAnsi="Arial" w:cs="Arial"/>
          <w:color w:val="000000"/>
          <w:sz w:val="22"/>
          <w:szCs w:val="22"/>
        </w:rPr>
      </w:pPr>
      <w:r w:rsidRPr="005D33F0">
        <w:rPr>
          <w:rFonts w:ascii="Arial" w:hAnsi="Arial" w:cs="Arial"/>
          <w:color w:val="000000"/>
          <w:sz w:val="22"/>
          <w:szCs w:val="22"/>
        </w:rPr>
        <w:t>As a result of the Government’s introduction of a single-tier state pension (STP)</w:t>
      </w:r>
      <w:r>
        <w:rPr>
          <w:rFonts w:ascii="Arial" w:hAnsi="Arial" w:cs="Arial"/>
          <w:color w:val="000000"/>
          <w:sz w:val="22"/>
          <w:szCs w:val="22"/>
        </w:rPr>
        <w:t xml:space="preserve">, </w:t>
      </w:r>
      <w:r w:rsidRPr="005D33F0">
        <w:rPr>
          <w:rFonts w:ascii="Arial" w:hAnsi="Arial" w:cs="Arial"/>
          <w:color w:val="000000"/>
          <w:sz w:val="22"/>
          <w:szCs w:val="22"/>
        </w:rPr>
        <w:t>there is currently uncertainty around who funds certain elements of increases</w:t>
      </w:r>
      <w:r>
        <w:rPr>
          <w:rFonts w:ascii="Arial" w:hAnsi="Arial" w:cs="Arial"/>
          <w:color w:val="000000"/>
          <w:sz w:val="22"/>
          <w:szCs w:val="22"/>
        </w:rPr>
        <w:t xml:space="preserve"> </w:t>
      </w:r>
      <w:r w:rsidRPr="005D33F0">
        <w:rPr>
          <w:rFonts w:ascii="Arial" w:hAnsi="Arial" w:cs="Arial"/>
          <w:color w:val="000000"/>
          <w:sz w:val="22"/>
          <w:szCs w:val="22"/>
        </w:rPr>
        <w:t xml:space="preserve">on </w:t>
      </w:r>
      <w:r>
        <w:rPr>
          <w:rFonts w:ascii="Arial" w:hAnsi="Arial" w:cs="Arial"/>
          <w:color w:val="000000"/>
          <w:sz w:val="22"/>
          <w:szCs w:val="22"/>
        </w:rPr>
        <w:t>Guaranteed Minimum Pensions (GMP)</w:t>
      </w:r>
      <w:r w:rsidRPr="005D33F0">
        <w:rPr>
          <w:rFonts w:ascii="Arial" w:hAnsi="Arial" w:cs="Arial"/>
          <w:color w:val="000000"/>
          <w:sz w:val="22"/>
          <w:szCs w:val="22"/>
        </w:rPr>
        <w:t xml:space="preserve"> for members reaching State Pension Age after 6 April 2016.</w:t>
      </w:r>
      <w:r>
        <w:rPr>
          <w:rFonts w:ascii="Arial" w:hAnsi="Arial" w:cs="Arial"/>
          <w:color w:val="000000"/>
          <w:sz w:val="22"/>
          <w:szCs w:val="22"/>
        </w:rPr>
        <w:t xml:space="preserve"> </w:t>
      </w:r>
      <w:r w:rsidRPr="000E753A">
        <w:rPr>
          <w:rFonts w:ascii="Arial" w:hAnsi="Arial" w:cs="Arial"/>
          <w:color w:val="000000"/>
          <w:sz w:val="22"/>
          <w:szCs w:val="22"/>
        </w:rPr>
        <w:t>As part of the introduction of STP, the Government confirmed that public</w:t>
      </w:r>
      <w:r>
        <w:rPr>
          <w:rFonts w:ascii="Arial" w:hAnsi="Arial" w:cs="Arial"/>
          <w:color w:val="000000"/>
          <w:sz w:val="22"/>
          <w:szCs w:val="22"/>
        </w:rPr>
        <w:t xml:space="preserve"> </w:t>
      </w:r>
      <w:r w:rsidRPr="000E753A">
        <w:rPr>
          <w:rFonts w:ascii="Arial" w:hAnsi="Arial" w:cs="Arial"/>
          <w:color w:val="000000"/>
          <w:sz w:val="22"/>
          <w:szCs w:val="22"/>
        </w:rPr>
        <w:t>service pension schemes, including the LGPS, will be responsible for funding all increases on GMP as an ‘interim solution’</w:t>
      </w:r>
      <w:r>
        <w:rPr>
          <w:rFonts w:ascii="Arial" w:hAnsi="Arial" w:cs="Arial"/>
          <w:color w:val="000000"/>
          <w:sz w:val="22"/>
          <w:szCs w:val="22"/>
        </w:rPr>
        <w:t xml:space="preserve"> so this has been factored into the liabilities. </w:t>
      </w:r>
    </w:p>
    <w:p w14:paraId="1B3ED604" w14:textId="77777777" w:rsidR="00F753E8" w:rsidRPr="008A0A4E" w:rsidRDefault="00F753E8" w:rsidP="00F753E8">
      <w:pPr>
        <w:ind w:left="284"/>
        <w:rPr>
          <w:rFonts w:ascii="Arial" w:hAnsi="Arial" w:cs="Arial"/>
          <w:b/>
          <w:sz w:val="22"/>
          <w:szCs w:val="22"/>
        </w:rPr>
      </w:pPr>
    </w:p>
    <w:p w14:paraId="55D19E72" w14:textId="3C7AD5CE" w:rsidR="00421E09" w:rsidRPr="008A0A4E" w:rsidRDefault="00F753E8" w:rsidP="00421E09">
      <w:pPr>
        <w:ind w:left="284"/>
        <w:rPr>
          <w:rFonts w:ascii="Arial" w:hAnsi="Arial" w:cs="Arial"/>
          <w:b/>
          <w:sz w:val="22"/>
          <w:szCs w:val="22"/>
        </w:rPr>
      </w:pPr>
      <w:r w:rsidRPr="008A0A4E">
        <w:rPr>
          <w:rFonts w:ascii="Arial" w:hAnsi="Arial" w:cs="Arial"/>
          <w:b/>
          <w:sz w:val="22"/>
          <w:szCs w:val="22"/>
        </w:rPr>
        <w:t>Total contribution rate</w:t>
      </w:r>
    </w:p>
    <w:p w14:paraId="0DD1561C" w14:textId="77777777" w:rsidR="00421E09" w:rsidRDefault="00F753E8" w:rsidP="00F753E8">
      <w:pPr>
        <w:ind w:left="284"/>
        <w:rPr>
          <w:rFonts w:ascii="Arial" w:hAnsi="Arial" w:cs="Arial"/>
          <w:sz w:val="22"/>
          <w:szCs w:val="22"/>
        </w:rPr>
      </w:pPr>
      <w:r w:rsidRPr="008A0A4E">
        <w:rPr>
          <w:rFonts w:ascii="Arial" w:hAnsi="Arial" w:cs="Arial"/>
          <w:sz w:val="22"/>
          <w:szCs w:val="22"/>
        </w:rPr>
        <w:t xml:space="preserve">The table below shows the minimum total contribution rates, expressed as a </w:t>
      </w:r>
      <w:proofErr w:type="gramStart"/>
      <w:r w:rsidRPr="008A0A4E">
        <w:rPr>
          <w:rFonts w:ascii="Arial" w:hAnsi="Arial" w:cs="Arial"/>
          <w:sz w:val="22"/>
          <w:szCs w:val="22"/>
        </w:rPr>
        <w:t>percentage</w:t>
      </w:r>
      <w:proofErr w:type="gramEnd"/>
      <w:r w:rsidRPr="008A0A4E">
        <w:rPr>
          <w:rFonts w:ascii="Arial" w:hAnsi="Arial" w:cs="Arial"/>
          <w:sz w:val="22"/>
          <w:szCs w:val="22"/>
        </w:rPr>
        <w:t xml:space="preserve"> </w:t>
      </w:r>
    </w:p>
    <w:p w14:paraId="02EA9FEE" w14:textId="77777777" w:rsidR="00421E09" w:rsidRDefault="00421E09" w:rsidP="00F753E8">
      <w:pPr>
        <w:ind w:left="284"/>
        <w:rPr>
          <w:rFonts w:ascii="Arial" w:hAnsi="Arial" w:cs="Arial"/>
          <w:sz w:val="22"/>
          <w:szCs w:val="22"/>
        </w:rPr>
      </w:pPr>
    </w:p>
    <w:p w14:paraId="42D3FBD2" w14:textId="32E128E5" w:rsidR="00F753E8" w:rsidRPr="008A0A4E" w:rsidRDefault="00F753E8" w:rsidP="00F753E8">
      <w:pPr>
        <w:ind w:left="284"/>
        <w:rPr>
          <w:rFonts w:ascii="Arial" w:hAnsi="Arial" w:cs="Arial"/>
          <w:sz w:val="22"/>
          <w:szCs w:val="22"/>
        </w:rPr>
      </w:pPr>
      <w:r w:rsidRPr="008A0A4E">
        <w:rPr>
          <w:rFonts w:ascii="Arial" w:hAnsi="Arial" w:cs="Arial"/>
          <w:sz w:val="22"/>
          <w:szCs w:val="22"/>
        </w:rPr>
        <w:t xml:space="preserve">of pensionable pay, which was applied to the </w:t>
      </w:r>
      <w:r>
        <w:rPr>
          <w:rFonts w:ascii="Arial" w:hAnsi="Arial" w:cs="Arial"/>
          <w:sz w:val="22"/>
          <w:szCs w:val="22"/>
        </w:rPr>
        <w:t>2021/22</w:t>
      </w:r>
      <w:r w:rsidRPr="008A0A4E">
        <w:rPr>
          <w:rFonts w:ascii="Arial" w:hAnsi="Arial" w:cs="Arial"/>
          <w:sz w:val="22"/>
          <w:szCs w:val="22"/>
        </w:rPr>
        <w:t xml:space="preserve"> accounting period:</w:t>
      </w:r>
    </w:p>
    <w:p w14:paraId="59706E65" w14:textId="77777777" w:rsidR="00F753E8" w:rsidRDefault="00F753E8" w:rsidP="00F753E8">
      <w:pPr>
        <w:jc w:val="both"/>
        <w:rPr>
          <w:rFonts w:ascii="Arial" w:hAnsi="Arial" w:cs="Arial"/>
          <w:sz w:val="22"/>
          <w:szCs w:val="22"/>
        </w:rPr>
      </w:pPr>
    </w:p>
    <w:tbl>
      <w:tblPr>
        <w:tblW w:w="8509" w:type="dxa"/>
        <w:jc w:val="center"/>
        <w:tblCellMar>
          <w:left w:w="0" w:type="dxa"/>
          <w:right w:w="0" w:type="dxa"/>
        </w:tblCellMar>
        <w:tblLook w:val="04A0" w:firstRow="1" w:lastRow="0" w:firstColumn="1" w:lastColumn="0" w:noHBand="0" w:noVBand="1"/>
      </w:tblPr>
      <w:tblGrid>
        <w:gridCol w:w="3109"/>
        <w:gridCol w:w="993"/>
        <w:gridCol w:w="3397"/>
        <w:gridCol w:w="1010"/>
      </w:tblGrid>
      <w:tr w:rsidR="00F753E8" w14:paraId="3AE865F2" w14:textId="77777777" w:rsidTr="006E1769">
        <w:trPr>
          <w:trHeight w:val="268"/>
          <w:jc w:val="center"/>
        </w:trPr>
        <w:tc>
          <w:tcPr>
            <w:tcW w:w="3109" w:type="dxa"/>
            <w:tcBorders>
              <w:top w:val="single" w:sz="8"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94800FE" w14:textId="77777777" w:rsidR="00F753E8" w:rsidRPr="003171D5" w:rsidRDefault="00F753E8" w:rsidP="006E1769">
            <w:pPr>
              <w:spacing w:line="252" w:lineRule="auto"/>
              <w:ind w:left="603" w:hanging="603"/>
              <w:jc w:val="center"/>
              <w:rPr>
                <w:rFonts w:ascii="Arial" w:hAnsi="Arial" w:cs="Arial"/>
                <w:b/>
                <w:bCs/>
                <w:color w:val="000000"/>
                <w:sz w:val="22"/>
                <w:szCs w:val="22"/>
              </w:rPr>
            </w:pPr>
            <w:r w:rsidRPr="003171D5">
              <w:rPr>
                <w:rFonts w:ascii="Arial" w:hAnsi="Arial" w:cs="Arial"/>
                <w:b/>
                <w:bCs/>
                <w:color w:val="000000"/>
                <w:sz w:val="22"/>
                <w:szCs w:val="22"/>
              </w:rPr>
              <w:t>Scheduled Bodies</w:t>
            </w:r>
          </w:p>
        </w:tc>
        <w:tc>
          <w:tcPr>
            <w:tcW w:w="9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A5AE41E" w14:textId="77777777" w:rsidR="00F753E8" w:rsidRPr="003171D5" w:rsidRDefault="00F753E8" w:rsidP="006E1769">
            <w:pPr>
              <w:spacing w:line="252" w:lineRule="auto"/>
              <w:jc w:val="center"/>
              <w:rPr>
                <w:rFonts w:ascii="Arial" w:hAnsi="Arial" w:cs="Arial"/>
                <w:b/>
                <w:bCs/>
                <w:color w:val="000000"/>
                <w:sz w:val="22"/>
                <w:szCs w:val="22"/>
              </w:rPr>
            </w:pPr>
            <w:r w:rsidRPr="003171D5">
              <w:rPr>
                <w:rFonts w:ascii="Arial" w:hAnsi="Arial" w:cs="Arial"/>
                <w:b/>
                <w:bCs/>
                <w:color w:val="000000"/>
                <w:sz w:val="22"/>
                <w:szCs w:val="22"/>
              </w:rPr>
              <w:t>Rate %</w:t>
            </w:r>
          </w:p>
        </w:tc>
        <w:tc>
          <w:tcPr>
            <w:tcW w:w="3397"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BEE368E" w14:textId="77777777" w:rsidR="00F753E8" w:rsidRPr="003171D5" w:rsidRDefault="00F753E8" w:rsidP="006E1769">
            <w:pPr>
              <w:spacing w:line="252" w:lineRule="auto"/>
              <w:jc w:val="center"/>
              <w:rPr>
                <w:rFonts w:ascii="Arial" w:hAnsi="Arial" w:cs="Arial"/>
                <w:b/>
                <w:bCs/>
                <w:color w:val="000000"/>
                <w:sz w:val="22"/>
                <w:szCs w:val="22"/>
              </w:rPr>
            </w:pPr>
            <w:r w:rsidRPr="003171D5">
              <w:rPr>
                <w:rFonts w:ascii="Arial" w:hAnsi="Arial" w:cs="Arial"/>
                <w:b/>
                <w:bCs/>
                <w:color w:val="000000"/>
                <w:sz w:val="22"/>
                <w:szCs w:val="22"/>
              </w:rPr>
              <w:t>Admitted Bodies</w:t>
            </w:r>
          </w:p>
        </w:tc>
        <w:tc>
          <w:tcPr>
            <w:tcW w:w="1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CAFAF64" w14:textId="77777777" w:rsidR="00F753E8" w:rsidRPr="003171D5" w:rsidRDefault="00F753E8" w:rsidP="006E1769">
            <w:pPr>
              <w:spacing w:line="252" w:lineRule="auto"/>
              <w:jc w:val="center"/>
              <w:rPr>
                <w:rFonts w:ascii="Arial" w:hAnsi="Arial" w:cs="Arial"/>
                <w:b/>
                <w:bCs/>
                <w:color w:val="000000"/>
                <w:sz w:val="22"/>
                <w:szCs w:val="22"/>
              </w:rPr>
            </w:pPr>
            <w:r w:rsidRPr="003171D5">
              <w:rPr>
                <w:rFonts w:ascii="Arial" w:hAnsi="Arial" w:cs="Arial"/>
                <w:b/>
                <w:bCs/>
                <w:color w:val="000000"/>
                <w:sz w:val="22"/>
                <w:szCs w:val="22"/>
              </w:rPr>
              <w:t>Rate %</w:t>
            </w:r>
          </w:p>
        </w:tc>
      </w:tr>
      <w:tr w:rsidR="00F753E8" w14:paraId="528B34CA" w14:textId="77777777" w:rsidTr="006E1769">
        <w:trPr>
          <w:trHeight w:val="26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09BCDDC"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Barking College</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351556"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22.3</w:t>
            </w:r>
          </w:p>
        </w:tc>
        <w:tc>
          <w:tcPr>
            <w:tcW w:w="33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8068B9"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Aspens</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3E568C"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31.5</w:t>
            </w:r>
          </w:p>
        </w:tc>
      </w:tr>
      <w:tr w:rsidR="00F753E8" w14:paraId="4042A326"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17513DB"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 xml:space="preserve">Dorothy Barely Academy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8796AB"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19.8</w:t>
            </w:r>
          </w:p>
        </w:tc>
        <w:tc>
          <w:tcPr>
            <w:tcW w:w="33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3ABFD5B"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Aspens 2</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2360BA"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29.6</w:t>
            </w:r>
          </w:p>
        </w:tc>
      </w:tr>
      <w:tr w:rsidR="00F753E8" w14:paraId="75FED0CA"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79D201"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Eastbury Academy</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7A4B19" w14:textId="77777777" w:rsidR="00F753E8" w:rsidRPr="003171D5" w:rsidRDefault="00F753E8" w:rsidP="006E1769">
            <w:pPr>
              <w:spacing w:line="252" w:lineRule="auto"/>
              <w:ind w:firstLine="22"/>
              <w:jc w:val="center"/>
              <w:rPr>
                <w:rFonts w:ascii="Arial" w:hAnsi="Arial" w:cs="Arial"/>
                <w:sz w:val="22"/>
                <w:szCs w:val="22"/>
              </w:rPr>
            </w:pPr>
            <w:r w:rsidRPr="003171D5">
              <w:rPr>
                <w:rFonts w:ascii="Arial" w:hAnsi="Arial" w:cs="Arial"/>
                <w:color w:val="000000"/>
                <w:sz w:val="22"/>
                <w:szCs w:val="22"/>
              </w:rPr>
              <w:t>20.1</w:t>
            </w:r>
          </w:p>
        </w:tc>
        <w:tc>
          <w:tcPr>
            <w:tcW w:w="33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99FFD03"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B&amp;D Citizen's Advice Bureau</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BA2A89"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43.0</w:t>
            </w:r>
          </w:p>
        </w:tc>
      </w:tr>
      <w:tr w:rsidR="00F753E8" w14:paraId="03B593F4"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B9CBB82"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Elutec</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6D25A3E"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20.8</w:t>
            </w:r>
          </w:p>
        </w:tc>
        <w:tc>
          <w:tcPr>
            <w:tcW w:w="33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DCEB91"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BD Corporate Cleaning</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45FADB"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27.8</w:t>
            </w:r>
          </w:p>
        </w:tc>
      </w:tr>
      <w:tr w:rsidR="00F753E8" w14:paraId="560B7F25"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F9BCCC" w14:textId="77777777" w:rsidR="00F753E8" w:rsidRPr="003171D5" w:rsidRDefault="00F753E8" w:rsidP="006E1769">
            <w:pPr>
              <w:spacing w:line="252" w:lineRule="auto"/>
              <w:ind w:firstLine="22"/>
              <w:rPr>
                <w:rFonts w:ascii="Arial" w:hAnsi="Arial" w:cs="Arial"/>
                <w:color w:val="000000"/>
                <w:sz w:val="22"/>
                <w:szCs w:val="22"/>
              </w:rPr>
            </w:pPr>
            <w:proofErr w:type="spellStart"/>
            <w:r w:rsidRPr="003171D5">
              <w:rPr>
                <w:rFonts w:ascii="Arial" w:hAnsi="Arial" w:cs="Arial"/>
                <w:color w:val="000000"/>
                <w:sz w:val="22"/>
                <w:szCs w:val="22"/>
              </w:rPr>
              <w:t>Goresbrook</w:t>
            </w:r>
            <w:proofErr w:type="spellEnd"/>
            <w:r w:rsidRPr="003171D5">
              <w:rPr>
                <w:rFonts w:ascii="Arial" w:hAnsi="Arial" w:cs="Arial"/>
                <w:color w:val="000000"/>
                <w:sz w:val="22"/>
                <w:szCs w:val="22"/>
              </w:rPr>
              <w:t xml:space="preserve"> Free School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CCD10C" w14:textId="77777777" w:rsidR="00F753E8" w:rsidRPr="003171D5" w:rsidRDefault="00F753E8" w:rsidP="006E1769">
            <w:pPr>
              <w:spacing w:line="252" w:lineRule="auto"/>
              <w:jc w:val="center"/>
              <w:rPr>
                <w:rFonts w:ascii="Arial" w:hAnsi="Arial" w:cs="Arial"/>
                <w:color w:val="000000"/>
                <w:sz w:val="22"/>
                <w:szCs w:val="22"/>
              </w:rPr>
            </w:pPr>
            <w:r w:rsidRPr="003171D5">
              <w:rPr>
                <w:rFonts w:ascii="Arial" w:hAnsi="Arial" w:cs="Arial"/>
                <w:color w:val="000000"/>
                <w:sz w:val="22"/>
                <w:szCs w:val="22"/>
              </w:rPr>
              <w:t>18.1</w:t>
            </w:r>
          </w:p>
        </w:tc>
        <w:tc>
          <w:tcPr>
            <w:tcW w:w="33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67CABA0"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 xml:space="preserve">BD Schools Improvement </w:t>
            </w:r>
            <w:proofErr w:type="spellStart"/>
            <w:r>
              <w:rPr>
                <w:rFonts w:ascii="Arial" w:hAnsi="Arial" w:cs="Arial"/>
                <w:color w:val="000000"/>
                <w:sz w:val="22"/>
                <w:szCs w:val="22"/>
              </w:rPr>
              <w:t>P’ship</w:t>
            </w:r>
            <w:proofErr w:type="spellEnd"/>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D0F31D"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27.7</w:t>
            </w:r>
          </w:p>
        </w:tc>
      </w:tr>
      <w:tr w:rsidR="00F753E8" w14:paraId="1922D28D"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2197F98" w14:textId="77777777" w:rsidR="00F753E8" w:rsidRPr="003171D5" w:rsidRDefault="00F753E8" w:rsidP="006E1769">
            <w:pPr>
              <w:spacing w:line="252" w:lineRule="auto"/>
              <w:ind w:firstLine="22"/>
              <w:rPr>
                <w:rFonts w:ascii="Arial" w:hAnsi="Arial" w:cs="Arial"/>
                <w:color w:val="000000"/>
                <w:sz w:val="22"/>
                <w:szCs w:val="22"/>
              </w:rPr>
            </w:pPr>
            <w:proofErr w:type="spellStart"/>
            <w:r w:rsidRPr="003171D5">
              <w:rPr>
                <w:rFonts w:ascii="Arial" w:hAnsi="Arial" w:cs="Arial"/>
                <w:color w:val="000000"/>
                <w:sz w:val="22"/>
                <w:szCs w:val="22"/>
              </w:rPr>
              <w:t>Greatfields</w:t>
            </w:r>
            <w:proofErr w:type="spellEnd"/>
            <w:r w:rsidRPr="003171D5">
              <w:rPr>
                <w:rFonts w:ascii="Arial" w:hAnsi="Arial" w:cs="Arial"/>
                <w:color w:val="000000"/>
                <w:sz w:val="22"/>
                <w:szCs w:val="22"/>
              </w:rPr>
              <w:t xml:space="preserve"> Free School</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74092D4"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19.0</w:t>
            </w:r>
          </w:p>
        </w:tc>
        <w:tc>
          <w:tcPr>
            <w:tcW w:w="33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34DBA18"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BD Together</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E8CD8F"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27.8</w:t>
            </w:r>
          </w:p>
        </w:tc>
      </w:tr>
      <w:tr w:rsidR="00F753E8" w14:paraId="74F6FF1E"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7F42F68"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James Cambell Academy</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CB8DDD"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22.2</w:t>
            </w:r>
          </w:p>
        </w:tc>
        <w:tc>
          <w:tcPr>
            <w:tcW w:w="33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50E0C09"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BD Management Services</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F08A51"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27.8</w:t>
            </w:r>
          </w:p>
        </w:tc>
      </w:tr>
      <w:tr w:rsidR="00F753E8" w14:paraId="5540084C"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2A61CDB"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LBBD</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ADDA3E" w14:textId="77777777" w:rsidR="00F753E8" w:rsidRPr="003171D5" w:rsidRDefault="00F753E8" w:rsidP="006E1769">
            <w:pPr>
              <w:spacing w:line="252" w:lineRule="auto"/>
              <w:ind w:firstLine="22"/>
              <w:jc w:val="center"/>
              <w:rPr>
                <w:rFonts w:ascii="Arial" w:hAnsi="Arial" w:cs="Arial"/>
                <w:color w:val="000000"/>
                <w:sz w:val="22"/>
                <w:szCs w:val="22"/>
              </w:rPr>
            </w:pPr>
            <w:r>
              <w:rPr>
                <w:rFonts w:ascii="Arial" w:hAnsi="Arial" w:cs="Arial"/>
                <w:color w:val="000000"/>
                <w:sz w:val="22"/>
                <w:szCs w:val="22"/>
              </w:rPr>
              <w:t>22.0</w:t>
            </w:r>
          </w:p>
        </w:tc>
        <w:tc>
          <w:tcPr>
            <w:tcW w:w="3397"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D9A70D1"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BD Trading Partnership</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E6B1CE"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27.8</w:t>
            </w:r>
          </w:p>
        </w:tc>
      </w:tr>
      <w:tr w:rsidR="00F753E8" w14:paraId="7C5D67E3"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148B2AFF"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Partnership Learning</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FD34E1"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19.9</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E27713" w14:textId="77777777" w:rsidR="00F753E8" w:rsidRPr="003171D5" w:rsidRDefault="00F753E8" w:rsidP="006E1769">
            <w:pPr>
              <w:spacing w:line="252" w:lineRule="auto"/>
              <w:rPr>
                <w:rFonts w:ascii="Arial" w:hAnsi="Arial" w:cs="Arial"/>
                <w:sz w:val="22"/>
                <w:szCs w:val="22"/>
              </w:rPr>
            </w:pPr>
            <w:r w:rsidRPr="003171D5">
              <w:rPr>
                <w:rFonts w:ascii="Arial" w:hAnsi="Arial" w:cs="Arial"/>
                <w:color w:val="000000"/>
                <w:sz w:val="22"/>
                <w:szCs w:val="22"/>
              </w:rPr>
              <w:t>Be First</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FEFDDA"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27.0</w:t>
            </w:r>
          </w:p>
        </w:tc>
      </w:tr>
      <w:tr w:rsidR="00F753E8" w14:paraId="7F060101"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6676B8C" w14:textId="77777777" w:rsidR="00F753E8" w:rsidRPr="00566190" w:rsidRDefault="00F753E8" w:rsidP="006E1769">
            <w:pPr>
              <w:spacing w:line="252" w:lineRule="auto"/>
              <w:ind w:firstLine="22"/>
              <w:rPr>
                <w:rFonts w:ascii="Arial" w:hAnsi="Arial" w:cs="Arial"/>
                <w:color w:val="000000"/>
                <w:sz w:val="22"/>
                <w:szCs w:val="22"/>
                <w:highlight w:val="yellow"/>
              </w:rPr>
            </w:pPr>
            <w:r w:rsidRPr="006B1FE1">
              <w:rPr>
                <w:rFonts w:ascii="Arial" w:hAnsi="Arial" w:cs="Arial"/>
                <w:color w:val="000000"/>
                <w:sz w:val="22"/>
                <w:szCs w:val="22"/>
              </w:rPr>
              <w:t>Pathways</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95ABE7"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23.7</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F0B926"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Cleantech</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FBC6CA"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29.8</w:t>
            </w:r>
          </w:p>
        </w:tc>
      </w:tr>
      <w:tr w:rsidR="00F753E8" w14:paraId="4799C53A"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4618A76"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 xml:space="preserve">Riverside Bridge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D099786" w14:textId="77777777" w:rsidR="00F753E8" w:rsidRPr="006E4B52" w:rsidRDefault="00F753E8" w:rsidP="006E1769">
            <w:pPr>
              <w:spacing w:line="252" w:lineRule="auto"/>
              <w:ind w:firstLine="22"/>
              <w:jc w:val="center"/>
              <w:rPr>
                <w:rFonts w:ascii="Arial" w:hAnsi="Arial" w:cs="Arial"/>
                <w:color w:val="000000"/>
                <w:sz w:val="22"/>
                <w:szCs w:val="22"/>
              </w:rPr>
            </w:pPr>
            <w:r w:rsidRPr="006E4B52">
              <w:rPr>
                <w:rFonts w:ascii="Arial" w:hAnsi="Arial" w:cs="Arial"/>
                <w:color w:val="000000"/>
                <w:sz w:val="22"/>
                <w:szCs w:val="22"/>
              </w:rPr>
              <w:t>19.4</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6D48A" w14:textId="77777777" w:rsidR="00F753E8" w:rsidRPr="006E4B52" w:rsidRDefault="00F753E8" w:rsidP="006E1769">
            <w:pPr>
              <w:spacing w:line="252" w:lineRule="auto"/>
              <w:ind w:firstLine="22"/>
              <w:rPr>
                <w:rFonts w:ascii="Arial" w:hAnsi="Arial" w:cs="Arial"/>
                <w:color w:val="000000"/>
                <w:sz w:val="22"/>
                <w:szCs w:val="22"/>
              </w:rPr>
            </w:pPr>
            <w:r w:rsidRPr="006E4B52">
              <w:rPr>
                <w:rFonts w:ascii="Arial" w:hAnsi="Arial" w:cs="Arial"/>
                <w:color w:val="000000"/>
                <w:sz w:val="22"/>
                <w:szCs w:val="22"/>
              </w:rPr>
              <w:t>Caterlink</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1451FB" w14:textId="77777777" w:rsidR="00F753E8" w:rsidRPr="006E4B52" w:rsidRDefault="00F753E8" w:rsidP="006E1769">
            <w:pPr>
              <w:spacing w:line="252" w:lineRule="auto"/>
              <w:ind w:firstLine="22"/>
              <w:jc w:val="center"/>
              <w:rPr>
                <w:rFonts w:ascii="Arial" w:hAnsi="Arial" w:cs="Arial"/>
                <w:color w:val="000000"/>
                <w:sz w:val="22"/>
                <w:szCs w:val="22"/>
              </w:rPr>
            </w:pPr>
            <w:r w:rsidRPr="006E4B52">
              <w:rPr>
                <w:rFonts w:ascii="Arial" w:hAnsi="Arial" w:cs="Arial"/>
                <w:color w:val="000000"/>
                <w:sz w:val="22"/>
                <w:szCs w:val="22"/>
              </w:rPr>
              <w:t>34.0</w:t>
            </w:r>
          </w:p>
        </w:tc>
      </w:tr>
      <w:tr w:rsidR="00F753E8" w14:paraId="4CBBDFCB"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71302100"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Riverside Free School</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6F0285" w14:textId="77777777" w:rsidR="00F753E8" w:rsidRPr="006E4B52" w:rsidRDefault="00F753E8" w:rsidP="006E1769">
            <w:pPr>
              <w:spacing w:line="252" w:lineRule="auto"/>
              <w:ind w:firstLine="22"/>
              <w:jc w:val="center"/>
              <w:rPr>
                <w:rFonts w:ascii="Arial" w:hAnsi="Arial" w:cs="Arial"/>
                <w:color w:val="000000"/>
                <w:sz w:val="22"/>
                <w:szCs w:val="22"/>
              </w:rPr>
            </w:pPr>
            <w:r w:rsidRPr="006E4B52">
              <w:rPr>
                <w:rFonts w:ascii="Arial" w:hAnsi="Arial" w:cs="Arial"/>
                <w:color w:val="000000"/>
                <w:sz w:val="22"/>
                <w:szCs w:val="22"/>
              </w:rPr>
              <w:t>19.3</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C09C87" w14:textId="77777777" w:rsidR="00F753E8" w:rsidRPr="006E4B52" w:rsidRDefault="00F753E8" w:rsidP="006E1769">
            <w:pPr>
              <w:spacing w:line="252" w:lineRule="auto"/>
              <w:ind w:firstLine="22"/>
              <w:rPr>
                <w:rFonts w:ascii="Arial" w:hAnsi="Arial" w:cs="Arial"/>
                <w:color w:val="000000"/>
                <w:sz w:val="22"/>
                <w:szCs w:val="22"/>
              </w:rPr>
            </w:pPr>
            <w:r w:rsidRPr="006E4B52">
              <w:rPr>
                <w:rFonts w:ascii="Arial" w:hAnsi="Arial" w:cs="Arial"/>
                <w:color w:val="000000"/>
                <w:sz w:val="22"/>
                <w:szCs w:val="22"/>
              </w:rPr>
              <w:t xml:space="preserve">Caterlink 2 </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F41DCAE" w14:textId="77777777" w:rsidR="00F753E8" w:rsidRPr="006E4B52" w:rsidRDefault="00F753E8" w:rsidP="006E1769">
            <w:pPr>
              <w:spacing w:line="252" w:lineRule="auto"/>
              <w:ind w:firstLine="22"/>
              <w:jc w:val="center"/>
              <w:rPr>
                <w:rFonts w:ascii="Arial" w:hAnsi="Arial" w:cs="Arial"/>
                <w:color w:val="000000"/>
                <w:sz w:val="22"/>
                <w:szCs w:val="22"/>
              </w:rPr>
            </w:pPr>
            <w:r w:rsidRPr="006E4B52">
              <w:rPr>
                <w:rFonts w:ascii="Arial" w:hAnsi="Arial" w:cs="Arial"/>
                <w:color w:val="000000"/>
                <w:sz w:val="22"/>
                <w:szCs w:val="22"/>
              </w:rPr>
              <w:t>26.4</w:t>
            </w:r>
          </w:p>
        </w:tc>
      </w:tr>
      <w:tr w:rsidR="00F753E8" w14:paraId="2913CEFD"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E854DD4"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Riverside Primary School</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07AB1D" w14:textId="77777777" w:rsidR="00F753E8" w:rsidRPr="003171D5" w:rsidRDefault="00F753E8" w:rsidP="006E1769">
            <w:pPr>
              <w:spacing w:line="252" w:lineRule="auto"/>
              <w:jc w:val="center"/>
              <w:rPr>
                <w:rFonts w:ascii="Arial" w:hAnsi="Arial" w:cs="Arial"/>
                <w:color w:val="000000"/>
                <w:sz w:val="22"/>
                <w:szCs w:val="22"/>
              </w:rPr>
            </w:pPr>
            <w:r w:rsidRPr="003171D5">
              <w:rPr>
                <w:rFonts w:ascii="Arial" w:hAnsi="Arial" w:cs="Arial"/>
                <w:color w:val="000000"/>
                <w:sz w:val="22"/>
                <w:szCs w:val="22"/>
              </w:rPr>
              <w:t>19.4</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3C3CFF" w14:textId="77777777" w:rsidR="00F753E8" w:rsidRPr="00161BD1" w:rsidRDefault="00F753E8" w:rsidP="006E1769">
            <w:pPr>
              <w:spacing w:line="252" w:lineRule="auto"/>
              <w:ind w:firstLine="22"/>
              <w:rPr>
                <w:rFonts w:ascii="Arial" w:hAnsi="Arial" w:cs="Arial"/>
                <w:color w:val="000000"/>
                <w:sz w:val="22"/>
                <w:szCs w:val="22"/>
              </w:rPr>
            </w:pPr>
            <w:r w:rsidRPr="00161BD1">
              <w:rPr>
                <w:rFonts w:ascii="Arial" w:hAnsi="Arial" w:cs="Arial"/>
                <w:color w:val="000000"/>
                <w:sz w:val="22"/>
                <w:szCs w:val="22"/>
              </w:rPr>
              <w:t>Caterlink 3</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1FCC4BA" w14:textId="77777777" w:rsidR="00F753E8" w:rsidRPr="00161BD1" w:rsidRDefault="00F753E8" w:rsidP="006E1769">
            <w:pPr>
              <w:spacing w:line="252" w:lineRule="auto"/>
              <w:ind w:firstLine="22"/>
              <w:jc w:val="center"/>
              <w:rPr>
                <w:rFonts w:ascii="Arial" w:hAnsi="Arial" w:cs="Arial"/>
                <w:color w:val="000000"/>
                <w:sz w:val="22"/>
                <w:szCs w:val="22"/>
              </w:rPr>
            </w:pPr>
            <w:r w:rsidRPr="00161BD1">
              <w:rPr>
                <w:rFonts w:ascii="Arial" w:hAnsi="Arial" w:cs="Arial"/>
                <w:color w:val="000000"/>
                <w:sz w:val="22"/>
                <w:szCs w:val="22"/>
              </w:rPr>
              <w:t>26.9</w:t>
            </w:r>
          </w:p>
        </w:tc>
      </w:tr>
      <w:tr w:rsidR="00F753E8" w14:paraId="299E2917"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F89B52" w14:textId="77777777" w:rsidR="00F753E8" w:rsidRPr="00516C22" w:rsidRDefault="00F753E8" w:rsidP="006E1769">
            <w:pPr>
              <w:spacing w:line="252" w:lineRule="auto"/>
              <w:ind w:firstLine="22"/>
              <w:rPr>
                <w:rFonts w:ascii="Arial" w:hAnsi="Arial" w:cs="Arial"/>
                <w:color w:val="000000"/>
                <w:sz w:val="22"/>
                <w:szCs w:val="22"/>
              </w:rPr>
            </w:pPr>
            <w:r w:rsidRPr="00516C22">
              <w:rPr>
                <w:rFonts w:ascii="Arial" w:hAnsi="Arial" w:cs="Arial"/>
                <w:color w:val="000000"/>
                <w:sz w:val="22"/>
                <w:szCs w:val="22"/>
              </w:rPr>
              <w:t>St Joseph’s Dagenham</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6B89B5"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26.0</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38EB468" w14:textId="77777777" w:rsidR="00F753E8" w:rsidRPr="00E97DF8" w:rsidRDefault="00F753E8" w:rsidP="006E1769">
            <w:pPr>
              <w:spacing w:line="252" w:lineRule="auto"/>
              <w:rPr>
                <w:rFonts w:ascii="Arial" w:hAnsi="Arial" w:cs="Arial"/>
                <w:sz w:val="22"/>
                <w:szCs w:val="22"/>
              </w:rPr>
            </w:pPr>
            <w:r w:rsidRPr="00E97DF8">
              <w:rPr>
                <w:rFonts w:ascii="Arial" w:hAnsi="Arial" w:cs="Arial"/>
                <w:color w:val="000000"/>
                <w:sz w:val="22"/>
                <w:szCs w:val="22"/>
              </w:rPr>
              <w:t>Caterlink 4</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ABB07A" w14:textId="77777777" w:rsidR="00F753E8" w:rsidRPr="00E97DF8" w:rsidRDefault="00F753E8" w:rsidP="006E1769">
            <w:pPr>
              <w:spacing w:line="252" w:lineRule="auto"/>
              <w:ind w:firstLine="22"/>
              <w:jc w:val="center"/>
              <w:rPr>
                <w:rFonts w:ascii="Arial" w:hAnsi="Arial" w:cs="Arial"/>
                <w:color w:val="000000"/>
                <w:sz w:val="22"/>
                <w:szCs w:val="22"/>
              </w:rPr>
            </w:pPr>
            <w:r w:rsidRPr="00E97DF8">
              <w:rPr>
                <w:rFonts w:ascii="Arial" w:hAnsi="Arial" w:cs="Arial"/>
                <w:color w:val="000000"/>
                <w:sz w:val="22"/>
                <w:szCs w:val="22"/>
              </w:rPr>
              <w:t>28.9</w:t>
            </w:r>
          </w:p>
        </w:tc>
      </w:tr>
      <w:tr w:rsidR="00F753E8" w14:paraId="4522DA68"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39B18FE" w14:textId="77777777" w:rsidR="00F753E8" w:rsidRPr="00516C22" w:rsidRDefault="00F753E8" w:rsidP="006E1769">
            <w:pPr>
              <w:spacing w:line="252" w:lineRule="auto"/>
              <w:ind w:firstLine="22"/>
              <w:rPr>
                <w:rFonts w:ascii="Arial" w:hAnsi="Arial" w:cs="Arial"/>
                <w:color w:val="000000"/>
                <w:sz w:val="22"/>
                <w:szCs w:val="22"/>
              </w:rPr>
            </w:pPr>
            <w:r w:rsidRPr="00516C22">
              <w:rPr>
                <w:rFonts w:ascii="Arial" w:hAnsi="Arial" w:cs="Arial"/>
                <w:color w:val="000000"/>
                <w:sz w:val="22"/>
                <w:szCs w:val="22"/>
              </w:rPr>
              <w:t>St Joseph’s Barking</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01AA69B"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24.6</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9767C72" w14:textId="77777777" w:rsidR="00F753E8" w:rsidRPr="00397EB1"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Lewis and Graves</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1911015" w14:textId="77777777" w:rsidR="00F753E8" w:rsidRPr="00397EB1" w:rsidRDefault="00F753E8" w:rsidP="006E1769">
            <w:pPr>
              <w:spacing w:line="252" w:lineRule="auto"/>
              <w:jc w:val="center"/>
              <w:rPr>
                <w:rFonts w:ascii="Arial" w:hAnsi="Arial" w:cs="Arial"/>
                <w:color w:val="000000"/>
                <w:sz w:val="22"/>
                <w:szCs w:val="22"/>
              </w:rPr>
            </w:pPr>
            <w:r w:rsidRPr="003171D5">
              <w:rPr>
                <w:rFonts w:ascii="Arial" w:hAnsi="Arial" w:cs="Arial"/>
                <w:color w:val="000000"/>
                <w:sz w:val="22"/>
                <w:szCs w:val="22"/>
              </w:rPr>
              <w:t>34.5</w:t>
            </w:r>
          </w:p>
        </w:tc>
      </w:tr>
      <w:tr w:rsidR="00F753E8" w14:paraId="34D44F71" w14:textId="77777777" w:rsidTr="006E1769">
        <w:trPr>
          <w:trHeight w:val="97"/>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521AD62"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 xml:space="preserve">St Margarets Academy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056E21"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20.8</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35EC68C" w14:textId="77777777" w:rsidR="00F753E8" w:rsidRPr="003171D5" w:rsidRDefault="00F753E8" w:rsidP="006E1769">
            <w:pPr>
              <w:spacing w:line="252" w:lineRule="auto"/>
              <w:ind w:firstLine="22"/>
              <w:rPr>
                <w:rFonts w:ascii="Arial" w:hAnsi="Arial" w:cs="Arial"/>
                <w:color w:val="000000"/>
                <w:sz w:val="22"/>
                <w:szCs w:val="22"/>
              </w:rPr>
            </w:pPr>
            <w:r w:rsidRPr="00253BF0">
              <w:rPr>
                <w:rFonts w:ascii="Arial" w:hAnsi="Arial" w:cs="Arial"/>
                <w:color w:val="000000"/>
                <w:sz w:val="22"/>
                <w:szCs w:val="22"/>
              </w:rPr>
              <w:t>Pantry Catering</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5F3CB8A" w14:textId="77777777" w:rsidR="00F753E8" w:rsidRPr="003171D5" w:rsidRDefault="00F753E8" w:rsidP="006E1769">
            <w:pPr>
              <w:spacing w:line="252" w:lineRule="auto"/>
              <w:jc w:val="center"/>
              <w:rPr>
                <w:rFonts w:ascii="Arial" w:hAnsi="Arial" w:cs="Arial"/>
                <w:color w:val="000000"/>
                <w:sz w:val="22"/>
                <w:szCs w:val="22"/>
              </w:rPr>
            </w:pPr>
            <w:r w:rsidRPr="00253BF0">
              <w:rPr>
                <w:rFonts w:ascii="Arial" w:hAnsi="Arial" w:cs="Arial"/>
                <w:color w:val="000000"/>
                <w:sz w:val="22"/>
                <w:szCs w:val="22"/>
              </w:rPr>
              <w:t>31.5</w:t>
            </w:r>
          </w:p>
        </w:tc>
      </w:tr>
      <w:tr w:rsidR="00F753E8" w14:paraId="15620DF4" w14:textId="77777777" w:rsidTr="006E1769">
        <w:trPr>
          <w:trHeight w:val="97"/>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FF86184" w14:textId="77777777" w:rsidR="00F753E8" w:rsidRPr="000C60FC" w:rsidRDefault="00F753E8" w:rsidP="006E1769">
            <w:pPr>
              <w:spacing w:line="252" w:lineRule="auto"/>
              <w:ind w:firstLine="22"/>
              <w:rPr>
                <w:rFonts w:ascii="Arial" w:hAnsi="Arial" w:cs="Arial"/>
                <w:color w:val="000000"/>
                <w:sz w:val="22"/>
                <w:szCs w:val="22"/>
              </w:rPr>
            </w:pPr>
            <w:r w:rsidRPr="000C60FC">
              <w:rPr>
                <w:rFonts w:ascii="Arial" w:hAnsi="Arial" w:cs="Arial"/>
                <w:color w:val="000000"/>
                <w:sz w:val="22"/>
                <w:szCs w:val="22"/>
              </w:rPr>
              <w:t>St Theresa’s Dagenham</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6C1D907" w14:textId="77777777" w:rsidR="00F753E8" w:rsidRPr="000C60FC" w:rsidRDefault="00F753E8" w:rsidP="006E1769">
            <w:pPr>
              <w:spacing w:line="252" w:lineRule="auto"/>
              <w:ind w:firstLine="22"/>
              <w:jc w:val="center"/>
              <w:rPr>
                <w:rFonts w:ascii="Arial" w:hAnsi="Arial" w:cs="Arial"/>
                <w:color w:val="000000"/>
                <w:sz w:val="22"/>
                <w:szCs w:val="22"/>
              </w:rPr>
            </w:pPr>
            <w:r w:rsidRPr="000C60FC">
              <w:rPr>
                <w:rFonts w:ascii="Arial" w:hAnsi="Arial" w:cs="Arial"/>
                <w:color w:val="000000"/>
                <w:sz w:val="22"/>
                <w:szCs w:val="22"/>
              </w:rPr>
              <w:t>28.7</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AF8D60" w14:textId="77777777" w:rsidR="00F753E8" w:rsidRPr="00253BF0" w:rsidRDefault="00F753E8" w:rsidP="006E1769">
            <w:pPr>
              <w:spacing w:line="252" w:lineRule="auto"/>
              <w:ind w:firstLine="22"/>
              <w:rPr>
                <w:rFonts w:ascii="Arial" w:hAnsi="Arial" w:cs="Arial"/>
                <w:sz w:val="22"/>
                <w:szCs w:val="22"/>
              </w:rPr>
            </w:pPr>
            <w:r w:rsidRPr="003171D5">
              <w:rPr>
                <w:rFonts w:ascii="Arial" w:hAnsi="Arial" w:cs="Arial"/>
                <w:color w:val="000000"/>
                <w:sz w:val="22"/>
                <w:szCs w:val="22"/>
              </w:rPr>
              <w:t xml:space="preserve">Schools Offices Services Ltd </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ACF7FAE" w14:textId="77777777" w:rsidR="00F753E8" w:rsidRPr="00253BF0" w:rsidRDefault="00F753E8" w:rsidP="006E1769">
            <w:pPr>
              <w:spacing w:line="252" w:lineRule="auto"/>
              <w:ind w:firstLine="22"/>
              <w:jc w:val="center"/>
              <w:rPr>
                <w:rFonts w:ascii="Arial" w:hAnsi="Arial" w:cs="Arial"/>
                <w:sz w:val="22"/>
                <w:szCs w:val="22"/>
              </w:rPr>
            </w:pPr>
            <w:r w:rsidRPr="003171D5">
              <w:rPr>
                <w:rFonts w:ascii="Arial" w:hAnsi="Arial" w:cs="Arial"/>
                <w:color w:val="000000"/>
                <w:sz w:val="22"/>
                <w:szCs w:val="22"/>
              </w:rPr>
              <w:t>26.9</w:t>
            </w:r>
          </w:p>
        </w:tc>
      </w:tr>
      <w:tr w:rsidR="00F753E8" w14:paraId="65DB758C" w14:textId="77777777" w:rsidTr="006E1769">
        <w:trPr>
          <w:trHeight w:val="97"/>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DBE1803"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 xml:space="preserve">Sydney Russell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0AC2B25"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20.1</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7FFEE40"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Sports Leisure Management</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63F5DA" w14:textId="77777777" w:rsidR="00F753E8" w:rsidRPr="003171D5" w:rsidRDefault="00F753E8" w:rsidP="006E1769">
            <w:pPr>
              <w:spacing w:line="252" w:lineRule="auto"/>
              <w:jc w:val="center"/>
              <w:rPr>
                <w:rFonts w:ascii="Arial" w:hAnsi="Arial" w:cs="Arial"/>
                <w:color w:val="000000"/>
                <w:sz w:val="22"/>
                <w:szCs w:val="22"/>
              </w:rPr>
            </w:pPr>
            <w:r w:rsidRPr="003171D5">
              <w:rPr>
                <w:rFonts w:ascii="Arial" w:hAnsi="Arial" w:cs="Arial"/>
                <w:color w:val="000000"/>
                <w:sz w:val="22"/>
                <w:szCs w:val="22"/>
              </w:rPr>
              <w:t>21.0</w:t>
            </w:r>
          </w:p>
        </w:tc>
      </w:tr>
      <w:tr w:rsidR="00F753E8" w14:paraId="0B4227EC"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F397565"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Thames View Infants Acad</w:t>
            </w:r>
            <w:r>
              <w:rPr>
                <w:rFonts w:ascii="Arial" w:hAnsi="Arial" w:cs="Arial"/>
                <w:color w:val="000000"/>
                <w:sz w:val="22"/>
                <w:szCs w:val="22"/>
              </w:rPr>
              <w:t>.</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596EFE"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20.5</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403F52A" w14:textId="77777777" w:rsidR="00F753E8" w:rsidRPr="003171D5" w:rsidRDefault="00F753E8" w:rsidP="006E1769">
            <w:pPr>
              <w:spacing w:line="252" w:lineRule="auto"/>
              <w:ind w:firstLine="22"/>
              <w:rPr>
                <w:rFonts w:ascii="Arial" w:hAnsi="Arial" w:cs="Arial"/>
                <w:sz w:val="22"/>
                <w:szCs w:val="22"/>
              </w:rPr>
            </w:pPr>
            <w:r w:rsidRPr="003171D5">
              <w:rPr>
                <w:rFonts w:ascii="Arial" w:hAnsi="Arial" w:cs="Arial"/>
                <w:color w:val="000000"/>
                <w:sz w:val="22"/>
                <w:szCs w:val="22"/>
              </w:rPr>
              <w:t>The Broadway Theatre</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6E145DF"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29.5</w:t>
            </w:r>
          </w:p>
        </w:tc>
      </w:tr>
      <w:tr w:rsidR="00F753E8" w14:paraId="581F5253"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4024D26"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Thames View Junior Acad</w:t>
            </w:r>
            <w:r>
              <w:rPr>
                <w:rFonts w:ascii="Arial" w:hAnsi="Arial" w:cs="Arial"/>
                <w:color w:val="000000"/>
                <w:sz w:val="22"/>
                <w:szCs w:val="22"/>
              </w:rPr>
              <w:t>.</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56580F"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20.7</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767D2C8F"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Town and Country Cleaners</w:t>
            </w: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3B23667B"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27.7</w:t>
            </w:r>
          </w:p>
        </w:tc>
      </w:tr>
      <w:tr w:rsidR="00F753E8" w14:paraId="749ED44C"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4A62B98"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University of East London</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5E34035" w14:textId="77777777" w:rsidR="00F753E8" w:rsidRPr="003171D5" w:rsidRDefault="00F753E8" w:rsidP="006E1769">
            <w:pPr>
              <w:spacing w:line="252" w:lineRule="auto"/>
              <w:ind w:firstLine="22"/>
              <w:jc w:val="center"/>
              <w:rPr>
                <w:rFonts w:ascii="Arial" w:hAnsi="Arial" w:cs="Arial"/>
                <w:color w:val="000000"/>
                <w:sz w:val="22"/>
                <w:szCs w:val="22"/>
              </w:rPr>
            </w:pPr>
            <w:r w:rsidRPr="003171D5">
              <w:rPr>
                <w:rFonts w:ascii="Arial" w:hAnsi="Arial" w:cs="Arial"/>
                <w:color w:val="000000"/>
                <w:sz w:val="22"/>
                <w:szCs w:val="22"/>
              </w:rPr>
              <w:t>34.4</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6A2310DC" w14:textId="77777777" w:rsidR="00F753E8" w:rsidRPr="003171D5" w:rsidRDefault="00F753E8" w:rsidP="006E1769">
            <w:pPr>
              <w:spacing w:line="252" w:lineRule="auto"/>
              <w:ind w:firstLine="22"/>
              <w:rPr>
                <w:rFonts w:ascii="Arial" w:hAnsi="Arial" w:cs="Arial"/>
                <w:color w:val="000000"/>
                <w:sz w:val="22"/>
                <w:szCs w:val="22"/>
              </w:rPr>
            </w:pP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E4ABF6E" w14:textId="77777777" w:rsidR="00F753E8" w:rsidRPr="003171D5" w:rsidRDefault="00F753E8" w:rsidP="006E1769">
            <w:pPr>
              <w:spacing w:line="252" w:lineRule="auto"/>
              <w:ind w:firstLine="22"/>
              <w:rPr>
                <w:rFonts w:ascii="Arial" w:hAnsi="Arial" w:cs="Arial"/>
                <w:color w:val="000000"/>
                <w:sz w:val="22"/>
                <w:szCs w:val="22"/>
              </w:rPr>
            </w:pPr>
          </w:p>
        </w:tc>
      </w:tr>
      <w:tr w:rsidR="00F753E8" w14:paraId="5A3FD1A8" w14:textId="77777777" w:rsidTr="006E1769">
        <w:trPr>
          <w:trHeight w:val="258"/>
          <w:jc w:val="center"/>
        </w:trPr>
        <w:tc>
          <w:tcPr>
            <w:tcW w:w="3109"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0C4352AF" w14:textId="77777777" w:rsidR="00F753E8" w:rsidRPr="003171D5" w:rsidRDefault="00F753E8" w:rsidP="006E1769">
            <w:pPr>
              <w:spacing w:line="252" w:lineRule="auto"/>
              <w:ind w:firstLine="22"/>
              <w:rPr>
                <w:rFonts w:ascii="Arial" w:hAnsi="Arial" w:cs="Arial"/>
                <w:color w:val="000000"/>
                <w:sz w:val="22"/>
                <w:szCs w:val="22"/>
              </w:rPr>
            </w:pPr>
            <w:r w:rsidRPr="003171D5">
              <w:rPr>
                <w:rFonts w:ascii="Arial" w:hAnsi="Arial" w:cs="Arial"/>
                <w:color w:val="000000"/>
                <w:sz w:val="22"/>
                <w:szCs w:val="22"/>
              </w:rPr>
              <w:t xml:space="preserve">Warren Academy </w:t>
            </w:r>
          </w:p>
        </w:tc>
        <w:tc>
          <w:tcPr>
            <w:tcW w:w="9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DC7CCC8" w14:textId="77777777" w:rsidR="00F753E8" w:rsidRPr="003171D5" w:rsidRDefault="00F753E8" w:rsidP="006E1769">
            <w:pPr>
              <w:spacing w:line="252" w:lineRule="auto"/>
              <w:ind w:firstLine="22"/>
              <w:jc w:val="center"/>
              <w:rPr>
                <w:rFonts w:ascii="Arial" w:hAnsi="Arial" w:cs="Arial"/>
                <w:sz w:val="22"/>
                <w:szCs w:val="22"/>
              </w:rPr>
            </w:pPr>
            <w:r w:rsidRPr="003171D5">
              <w:rPr>
                <w:rFonts w:ascii="Arial" w:hAnsi="Arial" w:cs="Arial"/>
                <w:color w:val="000000"/>
                <w:sz w:val="22"/>
                <w:szCs w:val="22"/>
              </w:rPr>
              <w:t>20.1</w:t>
            </w:r>
          </w:p>
        </w:tc>
        <w:tc>
          <w:tcPr>
            <w:tcW w:w="339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4507D9E4" w14:textId="77777777" w:rsidR="00F753E8" w:rsidRPr="003171D5" w:rsidRDefault="00F753E8" w:rsidP="006E1769">
            <w:pPr>
              <w:spacing w:line="252" w:lineRule="auto"/>
              <w:ind w:firstLine="22"/>
              <w:rPr>
                <w:rFonts w:ascii="Arial" w:hAnsi="Arial" w:cs="Arial"/>
                <w:sz w:val="22"/>
                <w:szCs w:val="22"/>
              </w:rPr>
            </w:pPr>
          </w:p>
        </w:tc>
        <w:tc>
          <w:tcPr>
            <w:tcW w:w="1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bottom"/>
          </w:tcPr>
          <w:p w14:paraId="593ED35F" w14:textId="77777777" w:rsidR="00F753E8" w:rsidRPr="003171D5" w:rsidRDefault="00F753E8" w:rsidP="006E1769">
            <w:pPr>
              <w:spacing w:line="252" w:lineRule="auto"/>
              <w:ind w:firstLine="22"/>
              <w:rPr>
                <w:rFonts w:ascii="Arial" w:hAnsi="Arial" w:cs="Arial"/>
                <w:sz w:val="22"/>
                <w:szCs w:val="22"/>
              </w:rPr>
            </w:pPr>
          </w:p>
        </w:tc>
      </w:tr>
    </w:tbl>
    <w:p w14:paraId="5D5AF452" w14:textId="77777777" w:rsidR="00F753E8" w:rsidRPr="008A0A4E" w:rsidRDefault="00F753E8" w:rsidP="00F753E8">
      <w:pPr>
        <w:jc w:val="both"/>
        <w:rPr>
          <w:rFonts w:ascii="Arial" w:hAnsi="Arial" w:cs="Arial"/>
          <w:sz w:val="22"/>
          <w:szCs w:val="22"/>
        </w:rPr>
      </w:pPr>
    </w:p>
    <w:p w14:paraId="055BC2E9"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 xml:space="preserve">The financial statements do not take account of liabilities to pay pensions and other benefits after the period end. </w:t>
      </w:r>
    </w:p>
    <w:p w14:paraId="2C51254F" w14:textId="77777777" w:rsidR="00F753E8" w:rsidRDefault="00F753E8" w:rsidP="00F753E8">
      <w:pPr>
        <w:spacing w:line="20" w:lineRule="atLeast"/>
        <w:rPr>
          <w:rFonts w:ascii="Arial" w:hAnsi="Arial" w:cs="Arial"/>
          <w:b/>
          <w:sz w:val="22"/>
          <w:szCs w:val="22"/>
        </w:rPr>
      </w:pPr>
    </w:p>
    <w:p w14:paraId="4011182C" w14:textId="77777777" w:rsidR="00F753E8" w:rsidRPr="008A0A4E" w:rsidRDefault="00F753E8" w:rsidP="00F753E8">
      <w:pPr>
        <w:ind w:left="284"/>
        <w:jc w:val="both"/>
        <w:rPr>
          <w:rFonts w:ascii="Arial" w:hAnsi="Arial" w:cs="Arial"/>
          <w:b/>
          <w:sz w:val="22"/>
          <w:szCs w:val="22"/>
        </w:rPr>
      </w:pPr>
      <w:r w:rsidRPr="008A0A4E">
        <w:rPr>
          <w:rFonts w:ascii="Arial" w:hAnsi="Arial" w:cs="Arial"/>
          <w:b/>
          <w:sz w:val="22"/>
          <w:szCs w:val="22"/>
        </w:rPr>
        <w:t>Funding level and position</w:t>
      </w:r>
    </w:p>
    <w:p w14:paraId="6AD92CF8" w14:textId="77777777" w:rsidR="00F753E8" w:rsidRPr="008A0A4E" w:rsidRDefault="00F753E8" w:rsidP="00F753E8">
      <w:pPr>
        <w:ind w:left="284"/>
        <w:jc w:val="both"/>
        <w:rPr>
          <w:rFonts w:ascii="Arial" w:hAnsi="Arial" w:cs="Arial"/>
          <w:b/>
          <w:sz w:val="22"/>
          <w:szCs w:val="22"/>
        </w:rPr>
      </w:pPr>
    </w:p>
    <w:p w14:paraId="289F0FE5" w14:textId="77777777" w:rsidR="00F753E8" w:rsidRPr="008A0A4E" w:rsidRDefault="00F753E8" w:rsidP="00F753E8">
      <w:pPr>
        <w:ind w:left="284"/>
        <w:jc w:val="both"/>
        <w:rPr>
          <w:rFonts w:ascii="Arial" w:hAnsi="Arial" w:cs="Arial"/>
          <w:sz w:val="22"/>
          <w:szCs w:val="22"/>
        </w:rPr>
      </w:pPr>
      <w:r w:rsidRPr="008A0A4E">
        <w:rPr>
          <w:rFonts w:ascii="Arial" w:hAnsi="Arial" w:cs="Arial"/>
          <w:sz w:val="22"/>
          <w:szCs w:val="22"/>
        </w:rPr>
        <w:t xml:space="preserve">The table below shows the detailed funding level for the 2019 valuation: </w:t>
      </w:r>
    </w:p>
    <w:p w14:paraId="793189F2" w14:textId="77777777" w:rsidR="00F753E8" w:rsidRPr="008A0A4E" w:rsidRDefault="00F753E8" w:rsidP="00F753E8">
      <w:pPr>
        <w:ind w:left="284"/>
        <w:jc w:val="both"/>
        <w:rPr>
          <w:rFonts w:ascii="Arial" w:hAnsi="Arial" w:cs="Arial"/>
          <w:sz w:val="22"/>
          <w:szCs w:val="22"/>
        </w:rPr>
      </w:pPr>
    </w:p>
    <w:tbl>
      <w:tblPr>
        <w:tblW w:w="8646" w:type="dxa"/>
        <w:tblInd w:w="426" w:type="dxa"/>
        <w:tblLook w:val="00A0" w:firstRow="1" w:lastRow="0" w:firstColumn="1" w:lastColumn="0" w:noHBand="0" w:noVBand="0"/>
      </w:tblPr>
      <w:tblGrid>
        <w:gridCol w:w="6378"/>
        <w:gridCol w:w="1134"/>
        <w:gridCol w:w="1134"/>
      </w:tblGrid>
      <w:tr w:rsidR="00F753E8" w:rsidRPr="00B64150" w14:paraId="24555B3C" w14:textId="77777777" w:rsidTr="006E1769">
        <w:trPr>
          <w:trHeight w:val="279"/>
        </w:trPr>
        <w:tc>
          <w:tcPr>
            <w:tcW w:w="6378" w:type="dxa"/>
          </w:tcPr>
          <w:p w14:paraId="7C860D3C" w14:textId="77777777" w:rsidR="00F753E8" w:rsidRPr="008A0A4E" w:rsidRDefault="00F753E8" w:rsidP="006E1769">
            <w:pPr>
              <w:jc w:val="both"/>
              <w:rPr>
                <w:rFonts w:ascii="Arial" w:hAnsi="Arial" w:cs="Arial"/>
                <w:b/>
                <w:sz w:val="22"/>
                <w:szCs w:val="22"/>
              </w:rPr>
            </w:pPr>
            <w:r w:rsidRPr="008A0A4E">
              <w:rPr>
                <w:rFonts w:ascii="Arial" w:hAnsi="Arial" w:cs="Arial"/>
                <w:b/>
                <w:sz w:val="22"/>
                <w:szCs w:val="22"/>
              </w:rPr>
              <w:t>Employer contribution rates</w:t>
            </w:r>
          </w:p>
        </w:tc>
        <w:tc>
          <w:tcPr>
            <w:tcW w:w="2268" w:type="dxa"/>
            <w:gridSpan w:val="2"/>
          </w:tcPr>
          <w:p w14:paraId="3DB6AE9C" w14:textId="77777777" w:rsidR="00F753E8" w:rsidRPr="008A0A4E" w:rsidRDefault="00F753E8" w:rsidP="006E1769">
            <w:pPr>
              <w:jc w:val="center"/>
              <w:rPr>
                <w:rFonts w:ascii="Arial" w:hAnsi="Arial" w:cs="Arial"/>
                <w:sz w:val="22"/>
                <w:szCs w:val="22"/>
              </w:rPr>
            </w:pPr>
            <w:r w:rsidRPr="008A0A4E">
              <w:rPr>
                <w:rFonts w:ascii="Arial" w:hAnsi="Arial" w:cs="Arial"/>
                <w:sz w:val="22"/>
                <w:szCs w:val="22"/>
              </w:rPr>
              <w:t xml:space="preserve">As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w:t>
            </w:r>
          </w:p>
        </w:tc>
      </w:tr>
      <w:tr w:rsidR="00F753E8" w:rsidRPr="00B64150" w14:paraId="69CDD1B9" w14:textId="77777777" w:rsidTr="006E1769">
        <w:trPr>
          <w:trHeight w:val="279"/>
        </w:trPr>
        <w:tc>
          <w:tcPr>
            <w:tcW w:w="6378" w:type="dxa"/>
          </w:tcPr>
          <w:p w14:paraId="7999C7FD" w14:textId="77777777" w:rsidR="00F753E8" w:rsidRPr="008A0A4E" w:rsidRDefault="00F753E8" w:rsidP="006E1769">
            <w:pPr>
              <w:rPr>
                <w:rFonts w:ascii="Arial" w:hAnsi="Arial" w:cs="Arial"/>
                <w:sz w:val="22"/>
                <w:szCs w:val="22"/>
              </w:rPr>
            </w:pPr>
          </w:p>
        </w:tc>
        <w:tc>
          <w:tcPr>
            <w:tcW w:w="1134" w:type="dxa"/>
          </w:tcPr>
          <w:p w14:paraId="1B9A21C9" w14:textId="77777777" w:rsidR="00F753E8" w:rsidRPr="008A0A4E" w:rsidRDefault="00F753E8" w:rsidP="006E1769">
            <w:pPr>
              <w:jc w:val="center"/>
              <w:rPr>
                <w:rFonts w:ascii="Arial" w:hAnsi="Arial" w:cs="Arial"/>
                <w:bCs/>
                <w:sz w:val="22"/>
                <w:szCs w:val="22"/>
              </w:rPr>
            </w:pPr>
            <w:r w:rsidRPr="008A0A4E">
              <w:rPr>
                <w:rFonts w:ascii="Arial" w:hAnsi="Arial" w:cs="Arial"/>
                <w:bCs/>
                <w:sz w:val="22"/>
                <w:szCs w:val="22"/>
              </w:rPr>
              <w:t xml:space="preserve">    2016</w:t>
            </w:r>
          </w:p>
        </w:tc>
        <w:tc>
          <w:tcPr>
            <w:tcW w:w="1134" w:type="dxa"/>
          </w:tcPr>
          <w:p w14:paraId="030ECCA7" w14:textId="77777777" w:rsidR="00F753E8" w:rsidRPr="008A0A4E" w:rsidRDefault="00F753E8" w:rsidP="006E1769">
            <w:pPr>
              <w:jc w:val="center"/>
              <w:rPr>
                <w:rFonts w:ascii="Arial" w:hAnsi="Arial" w:cs="Arial"/>
                <w:b/>
                <w:sz w:val="22"/>
                <w:szCs w:val="22"/>
              </w:rPr>
            </w:pPr>
            <w:r w:rsidRPr="008A0A4E">
              <w:rPr>
                <w:rFonts w:ascii="Arial" w:hAnsi="Arial" w:cs="Arial"/>
                <w:b/>
                <w:sz w:val="22"/>
                <w:szCs w:val="22"/>
              </w:rPr>
              <w:t>2019</w:t>
            </w:r>
          </w:p>
        </w:tc>
      </w:tr>
      <w:tr w:rsidR="00F753E8" w:rsidRPr="00B64150" w14:paraId="59085F91" w14:textId="77777777" w:rsidTr="006E1769">
        <w:trPr>
          <w:trHeight w:val="279"/>
        </w:trPr>
        <w:tc>
          <w:tcPr>
            <w:tcW w:w="6378" w:type="dxa"/>
          </w:tcPr>
          <w:p w14:paraId="17F382C0" w14:textId="77777777" w:rsidR="00F753E8" w:rsidRPr="008A0A4E" w:rsidRDefault="00F753E8" w:rsidP="006E1769">
            <w:pPr>
              <w:jc w:val="both"/>
              <w:rPr>
                <w:rFonts w:ascii="Arial" w:hAnsi="Arial" w:cs="Arial"/>
                <w:sz w:val="22"/>
                <w:szCs w:val="22"/>
              </w:rPr>
            </w:pPr>
            <w:r w:rsidRPr="008A0A4E">
              <w:rPr>
                <w:rFonts w:ascii="Arial" w:hAnsi="Arial" w:cs="Arial"/>
                <w:sz w:val="22"/>
                <w:szCs w:val="22"/>
              </w:rPr>
              <w:t>Primary Rate (net Employer Future Service Cost)</w:t>
            </w:r>
          </w:p>
        </w:tc>
        <w:tc>
          <w:tcPr>
            <w:tcW w:w="1134" w:type="dxa"/>
          </w:tcPr>
          <w:p w14:paraId="73EBB060" w14:textId="77777777" w:rsidR="00F753E8" w:rsidRPr="008A0A4E" w:rsidRDefault="00F753E8" w:rsidP="006E1769">
            <w:pPr>
              <w:ind w:right="208"/>
              <w:jc w:val="right"/>
              <w:rPr>
                <w:rFonts w:ascii="Arial" w:hAnsi="Arial" w:cs="Arial"/>
                <w:bCs/>
                <w:sz w:val="22"/>
                <w:szCs w:val="22"/>
              </w:rPr>
            </w:pPr>
            <w:r w:rsidRPr="008A0A4E">
              <w:rPr>
                <w:rFonts w:ascii="Arial" w:hAnsi="Arial" w:cs="Arial"/>
                <w:bCs/>
                <w:sz w:val="22"/>
                <w:szCs w:val="22"/>
              </w:rPr>
              <w:t>18.2%</w:t>
            </w:r>
          </w:p>
        </w:tc>
        <w:tc>
          <w:tcPr>
            <w:tcW w:w="1134" w:type="dxa"/>
          </w:tcPr>
          <w:p w14:paraId="33DA4EA8" w14:textId="77777777" w:rsidR="00F753E8" w:rsidRPr="008A0A4E" w:rsidRDefault="00F753E8" w:rsidP="006E1769">
            <w:pPr>
              <w:ind w:right="208"/>
              <w:jc w:val="right"/>
              <w:rPr>
                <w:rFonts w:ascii="Arial" w:hAnsi="Arial" w:cs="Arial"/>
                <w:b/>
                <w:sz w:val="22"/>
                <w:szCs w:val="22"/>
              </w:rPr>
            </w:pPr>
            <w:r w:rsidRPr="008A0A4E">
              <w:rPr>
                <w:rFonts w:ascii="Arial" w:hAnsi="Arial" w:cs="Arial"/>
                <w:b/>
                <w:sz w:val="22"/>
                <w:szCs w:val="22"/>
              </w:rPr>
              <w:t>19.8%</w:t>
            </w:r>
          </w:p>
        </w:tc>
      </w:tr>
      <w:tr w:rsidR="00F753E8" w:rsidRPr="00B64150" w14:paraId="0F84230B" w14:textId="77777777" w:rsidTr="006E1769">
        <w:trPr>
          <w:trHeight w:val="263"/>
        </w:trPr>
        <w:tc>
          <w:tcPr>
            <w:tcW w:w="6378" w:type="dxa"/>
            <w:shd w:val="clear" w:color="auto" w:fill="auto"/>
          </w:tcPr>
          <w:p w14:paraId="31472407" w14:textId="77777777" w:rsidR="00F753E8" w:rsidRPr="008A0A4E" w:rsidRDefault="00F753E8" w:rsidP="006E1769">
            <w:pPr>
              <w:jc w:val="both"/>
              <w:rPr>
                <w:rFonts w:ascii="Arial" w:hAnsi="Arial" w:cs="Arial"/>
                <w:sz w:val="22"/>
                <w:szCs w:val="22"/>
              </w:rPr>
            </w:pPr>
            <w:r w:rsidRPr="008A0A4E">
              <w:rPr>
                <w:rFonts w:ascii="Arial" w:hAnsi="Arial" w:cs="Arial"/>
                <w:sz w:val="22"/>
                <w:szCs w:val="22"/>
              </w:rPr>
              <w:t>Secondary Rate (Past Service Adjustment – 17-year spread)</w:t>
            </w:r>
          </w:p>
        </w:tc>
        <w:tc>
          <w:tcPr>
            <w:tcW w:w="1134" w:type="dxa"/>
            <w:tcBorders>
              <w:bottom w:val="single" w:sz="4" w:space="0" w:color="auto"/>
            </w:tcBorders>
            <w:shd w:val="clear" w:color="auto" w:fill="auto"/>
          </w:tcPr>
          <w:p w14:paraId="113DFF08" w14:textId="77777777" w:rsidR="00F753E8" w:rsidRPr="008A0A4E" w:rsidRDefault="00F753E8" w:rsidP="006E1769">
            <w:pPr>
              <w:ind w:right="208"/>
              <w:jc w:val="right"/>
              <w:rPr>
                <w:rFonts w:ascii="Arial" w:hAnsi="Arial" w:cs="Arial"/>
                <w:bCs/>
                <w:sz w:val="22"/>
                <w:szCs w:val="22"/>
              </w:rPr>
            </w:pPr>
            <w:r w:rsidRPr="008A0A4E">
              <w:rPr>
                <w:rFonts w:ascii="Arial" w:hAnsi="Arial" w:cs="Arial"/>
                <w:bCs/>
                <w:sz w:val="22"/>
                <w:szCs w:val="22"/>
              </w:rPr>
              <w:t>6.8%</w:t>
            </w:r>
          </w:p>
        </w:tc>
        <w:tc>
          <w:tcPr>
            <w:tcW w:w="1134" w:type="dxa"/>
            <w:tcBorders>
              <w:bottom w:val="single" w:sz="4" w:space="0" w:color="auto"/>
            </w:tcBorders>
          </w:tcPr>
          <w:p w14:paraId="126D8B42" w14:textId="77777777" w:rsidR="00F753E8" w:rsidRPr="008A0A4E" w:rsidRDefault="00F753E8" w:rsidP="006E1769">
            <w:pPr>
              <w:ind w:right="208"/>
              <w:jc w:val="right"/>
              <w:rPr>
                <w:rFonts w:ascii="Arial" w:hAnsi="Arial" w:cs="Arial"/>
                <w:b/>
                <w:sz w:val="22"/>
                <w:szCs w:val="22"/>
              </w:rPr>
            </w:pPr>
            <w:r w:rsidRPr="00003B99">
              <w:rPr>
                <w:rFonts w:ascii="Arial" w:hAnsi="Arial" w:cs="Arial"/>
                <w:b/>
                <w:sz w:val="22"/>
                <w:szCs w:val="22"/>
              </w:rPr>
              <w:t>3.0%</w:t>
            </w:r>
          </w:p>
        </w:tc>
      </w:tr>
      <w:tr w:rsidR="00F753E8" w:rsidRPr="00B64150" w14:paraId="3240A565" w14:textId="77777777" w:rsidTr="006E1769">
        <w:trPr>
          <w:trHeight w:val="279"/>
        </w:trPr>
        <w:tc>
          <w:tcPr>
            <w:tcW w:w="6378" w:type="dxa"/>
          </w:tcPr>
          <w:p w14:paraId="5B411C16" w14:textId="77777777" w:rsidR="00F753E8" w:rsidRPr="008A0A4E" w:rsidRDefault="00F753E8" w:rsidP="006E1769">
            <w:pPr>
              <w:jc w:val="both"/>
              <w:rPr>
                <w:rFonts w:ascii="Arial" w:hAnsi="Arial" w:cs="Arial"/>
                <w:b/>
                <w:sz w:val="22"/>
                <w:szCs w:val="22"/>
              </w:rPr>
            </w:pPr>
            <w:r w:rsidRPr="008A0A4E">
              <w:rPr>
                <w:rFonts w:ascii="Arial" w:hAnsi="Arial" w:cs="Arial"/>
                <w:b/>
                <w:sz w:val="22"/>
                <w:szCs w:val="22"/>
              </w:rPr>
              <w:t>Total Contribution Rate</w:t>
            </w:r>
          </w:p>
        </w:tc>
        <w:tc>
          <w:tcPr>
            <w:tcW w:w="1134" w:type="dxa"/>
            <w:tcBorders>
              <w:top w:val="single" w:sz="4" w:space="0" w:color="auto"/>
            </w:tcBorders>
          </w:tcPr>
          <w:p w14:paraId="6BDF4F95" w14:textId="77777777" w:rsidR="00F753E8" w:rsidRPr="008A0A4E" w:rsidRDefault="00F753E8" w:rsidP="006E1769">
            <w:pPr>
              <w:ind w:right="208"/>
              <w:jc w:val="right"/>
              <w:rPr>
                <w:rFonts w:ascii="Arial" w:hAnsi="Arial" w:cs="Arial"/>
                <w:bCs/>
                <w:sz w:val="22"/>
                <w:szCs w:val="22"/>
              </w:rPr>
            </w:pPr>
            <w:r w:rsidRPr="008A0A4E">
              <w:rPr>
                <w:rFonts w:ascii="Arial" w:hAnsi="Arial" w:cs="Arial"/>
                <w:bCs/>
                <w:sz w:val="22"/>
                <w:szCs w:val="22"/>
              </w:rPr>
              <w:t>25.0%</w:t>
            </w:r>
          </w:p>
        </w:tc>
        <w:tc>
          <w:tcPr>
            <w:tcW w:w="1134" w:type="dxa"/>
            <w:tcBorders>
              <w:top w:val="single" w:sz="4" w:space="0" w:color="auto"/>
            </w:tcBorders>
          </w:tcPr>
          <w:p w14:paraId="70FCEDEE" w14:textId="77777777" w:rsidR="00F753E8" w:rsidRPr="008A0A4E" w:rsidRDefault="00F753E8" w:rsidP="006E1769">
            <w:pPr>
              <w:ind w:right="208"/>
              <w:jc w:val="right"/>
              <w:rPr>
                <w:rFonts w:ascii="Arial" w:hAnsi="Arial" w:cs="Arial"/>
                <w:b/>
                <w:sz w:val="22"/>
                <w:szCs w:val="22"/>
                <w:highlight w:val="yellow"/>
              </w:rPr>
            </w:pPr>
            <w:r w:rsidRPr="008A0A4E">
              <w:rPr>
                <w:rFonts w:ascii="Arial" w:hAnsi="Arial" w:cs="Arial"/>
                <w:b/>
                <w:sz w:val="22"/>
                <w:szCs w:val="22"/>
              </w:rPr>
              <w:t>22.8%</w:t>
            </w:r>
          </w:p>
        </w:tc>
      </w:tr>
    </w:tbl>
    <w:p w14:paraId="7515D6C0" w14:textId="77777777" w:rsidR="00F753E8" w:rsidRDefault="00F753E8" w:rsidP="00F753E8">
      <w:pPr>
        <w:ind w:left="284"/>
        <w:jc w:val="both"/>
        <w:rPr>
          <w:rFonts w:ascii="Arial" w:hAnsi="Arial" w:cs="Arial"/>
          <w:sz w:val="22"/>
          <w:szCs w:val="22"/>
        </w:rPr>
      </w:pPr>
    </w:p>
    <w:p w14:paraId="61DC7364" w14:textId="77777777" w:rsidR="00F753E8" w:rsidRPr="008A0A4E" w:rsidRDefault="00F753E8" w:rsidP="00F753E8">
      <w:pPr>
        <w:ind w:left="284"/>
        <w:jc w:val="both"/>
        <w:rPr>
          <w:rFonts w:ascii="Arial" w:hAnsi="Arial" w:cs="Arial"/>
          <w:sz w:val="22"/>
          <w:szCs w:val="22"/>
        </w:rPr>
      </w:pPr>
      <w:r w:rsidRPr="008A0A4E">
        <w:rPr>
          <w:rFonts w:ascii="Arial" w:hAnsi="Arial" w:cs="Arial"/>
          <w:sz w:val="22"/>
          <w:szCs w:val="22"/>
        </w:rPr>
        <w:t xml:space="preserve">The Primary rate above includes an allowance for administration expenses of 0.5% of pay. The employee average contribution rate is 6.6% of pay. The table below shows the funding position as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2019. </w:t>
      </w:r>
    </w:p>
    <w:p w14:paraId="6143B60B" w14:textId="77777777" w:rsidR="00F753E8" w:rsidRPr="008A0A4E" w:rsidRDefault="00F753E8" w:rsidP="00F753E8">
      <w:pPr>
        <w:ind w:left="426"/>
        <w:jc w:val="both"/>
        <w:rPr>
          <w:rFonts w:ascii="Arial" w:hAnsi="Arial" w:cs="Arial"/>
          <w:sz w:val="22"/>
          <w:szCs w:val="22"/>
        </w:rPr>
      </w:pPr>
    </w:p>
    <w:tbl>
      <w:tblPr>
        <w:tblW w:w="8680" w:type="dxa"/>
        <w:tblInd w:w="392" w:type="dxa"/>
        <w:tblLook w:val="00A0" w:firstRow="1" w:lastRow="0" w:firstColumn="1" w:lastColumn="0" w:noHBand="0" w:noVBand="0"/>
      </w:tblPr>
      <w:tblGrid>
        <w:gridCol w:w="5704"/>
        <w:gridCol w:w="1501"/>
        <w:gridCol w:w="1475"/>
      </w:tblGrid>
      <w:tr w:rsidR="00F753E8" w:rsidRPr="00B64150" w14:paraId="217F38A5" w14:textId="77777777" w:rsidTr="006E1769">
        <w:trPr>
          <w:trHeight w:val="154"/>
        </w:trPr>
        <w:tc>
          <w:tcPr>
            <w:tcW w:w="5704" w:type="dxa"/>
            <w:tcBorders>
              <w:top w:val="nil"/>
              <w:left w:val="nil"/>
              <w:bottom w:val="nil"/>
              <w:right w:val="nil"/>
            </w:tcBorders>
            <w:noWrap/>
            <w:vAlign w:val="bottom"/>
          </w:tcPr>
          <w:p w14:paraId="7DABA15A" w14:textId="77777777" w:rsidR="00F753E8" w:rsidRPr="008A0A4E" w:rsidRDefault="00F753E8" w:rsidP="006E1769">
            <w:pPr>
              <w:rPr>
                <w:rFonts w:ascii="Arial" w:hAnsi="Arial" w:cs="Arial"/>
                <w:b/>
                <w:bCs/>
                <w:color w:val="000000"/>
                <w:sz w:val="22"/>
                <w:szCs w:val="22"/>
              </w:rPr>
            </w:pPr>
          </w:p>
          <w:p w14:paraId="3C5A0656" w14:textId="77777777" w:rsidR="00F753E8" w:rsidRPr="008A0A4E" w:rsidRDefault="00F753E8" w:rsidP="006E1769">
            <w:pPr>
              <w:rPr>
                <w:rFonts w:ascii="Arial" w:hAnsi="Arial" w:cs="Arial"/>
                <w:color w:val="000000"/>
                <w:sz w:val="22"/>
                <w:szCs w:val="22"/>
              </w:rPr>
            </w:pPr>
            <w:r w:rsidRPr="008A0A4E">
              <w:rPr>
                <w:rFonts w:ascii="Arial" w:hAnsi="Arial" w:cs="Arial"/>
                <w:b/>
                <w:bCs/>
                <w:color w:val="000000"/>
                <w:sz w:val="22"/>
                <w:szCs w:val="22"/>
              </w:rPr>
              <w:t xml:space="preserve">Past Service Funding Position </w:t>
            </w:r>
            <w:proofErr w:type="gramStart"/>
            <w:r w:rsidRPr="008A0A4E">
              <w:rPr>
                <w:rFonts w:ascii="Arial" w:hAnsi="Arial" w:cs="Arial"/>
                <w:b/>
                <w:bCs/>
                <w:color w:val="000000"/>
                <w:sz w:val="22"/>
                <w:szCs w:val="22"/>
              </w:rPr>
              <w:t>at</w:t>
            </w:r>
            <w:proofErr w:type="gramEnd"/>
            <w:r w:rsidRPr="008A0A4E">
              <w:rPr>
                <w:rFonts w:ascii="Arial" w:hAnsi="Arial" w:cs="Arial"/>
                <w:b/>
                <w:bCs/>
                <w:color w:val="000000"/>
                <w:sz w:val="22"/>
                <w:szCs w:val="22"/>
              </w:rPr>
              <w:t xml:space="preserve"> 31 March</w:t>
            </w:r>
          </w:p>
        </w:tc>
        <w:tc>
          <w:tcPr>
            <w:tcW w:w="1501" w:type="dxa"/>
            <w:tcBorders>
              <w:top w:val="nil"/>
              <w:left w:val="nil"/>
              <w:bottom w:val="nil"/>
              <w:right w:val="nil"/>
            </w:tcBorders>
            <w:vAlign w:val="bottom"/>
          </w:tcPr>
          <w:p w14:paraId="64B1E8D5"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 xml:space="preserve">As </w:t>
            </w:r>
            <w:proofErr w:type="gramStart"/>
            <w:r w:rsidRPr="008A0A4E">
              <w:rPr>
                <w:rFonts w:ascii="Arial" w:hAnsi="Arial" w:cs="Arial"/>
                <w:bCs/>
                <w:color w:val="000000"/>
                <w:sz w:val="22"/>
                <w:szCs w:val="22"/>
              </w:rPr>
              <w:t>at</w:t>
            </w:r>
            <w:proofErr w:type="gramEnd"/>
            <w:r w:rsidRPr="008A0A4E">
              <w:rPr>
                <w:rFonts w:ascii="Arial" w:hAnsi="Arial" w:cs="Arial"/>
                <w:bCs/>
                <w:color w:val="000000"/>
                <w:sz w:val="22"/>
                <w:szCs w:val="22"/>
              </w:rPr>
              <w:t xml:space="preserve"> 31 March 2016</w:t>
            </w:r>
          </w:p>
        </w:tc>
        <w:tc>
          <w:tcPr>
            <w:tcW w:w="1475" w:type="dxa"/>
            <w:tcBorders>
              <w:top w:val="nil"/>
              <w:left w:val="nil"/>
              <w:bottom w:val="nil"/>
              <w:right w:val="nil"/>
            </w:tcBorders>
            <w:noWrap/>
            <w:vAlign w:val="bottom"/>
          </w:tcPr>
          <w:p w14:paraId="183E1A2F"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xml:space="preserve">As </w:t>
            </w:r>
            <w:proofErr w:type="gramStart"/>
            <w:r w:rsidRPr="008A0A4E">
              <w:rPr>
                <w:rFonts w:ascii="Arial" w:hAnsi="Arial" w:cs="Arial"/>
                <w:b/>
                <w:bCs/>
                <w:color w:val="000000"/>
                <w:sz w:val="22"/>
                <w:szCs w:val="22"/>
              </w:rPr>
              <w:t>at</w:t>
            </w:r>
            <w:proofErr w:type="gramEnd"/>
            <w:r w:rsidRPr="008A0A4E">
              <w:rPr>
                <w:rFonts w:ascii="Arial" w:hAnsi="Arial" w:cs="Arial"/>
                <w:b/>
                <w:bCs/>
                <w:color w:val="000000"/>
                <w:sz w:val="22"/>
                <w:szCs w:val="22"/>
              </w:rPr>
              <w:t xml:space="preserve"> 31 March 2019</w:t>
            </w:r>
          </w:p>
        </w:tc>
      </w:tr>
      <w:tr w:rsidR="00F753E8" w:rsidRPr="00B64150" w14:paraId="01AE88AB" w14:textId="77777777" w:rsidTr="006E1769">
        <w:trPr>
          <w:trHeight w:val="147"/>
        </w:trPr>
        <w:tc>
          <w:tcPr>
            <w:tcW w:w="5704" w:type="dxa"/>
            <w:tcBorders>
              <w:top w:val="nil"/>
              <w:left w:val="nil"/>
              <w:bottom w:val="nil"/>
              <w:right w:val="nil"/>
            </w:tcBorders>
            <w:noWrap/>
            <w:vAlign w:val="bottom"/>
          </w:tcPr>
          <w:p w14:paraId="28ACD4EE" w14:textId="77777777" w:rsidR="00F753E8" w:rsidRPr="008A0A4E" w:rsidRDefault="00F753E8" w:rsidP="006E1769">
            <w:pPr>
              <w:rPr>
                <w:rFonts w:ascii="Arial" w:hAnsi="Arial" w:cs="Arial"/>
                <w:color w:val="000000"/>
                <w:sz w:val="22"/>
                <w:szCs w:val="22"/>
              </w:rPr>
            </w:pPr>
            <w:r w:rsidRPr="008A0A4E">
              <w:rPr>
                <w:rFonts w:ascii="Arial" w:hAnsi="Arial" w:cs="Arial"/>
                <w:b/>
                <w:color w:val="000000"/>
                <w:sz w:val="22"/>
                <w:szCs w:val="22"/>
              </w:rPr>
              <w:t>Past Service Liabilities</w:t>
            </w:r>
          </w:p>
        </w:tc>
        <w:tc>
          <w:tcPr>
            <w:tcW w:w="1501" w:type="dxa"/>
            <w:tcBorders>
              <w:top w:val="nil"/>
              <w:left w:val="nil"/>
              <w:bottom w:val="nil"/>
              <w:right w:val="nil"/>
            </w:tcBorders>
            <w:vAlign w:val="bottom"/>
          </w:tcPr>
          <w:p w14:paraId="097170C7" w14:textId="77777777" w:rsidR="00F753E8" w:rsidRPr="008A0A4E" w:rsidRDefault="00F753E8" w:rsidP="006E1769">
            <w:pPr>
              <w:jc w:val="center"/>
              <w:rPr>
                <w:rFonts w:ascii="Arial" w:hAnsi="Arial" w:cs="Arial"/>
                <w:color w:val="000000"/>
                <w:sz w:val="22"/>
                <w:szCs w:val="22"/>
              </w:rPr>
            </w:pPr>
            <w:r w:rsidRPr="008A0A4E">
              <w:rPr>
                <w:rFonts w:ascii="Arial" w:hAnsi="Arial" w:cs="Arial"/>
                <w:color w:val="000000"/>
                <w:sz w:val="22"/>
                <w:szCs w:val="22"/>
              </w:rPr>
              <w:t>£m</w:t>
            </w:r>
          </w:p>
        </w:tc>
        <w:tc>
          <w:tcPr>
            <w:tcW w:w="1475" w:type="dxa"/>
            <w:tcBorders>
              <w:top w:val="nil"/>
              <w:left w:val="nil"/>
              <w:bottom w:val="nil"/>
              <w:right w:val="nil"/>
            </w:tcBorders>
            <w:noWrap/>
            <w:vAlign w:val="bottom"/>
          </w:tcPr>
          <w:p w14:paraId="60002C40" w14:textId="77777777" w:rsidR="00F753E8" w:rsidRPr="008A0A4E" w:rsidRDefault="00F753E8" w:rsidP="006E1769">
            <w:pPr>
              <w:jc w:val="center"/>
              <w:rPr>
                <w:rFonts w:ascii="Arial" w:hAnsi="Arial" w:cs="Arial"/>
                <w:b/>
                <w:color w:val="000000"/>
                <w:sz w:val="22"/>
                <w:szCs w:val="22"/>
              </w:rPr>
            </w:pPr>
            <w:r w:rsidRPr="008A0A4E">
              <w:rPr>
                <w:rFonts w:ascii="Arial" w:hAnsi="Arial" w:cs="Arial"/>
                <w:b/>
                <w:color w:val="000000"/>
                <w:sz w:val="22"/>
                <w:szCs w:val="22"/>
              </w:rPr>
              <w:t>£m</w:t>
            </w:r>
          </w:p>
        </w:tc>
      </w:tr>
      <w:tr w:rsidR="00F753E8" w:rsidRPr="00B64150" w14:paraId="0EA7AF91" w14:textId="77777777" w:rsidTr="006E1769">
        <w:trPr>
          <w:trHeight w:val="80"/>
        </w:trPr>
        <w:tc>
          <w:tcPr>
            <w:tcW w:w="5704" w:type="dxa"/>
            <w:tcBorders>
              <w:top w:val="nil"/>
              <w:left w:val="nil"/>
              <w:bottom w:val="nil"/>
              <w:right w:val="nil"/>
            </w:tcBorders>
            <w:noWrap/>
            <w:vAlign w:val="bottom"/>
          </w:tcPr>
          <w:p w14:paraId="1FBDAD70"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Employees</w:t>
            </w:r>
          </w:p>
        </w:tc>
        <w:tc>
          <w:tcPr>
            <w:tcW w:w="1501" w:type="dxa"/>
            <w:tcBorders>
              <w:top w:val="nil"/>
              <w:left w:val="nil"/>
              <w:bottom w:val="nil"/>
              <w:right w:val="nil"/>
            </w:tcBorders>
            <w:vAlign w:val="bottom"/>
          </w:tcPr>
          <w:p w14:paraId="4AB366B3" w14:textId="77777777" w:rsidR="00F753E8" w:rsidRPr="008A0A4E" w:rsidRDefault="00F753E8" w:rsidP="006E1769">
            <w:pPr>
              <w:tabs>
                <w:tab w:val="left" w:pos="742"/>
              </w:tabs>
              <w:ind w:right="-7"/>
              <w:jc w:val="right"/>
              <w:rPr>
                <w:rFonts w:ascii="Arial" w:hAnsi="Arial" w:cs="Arial"/>
                <w:bCs/>
                <w:color w:val="000000"/>
                <w:sz w:val="22"/>
                <w:szCs w:val="22"/>
              </w:rPr>
            </w:pPr>
            <w:r w:rsidRPr="008A0A4E">
              <w:rPr>
                <w:rFonts w:ascii="Arial" w:hAnsi="Arial" w:cs="Arial"/>
                <w:bCs/>
                <w:color w:val="000000"/>
                <w:sz w:val="22"/>
                <w:szCs w:val="22"/>
              </w:rPr>
              <w:t>(324)</w:t>
            </w:r>
          </w:p>
        </w:tc>
        <w:tc>
          <w:tcPr>
            <w:tcW w:w="1475" w:type="dxa"/>
            <w:tcBorders>
              <w:top w:val="nil"/>
              <w:left w:val="nil"/>
              <w:bottom w:val="nil"/>
              <w:right w:val="nil"/>
            </w:tcBorders>
            <w:noWrap/>
            <w:vAlign w:val="bottom"/>
          </w:tcPr>
          <w:p w14:paraId="5F77B6AB" w14:textId="77777777" w:rsidR="00F753E8" w:rsidRPr="008A0A4E" w:rsidRDefault="00F753E8" w:rsidP="006E1769">
            <w:pPr>
              <w:tabs>
                <w:tab w:val="left" w:pos="742"/>
              </w:tabs>
              <w:ind w:right="-7"/>
              <w:jc w:val="right"/>
              <w:rPr>
                <w:rFonts w:ascii="Arial" w:hAnsi="Arial" w:cs="Arial"/>
                <w:b/>
                <w:color w:val="000000"/>
                <w:sz w:val="22"/>
                <w:szCs w:val="22"/>
              </w:rPr>
            </w:pPr>
            <w:r w:rsidRPr="008A0A4E">
              <w:rPr>
                <w:rFonts w:ascii="Arial" w:hAnsi="Arial" w:cs="Arial"/>
                <w:b/>
                <w:color w:val="000000"/>
                <w:sz w:val="22"/>
                <w:szCs w:val="22"/>
              </w:rPr>
              <w:t>(323)</w:t>
            </w:r>
          </w:p>
        </w:tc>
      </w:tr>
      <w:tr w:rsidR="00F753E8" w:rsidRPr="00B64150" w14:paraId="36F459D8" w14:textId="77777777" w:rsidTr="006E1769">
        <w:trPr>
          <w:trHeight w:val="147"/>
        </w:trPr>
        <w:tc>
          <w:tcPr>
            <w:tcW w:w="5704" w:type="dxa"/>
            <w:tcBorders>
              <w:top w:val="nil"/>
              <w:left w:val="nil"/>
              <w:right w:val="nil"/>
            </w:tcBorders>
            <w:noWrap/>
            <w:vAlign w:val="bottom"/>
          </w:tcPr>
          <w:p w14:paraId="5207014D"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Deferred Pensioners</w:t>
            </w:r>
          </w:p>
        </w:tc>
        <w:tc>
          <w:tcPr>
            <w:tcW w:w="1501" w:type="dxa"/>
            <w:tcBorders>
              <w:top w:val="nil"/>
              <w:left w:val="nil"/>
              <w:right w:val="nil"/>
            </w:tcBorders>
            <w:vAlign w:val="bottom"/>
          </w:tcPr>
          <w:p w14:paraId="71C9C694" w14:textId="77777777" w:rsidR="00F753E8" w:rsidRPr="008A0A4E" w:rsidRDefault="00F753E8" w:rsidP="006E1769">
            <w:pPr>
              <w:tabs>
                <w:tab w:val="left" w:pos="742"/>
              </w:tabs>
              <w:ind w:right="-7"/>
              <w:jc w:val="right"/>
              <w:rPr>
                <w:rFonts w:ascii="Arial" w:hAnsi="Arial" w:cs="Arial"/>
                <w:bCs/>
                <w:color w:val="000000"/>
                <w:sz w:val="22"/>
                <w:szCs w:val="22"/>
              </w:rPr>
            </w:pPr>
            <w:r w:rsidRPr="008A0A4E">
              <w:rPr>
                <w:rFonts w:ascii="Arial" w:hAnsi="Arial" w:cs="Arial"/>
                <w:bCs/>
                <w:color w:val="000000"/>
                <w:sz w:val="22"/>
                <w:szCs w:val="22"/>
              </w:rPr>
              <w:t>(221)</w:t>
            </w:r>
          </w:p>
        </w:tc>
        <w:tc>
          <w:tcPr>
            <w:tcW w:w="1475" w:type="dxa"/>
            <w:tcBorders>
              <w:top w:val="nil"/>
              <w:left w:val="nil"/>
              <w:right w:val="nil"/>
            </w:tcBorders>
            <w:noWrap/>
            <w:vAlign w:val="bottom"/>
          </w:tcPr>
          <w:p w14:paraId="64D41346" w14:textId="77777777" w:rsidR="00F753E8" w:rsidRPr="008A0A4E" w:rsidRDefault="00F753E8" w:rsidP="006E1769">
            <w:pPr>
              <w:tabs>
                <w:tab w:val="left" w:pos="742"/>
              </w:tabs>
              <w:ind w:right="-7"/>
              <w:jc w:val="right"/>
              <w:rPr>
                <w:rFonts w:ascii="Arial" w:hAnsi="Arial" w:cs="Arial"/>
                <w:b/>
                <w:color w:val="000000"/>
                <w:sz w:val="22"/>
                <w:szCs w:val="22"/>
              </w:rPr>
            </w:pPr>
            <w:r w:rsidRPr="008A0A4E">
              <w:rPr>
                <w:rFonts w:ascii="Arial" w:hAnsi="Arial" w:cs="Arial"/>
                <w:b/>
                <w:color w:val="000000"/>
                <w:sz w:val="22"/>
                <w:szCs w:val="22"/>
              </w:rPr>
              <w:t>(287)</w:t>
            </w:r>
          </w:p>
        </w:tc>
      </w:tr>
      <w:tr w:rsidR="00F753E8" w:rsidRPr="00B64150" w14:paraId="2D1E7FD2" w14:textId="77777777" w:rsidTr="006E1769">
        <w:trPr>
          <w:trHeight w:val="147"/>
        </w:trPr>
        <w:tc>
          <w:tcPr>
            <w:tcW w:w="5704" w:type="dxa"/>
            <w:tcBorders>
              <w:top w:val="nil"/>
              <w:left w:val="nil"/>
              <w:bottom w:val="nil"/>
              <w:right w:val="nil"/>
            </w:tcBorders>
            <w:noWrap/>
            <w:vAlign w:val="bottom"/>
          </w:tcPr>
          <w:p w14:paraId="57277F25"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Pensioners</w:t>
            </w:r>
          </w:p>
        </w:tc>
        <w:tc>
          <w:tcPr>
            <w:tcW w:w="1501" w:type="dxa"/>
            <w:tcBorders>
              <w:top w:val="nil"/>
              <w:left w:val="nil"/>
              <w:bottom w:val="single" w:sz="4" w:space="0" w:color="auto"/>
              <w:right w:val="nil"/>
            </w:tcBorders>
            <w:vAlign w:val="bottom"/>
          </w:tcPr>
          <w:p w14:paraId="214599D1" w14:textId="77777777" w:rsidR="00F753E8" w:rsidRPr="008A0A4E" w:rsidRDefault="00F753E8" w:rsidP="006E1769">
            <w:pPr>
              <w:tabs>
                <w:tab w:val="left" w:pos="742"/>
              </w:tabs>
              <w:ind w:right="-7"/>
              <w:jc w:val="right"/>
              <w:rPr>
                <w:rFonts w:ascii="Arial" w:hAnsi="Arial" w:cs="Arial"/>
                <w:bCs/>
                <w:color w:val="000000"/>
                <w:sz w:val="22"/>
                <w:szCs w:val="22"/>
              </w:rPr>
            </w:pPr>
            <w:r w:rsidRPr="008A0A4E">
              <w:rPr>
                <w:rFonts w:ascii="Arial" w:hAnsi="Arial" w:cs="Arial"/>
                <w:bCs/>
                <w:color w:val="000000"/>
                <w:sz w:val="22"/>
                <w:szCs w:val="22"/>
              </w:rPr>
              <w:t>(456)</w:t>
            </w:r>
          </w:p>
        </w:tc>
        <w:tc>
          <w:tcPr>
            <w:tcW w:w="1475" w:type="dxa"/>
            <w:tcBorders>
              <w:top w:val="nil"/>
              <w:left w:val="nil"/>
              <w:bottom w:val="single" w:sz="4" w:space="0" w:color="auto"/>
              <w:right w:val="nil"/>
            </w:tcBorders>
            <w:noWrap/>
            <w:vAlign w:val="bottom"/>
          </w:tcPr>
          <w:p w14:paraId="062AA592" w14:textId="77777777" w:rsidR="00F753E8" w:rsidRPr="008A0A4E" w:rsidRDefault="00F753E8" w:rsidP="006E1769">
            <w:pPr>
              <w:tabs>
                <w:tab w:val="left" w:pos="742"/>
              </w:tabs>
              <w:ind w:right="-7"/>
              <w:jc w:val="right"/>
              <w:rPr>
                <w:rFonts w:ascii="Arial" w:hAnsi="Arial" w:cs="Arial"/>
                <w:b/>
                <w:color w:val="000000"/>
                <w:sz w:val="22"/>
                <w:szCs w:val="22"/>
              </w:rPr>
            </w:pPr>
            <w:r w:rsidRPr="008A0A4E">
              <w:rPr>
                <w:rFonts w:ascii="Arial" w:hAnsi="Arial" w:cs="Arial"/>
                <w:b/>
                <w:color w:val="000000"/>
                <w:sz w:val="22"/>
                <w:szCs w:val="22"/>
              </w:rPr>
              <w:t>(531)</w:t>
            </w:r>
          </w:p>
        </w:tc>
      </w:tr>
      <w:tr w:rsidR="00F753E8" w:rsidRPr="00B64150" w14:paraId="18B77B6C" w14:textId="77777777" w:rsidTr="006E1769">
        <w:trPr>
          <w:trHeight w:val="154"/>
        </w:trPr>
        <w:tc>
          <w:tcPr>
            <w:tcW w:w="5704" w:type="dxa"/>
            <w:tcBorders>
              <w:left w:val="nil"/>
              <w:bottom w:val="nil"/>
              <w:right w:val="nil"/>
            </w:tcBorders>
          </w:tcPr>
          <w:p w14:paraId="061A7475" w14:textId="77777777" w:rsidR="00F753E8" w:rsidRPr="008A0A4E" w:rsidRDefault="00F753E8" w:rsidP="006E1769">
            <w:pPr>
              <w:jc w:val="right"/>
              <w:rPr>
                <w:rFonts w:ascii="Arial" w:hAnsi="Arial" w:cs="Arial"/>
                <w:color w:val="000000"/>
                <w:sz w:val="22"/>
                <w:szCs w:val="22"/>
              </w:rPr>
            </w:pPr>
          </w:p>
        </w:tc>
        <w:tc>
          <w:tcPr>
            <w:tcW w:w="1501" w:type="dxa"/>
            <w:tcBorders>
              <w:top w:val="single" w:sz="4" w:space="0" w:color="auto"/>
              <w:left w:val="nil"/>
              <w:bottom w:val="nil"/>
              <w:right w:val="nil"/>
            </w:tcBorders>
            <w:vAlign w:val="bottom"/>
          </w:tcPr>
          <w:p w14:paraId="3FF265D3" w14:textId="77777777" w:rsidR="00F753E8" w:rsidRPr="008A0A4E" w:rsidRDefault="00F753E8" w:rsidP="006E1769">
            <w:pPr>
              <w:tabs>
                <w:tab w:val="left" w:pos="742"/>
              </w:tabs>
              <w:ind w:right="-7"/>
              <w:jc w:val="right"/>
              <w:rPr>
                <w:rFonts w:ascii="Arial" w:hAnsi="Arial" w:cs="Arial"/>
                <w:bCs/>
                <w:color w:val="000000"/>
                <w:sz w:val="22"/>
                <w:szCs w:val="22"/>
              </w:rPr>
            </w:pPr>
            <w:r w:rsidRPr="008A0A4E">
              <w:rPr>
                <w:rFonts w:ascii="Arial" w:hAnsi="Arial" w:cs="Arial"/>
                <w:bCs/>
                <w:color w:val="000000"/>
                <w:sz w:val="22"/>
                <w:szCs w:val="22"/>
              </w:rPr>
              <w:t>(1,001)</w:t>
            </w:r>
          </w:p>
        </w:tc>
        <w:tc>
          <w:tcPr>
            <w:tcW w:w="1475" w:type="dxa"/>
            <w:tcBorders>
              <w:top w:val="single" w:sz="4" w:space="0" w:color="auto"/>
              <w:left w:val="nil"/>
              <w:bottom w:val="nil"/>
              <w:right w:val="nil"/>
            </w:tcBorders>
            <w:noWrap/>
            <w:vAlign w:val="bottom"/>
          </w:tcPr>
          <w:p w14:paraId="513927C4" w14:textId="77777777" w:rsidR="00F753E8" w:rsidRPr="008A0A4E" w:rsidRDefault="00F753E8" w:rsidP="006E1769">
            <w:pPr>
              <w:tabs>
                <w:tab w:val="left" w:pos="742"/>
              </w:tabs>
              <w:ind w:right="-7"/>
              <w:jc w:val="right"/>
              <w:rPr>
                <w:rFonts w:ascii="Arial" w:hAnsi="Arial" w:cs="Arial"/>
                <w:b/>
                <w:bCs/>
                <w:color w:val="000000"/>
                <w:sz w:val="22"/>
                <w:szCs w:val="22"/>
              </w:rPr>
            </w:pPr>
            <w:r w:rsidRPr="008A0A4E">
              <w:rPr>
                <w:rFonts w:ascii="Arial" w:hAnsi="Arial" w:cs="Arial"/>
                <w:b/>
                <w:bCs/>
                <w:color w:val="000000"/>
                <w:sz w:val="22"/>
                <w:szCs w:val="22"/>
              </w:rPr>
              <w:t>(1,141)</w:t>
            </w:r>
          </w:p>
        </w:tc>
      </w:tr>
      <w:tr w:rsidR="00F753E8" w:rsidRPr="00B64150" w14:paraId="3A33E3CE" w14:textId="77777777" w:rsidTr="006E1769">
        <w:trPr>
          <w:trHeight w:val="154"/>
        </w:trPr>
        <w:tc>
          <w:tcPr>
            <w:tcW w:w="5704" w:type="dxa"/>
            <w:tcBorders>
              <w:top w:val="nil"/>
              <w:left w:val="nil"/>
              <w:bottom w:val="nil"/>
              <w:right w:val="nil"/>
            </w:tcBorders>
            <w:noWrap/>
            <w:vAlign w:val="bottom"/>
          </w:tcPr>
          <w:p w14:paraId="5206A351"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Market Value of Assets</w:t>
            </w:r>
          </w:p>
        </w:tc>
        <w:tc>
          <w:tcPr>
            <w:tcW w:w="1501" w:type="dxa"/>
            <w:tcBorders>
              <w:top w:val="nil"/>
              <w:left w:val="nil"/>
              <w:bottom w:val="nil"/>
              <w:right w:val="nil"/>
            </w:tcBorders>
            <w:vAlign w:val="bottom"/>
          </w:tcPr>
          <w:p w14:paraId="63B44665" w14:textId="77777777" w:rsidR="00F753E8" w:rsidRPr="008A0A4E" w:rsidRDefault="00F753E8" w:rsidP="006E1769">
            <w:pPr>
              <w:tabs>
                <w:tab w:val="left" w:pos="742"/>
              </w:tabs>
              <w:ind w:right="-7"/>
              <w:jc w:val="right"/>
              <w:rPr>
                <w:rFonts w:ascii="Arial" w:hAnsi="Arial" w:cs="Arial"/>
                <w:bCs/>
                <w:color w:val="000000"/>
                <w:sz w:val="22"/>
                <w:szCs w:val="22"/>
              </w:rPr>
            </w:pPr>
            <w:r w:rsidRPr="008A0A4E">
              <w:rPr>
                <w:rFonts w:ascii="Arial" w:hAnsi="Arial" w:cs="Arial"/>
                <w:bCs/>
                <w:color w:val="000000"/>
                <w:sz w:val="22"/>
                <w:szCs w:val="22"/>
              </w:rPr>
              <w:t>772</w:t>
            </w:r>
          </w:p>
        </w:tc>
        <w:tc>
          <w:tcPr>
            <w:tcW w:w="1475" w:type="dxa"/>
            <w:tcBorders>
              <w:top w:val="nil"/>
              <w:left w:val="nil"/>
              <w:bottom w:val="nil"/>
              <w:right w:val="nil"/>
            </w:tcBorders>
            <w:noWrap/>
            <w:vAlign w:val="bottom"/>
          </w:tcPr>
          <w:p w14:paraId="15FD8715" w14:textId="77777777" w:rsidR="00F753E8" w:rsidRPr="008A0A4E" w:rsidRDefault="00F753E8" w:rsidP="006E1769">
            <w:pPr>
              <w:tabs>
                <w:tab w:val="left" w:pos="742"/>
              </w:tabs>
              <w:ind w:right="-7"/>
              <w:jc w:val="right"/>
              <w:rPr>
                <w:rFonts w:ascii="Arial" w:hAnsi="Arial" w:cs="Arial"/>
                <w:b/>
                <w:bCs/>
                <w:color w:val="000000"/>
                <w:sz w:val="22"/>
                <w:szCs w:val="22"/>
              </w:rPr>
            </w:pPr>
            <w:r w:rsidRPr="008A0A4E">
              <w:rPr>
                <w:rFonts w:ascii="Arial" w:hAnsi="Arial" w:cs="Arial"/>
                <w:b/>
                <w:bCs/>
                <w:color w:val="000000"/>
                <w:sz w:val="22"/>
                <w:szCs w:val="22"/>
              </w:rPr>
              <w:t>1,022</w:t>
            </w:r>
          </w:p>
        </w:tc>
      </w:tr>
      <w:tr w:rsidR="00F753E8" w:rsidRPr="00B64150" w14:paraId="03D7E824" w14:textId="77777777" w:rsidTr="006E1769">
        <w:trPr>
          <w:trHeight w:val="154"/>
        </w:trPr>
        <w:tc>
          <w:tcPr>
            <w:tcW w:w="5704" w:type="dxa"/>
            <w:tcBorders>
              <w:top w:val="nil"/>
              <w:left w:val="nil"/>
              <w:bottom w:val="nil"/>
              <w:right w:val="nil"/>
            </w:tcBorders>
            <w:noWrap/>
            <w:vAlign w:val="bottom"/>
          </w:tcPr>
          <w:p w14:paraId="73B731FF"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Funding Deficit</w:t>
            </w:r>
          </w:p>
        </w:tc>
        <w:tc>
          <w:tcPr>
            <w:tcW w:w="1501" w:type="dxa"/>
            <w:tcBorders>
              <w:top w:val="single" w:sz="4" w:space="0" w:color="auto"/>
              <w:left w:val="nil"/>
              <w:bottom w:val="single" w:sz="4" w:space="0" w:color="auto"/>
              <w:right w:val="nil"/>
            </w:tcBorders>
            <w:vAlign w:val="bottom"/>
          </w:tcPr>
          <w:p w14:paraId="5605ED82" w14:textId="77777777" w:rsidR="00F753E8" w:rsidRPr="008A0A4E" w:rsidRDefault="00F753E8" w:rsidP="006E1769">
            <w:pPr>
              <w:tabs>
                <w:tab w:val="left" w:pos="742"/>
              </w:tabs>
              <w:ind w:right="-7"/>
              <w:jc w:val="right"/>
              <w:rPr>
                <w:rFonts w:ascii="Arial" w:hAnsi="Arial" w:cs="Arial"/>
                <w:bCs/>
                <w:color w:val="000000"/>
                <w:sz w:val="22"/>
                <w:szCs w:val="22"/>
              </w:rPr>
            </w:pPr>
            <w:r w:rsidRPr="008A0A4E">
              <w:rPr>
                <w:rFonts w:ascii="Arial" w:hAnsi="Arial" w:cs="Arial"/>
                <w:bCs/>
                <w:color w:val="000000"/>
                <w:sz w:val="22"/>
                <w:szCs w:val="22"/>
              </w:rPr>
              <w:t>(228)</w:t>
            </w:r>
          </w:p>
        </w:tc>
        <w:tc>
          <w:tcPr>
            <w:tcW w:w="1475" w:type="dxa"/>
            <w:tcBorders>
              <w:top w:val="single" w:sz="4" w:space="0" w:color="auto"/>
              <w:left w:val="nil"/>
              <w:bottom w:val="single" w:sz="4" w:space="0" w:color="auto"/>
              <w:right w:val="nil"/>
            </w:tcBorders>
            <w:noWrap/>
            <w:vAlign w:val="bottom"/>
          </w:tcPr>
          <w:p w14:paraId="3C758764" w14:textId="77777777" w:rsidR="00F753E8" w:rsidRPr="008A0A4E" w:rsidRDefault="00F753E8" w:rsidP="006E1769">
            <w:pPr>
              <w:tabs>
                <w:tab w:val="left" w:pos="742"/>
              </w:tabs>
              <w:ind w:right="-7"/>
              <w:jc w:val="right"/>
              <w:rPr>
                <w:rFonts w:ascii="Arial" w:hAnsi="Arial" w:cs="Arial"/>
                <w:b/>
                <w:bCs/>
                <w:color w:val="000000"/>
                <w:sz w:val="22"/>
                <w:szCs w:val="22"/>
              </w:rPr>
            </w:pPr>
            <w:r w:rsidRPr="008A0A4E">
              <w:rPr>
                <w:rFonts w:ascii="Arial" w:hAnsi="Arial" w:cs="Arial"/>
                <w:b/>
                <w:bCs/>
                <w:color w:val="000000"/>
                <w:sz w:val="22"/>
                <w:szCs w:val="22"/>
              </w:rPr>
              <w:t>(119)</w:t>
            </w:r>
          </w:p>
        </w:tc>
      </w:tr>
      <w:tr w:rsidR="00F753E8" w:rsidRPr="00B64150" w14:paraId="4A79AD1F" w14:textId="77777777" w:rsidTr="006E1769">
        <w:trPr>
          <w:trHeight w:val="183"/>
        </w:trPr>
        <w:tc>
          <w:tcPr>
            <w:tcW w:w="5704" w:type="dxa"/>
            <w:tcBorders>
              <w:top w:val="nil"/>
              <w:left w:val="nil"/>
              <w:bottom w:val="nil"/>
              <w:right w:val="nil"/>
            </w:tcBorders>
            <w:noWrap/>
            <w:vAlign w:val="bottom"/>
          </w:tcPr>
          <w:p w14:paraId="0CF15445"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Funding Level</w:t>
            </w:r>
          </w:p>
        </w:tc>
        <w:tc>
          <w:tcPr>
            <w:tcW w:w="1501" w:type="dxa"/>
            <w:tcBorders>
              <w:top w:val="nil"/>
              <w:left w:val="nil"/>
              <w:bottom w:val="single" w:sz="4" w:space="0" w:color="auto"/>
              <w:right w:val="nil"/>
            </w:tcBorders>
            <w:vAlign w:val="bottom"/>
          </w:tcPr>
          <w:p w14:paraId="213A8E78" w14:textId="77777777" w:rsidR="00F753E8" w:rsidRPr="008A0A4E" w:rsidRDefault="00F753E8" w:rsidP="006E1769">
            <w:pPr>
              <w:tabs>
                <w:tab w:val="left" w:pos="742"/>
              </w:tabs>
              <w:ind w:right="-7"/>
              <w:jc w:val="right"/>
              <w:rPr>
                <w:rFonts w:ascii="Arial" w:hAnsi="Arial" w:cs="Arial"/>
                <w:bCs/>
                <w:color w:val="000000"/>
                <w:sz w:val="22"/>
                <w:szCs w:val="22"/>
              </w:rPr>
            </w:pPr>
            <w:r w:rsidRPr="008A0A4E">
              <w:rPr>
                <w:rFonts w:ascii="Arial" w:hAnsi="Arial" w:cs="Arial"/>
                <w:bCs/>
                <w:color w:val="000000"/>
                <w:sz w:val="22"/>
                <w:szCs w:val="22"/>
              </w:rPr>
              <w:t>77%</w:t>
            </w:r>
          </w:p>
        </w:tc>
        <w:tc>
          <w:tcPr>
            <w:tcW w:w="1475" w:type="dxa"/>
            <w:tcBorders>
              <w:top w:val="nil"/>
              <w:left w:val="nil"/>
              <w:bottom w:val="single" w:sz="4" w:space="0" w:color="auto"/>
              <w:right w:val="nil"/>
            </w:tcBorders>
            <w:noWrap/>
            <w:vAlign w:val="bottom"/>
          </w:tcPr>
          <w:p w14:paraId="5E785C4C" w14:textId="77777777" w:rsidR="00F753E8" w:rsidRPr="008A0A4E" w:rsidRDefault="00F753E8" w:rsidP="006E1769">
            <w:pPr>
              <w:tabs>
                <w:tab w:val="left" w:pos="742"/>
              </w:tabs>
              <w:ind w:right="-7"/>
              <w:jc w:val="right"/>
              <w:rPr>
                <w:rFonts w:ascii="Arial" w:hAnsi="Arial" w:cs="Arial"/>
                <w:b/>
                <w:bCs/>
                <w:color w:val="000000"/>
                <w:sz w:val="22"/>
                <w:szCs w:val="22"/>
              </w:rPr>
            </w:pPr>
            <w:r w:rsidRPr="008A0A4E">
              <w:rPr>
                <w:rFonts w:ascii="Arial" w:hAnsi="Arial" w:cs="Arial"/>
                <w:b/>
                <w:bCs/>
                <w:color w:val="000000"/>
                <w:sz w:val="22"/>
                <w:szCs w:val="22"/>
              </w:rPr>
              <w:t>90%</w:t>
            </w:r>
          </w:p>
        </w:tc>
      </w:tr>
    </w:tbl>
    <w:p w14:paraId="38F34C1D" w14:textId="77777777" w:rsidR="00F753E8" w:rsidRDefault="00F753E8" w:rsidP="00F753E8">
      <w:pPr>
        <w:spacing w:line="20" w:lineRule="atLeast"/>
        <w:rPr>
          <w:rFonts w:ascii="Arial" w:hAnsi="Arial" w:cs="Arial"/>
          <w:b/>
          <w:sz w:val="22"/>
          <w:szCs w:val="22"/>
        </w:rPr>
      </w:pPr>
    </w:p>
    <w:p w14:paraId="68BBC3CF" w14:textId="77777777" w:rsidR="00F753E8" w:rsidRPr="00F928FC" w:rsidRDefault="00F753E8" w:rsidP="00F753E8">
      <w:pPr>
        <w:spacing w:line="20" w:lineRule="atLeast"/>
        <w:rPr>
          <w:rFonts w:ascii="Arial" w:hAnsi="Arial" w:cs="Arial"/>
          <w:b/>
          <w:sz w:val="22"/>
          <w:szCs w:val="22"/>
        </w:rPr>
      </w:pPr>
    </w:p>
    <w:p w14:paraId="0653BCC9" w14:textId="77777777" w:rsidR="00F753E8" w:rsidRPr="008A0A4E" w:rsidRDefault="00F753E8" w:rsidP="007337FE">
      <w:pPr>
        <w:pStyle w:val="ListParagraph"/>
        <w:numPr>
          <w:ilvl w:val="0"/>
          <w:numId w:val="90"/>
        </w:numPr>
        <w:spacing w:line="20" w:lineRule="atLeast"/>
        <w:ind w:left="502"/>
        <w:rPr>
          <w:rFonts w:ascii="Arial" w:hAnsi="Arial" w:cs="Arial"/>
          <w:b/>
        </w:rPr>
      </w:pPr>
      <w:r w:rsidRPr="008A0A4E">
        <w:rPr>
          <w:rFonts w:ascii="Arial" w:hAnsi="Arial" w:cs="Arial"/>
          <w:b/>
        </w:rPr>
        <w:t xml:space="preserve">Valuation of financial instruments carried at fair </w:t>
      </w:r>
      <w:proofErr w:type="gramStart"/>
      <w:r w:rsidRPr="008A0A4E">
        <w:rPr>
          <w:rFonts w:ascii="Arial" w:hAnsi="Arial" w:cs="Arial"/>
          <w:b/>
        </w:rPr>
        <w:t>value</w:t>
      </w:r>
      <w:proofErr w:type="gramEnd"/>
    </w:p>
    <w:p w14:paraId="557E23AA" w14:textId="77777777" w:rsidR="00F753E8" w:rsidRPr="008A0A4E" w:rsidRDefault="00F753E8" w:rsidP="00F753E8">
      <w:pPr>
        <w:ind w:left="360"/>
        <w:rPr>
          <w:rFonts w:ascii="Arial" w:hAnsi="Arial" w:cs="Arial"/>
          <w:sz w:val="22"/>
          <w:szCs w:val="22"/>
        </w:rPr>
      </w:pPr>
      <w:r w:rsidRPr="008A0A4E">
        <w:rPr>
          <w:rFonts w:ascii="Arial" w:hAnsi="Arial" w:cs="Arial"/>
          <w:sz w:val="22"/>
          <w:szCs w:val="22"/>
        </w:rPr>
        <w:t>The valuation of financial instruments has been classified into three levels, according to the quality and reliability of information used to determine fair values. There were no transfers between levels during 20</w:t>
      </w:r>
      <w:r>
        <w:rPr>
          <w:rFonts w:ascii="Arial" w:hAnsi="Arial" w:cs="Arial"/>
          <w:sz w:val="22"/>
          <w:szCs w:val="22"/>
        </w:rPr>
        <w:t>20/21</w:t>
      </w:r>
      <w:r w:rsidRPr="008A0A4E">
        <w:rPr>
          <w:rFonts w:ascii="Arial" w:hAnsi="Arial" w:cs="Arial"/>
          <w:sz w:val="22"/>
          <w:szCs w:val="22"/>
        </w:rPr>
        <w:t xml:space="preserve">. </w:t>
      </w:r>
    </w:p>
    <w:p w14:paraId="632B16E2" w14:textId="77777777" w:rsidR="00F753E8" w:rsidRPr="008A0A4E" w:rsidRDefault="00F753E8" w:rsidP="00F753E8">
      <w:pPr>
        <w:rPr>
          <w:rFonts w:ascii="Arial" w:hAnsi="Arial" w:cs="Arial"/>
          <w:sz w:val="22"/>
          <w:szCs w:val="22"/>
        </w:rPr>
      </w:pPr>
    </w:p>
    <w:p w14:paraId="0719CC0C" w14:textId="77777777" w:rsidR="00F753E8" w:rsidRPr="008A0A4E" w:rsidRDefault="00F753E8" w:rsidP="00F753E8">
      <w:pPr>
        <w:ind w:firstLine="360"/>
        <w:rPr>
          <w:rFonts w:ascii="Arial" w:hAnsi="Arial" w:cs="Arial"/>
          <w:b/>
          <w:sz w:val="22"/>
          <w:szCs w:val="22"/>
        </w:rPr>
      </w:pPr>
      <w:r w:rsidRPr="008A0A4E">
        <w:rPr>
          <w:rFonts w:ascii="Arial" w:hAnsi="Arial" w:cs="Arial"/>
          <w:b/>
          <w:sz w:val="22"/>
          <w:szCs w:val="22"/>
        </w:rPr>
        <w:t>Level 1</w:t>
      </w:r>
    </w:p>
    <w:p w14:paraId="03B5AA13" w14:textId="77777777" w:rsidR="00F753E8" w:rsidRPr="008A0A4E" w:rsidRDefault="00F753E8" w:rsidP="00F753E8">
      <w:pPr>
        <w:ind w:left="360"/>
        <w:jc w:val="both"/>
        <w:rPr>
          <w:rFonts w:ascii="Arial" w:hAnsi="Arial" w:cs="Arial"/>
          <w:sz w:val="22"/>
          <w:szCs w:val="22"/>
        </w:rPr>
      </w:pPr>
      <w:r w:rsidRPr="008A0A4E">
        <w:rPr>
          <w:rFonts w:ascii="Arial" w:hAnsi="Arial" w:cs="Arial"/>
          <w:sz w:val="22"/>
          <w:szCs w:val="22"/>
        </w:rPr>
        <w:t>Financial instruments at Level 1 are those where the fair values are derived from unadjusted quoted prices in active markets for identical assets or liabilities.  Products classified as level 1 comprise quoted equities, quoted fixed securities, quoted index linked securities and unit trusts.</w:t>
      </w:r>
    </w:p>
    <w:p w14:paraId="6B4A59D7" w14:textId="77777777" w:rsidR="00F753E8" w:rsidRPr="008A0A4E" w:rsidRDefault="00F753E8" w:rsidP="00F753E8">
      <w:pPr>
        <w:jc w:val="both"/>
        <w:rPr>
          <w:rFonts w:ascii="Arial" w:hAnsi="Arial" w:cs="Arial"/>
          <w:sz w:val="22"/>
          <w:szCs w:val="22"/>
        </w:rPr>
      </w:pPr>
    </w:p>
    <w:p w14:paraId="1E657D20" w14:textId="77777777" w:rsidR="00F753E8" w:rsidRPr="005147CB" w:rsidRDefault="00F753E8" w:rsidP="00F753E8">
      <w:pPr>
        <w:ind w:left="360"/>
        <w:jc w:val="both"/>
        <w:rPr>
          <w:rFonts w:ascii="Arial" w:hAnsi="Arial" w:cs="Arial"/>
          <w:sz w:val="22"/>
          <w:szCs w:val="22"/>
        </w:rPr>
      </w:pPr>
      <w:r w:rsidRPr="008A0A4E">
        <w:rPr>
          <w:rFonts w:ascii="Arial" w:hAnsi="Arial" w:cs="Arial"/>
          <w:sz w:val="22"/>
          <w:szCs w:val="22"/>
        </w:rPr>
        <w:t>Listed investments are shown as bid prices.  The bid value of the investment is based on the bid market quo</w:t>
      </w:r>
      <w:r w:rsidRPr="005147CB">
        <w:rPr>
          <w:rFonts w:ascii="Arial" w:hAnsi="Arial" w:cs="Arial"/>
          <w:sz w:val="22"/>
          <w:szCs w:val="22"/>
        </w:rPr>
        <w:t>tation of the relevant stock exchange. The total financial instruments held by the Fund at</w:t>
      </w:r>
      <w:r w:rsidRPr="005147CB">
        <w:rPr>
          <w:rFonts w:ascii="Arial" w:hAnsi="Arial" w:cs="Arial"/>
          <w:b/>
          <w:sz w:val="22"/>
          <w:szCs w:val="22"/>
        </w:rPr>
        <w:t xml:space="preserve"> Level 1 were £1,096.7m</w:t>
      </w:r>
    </w:p>
    <w:p w14:paraId="367DFD62" w14:textId="77777777" w:rsidR="00F753E8" w:rsidRPr="005147CB" w:rsidRDefault="00F753E8" w:rsidP="00F753E8">
      <w:pPr>
        <w:ind w:firstLine="360"/>
        <w:rPr>
          <w:rFonts w:ascii="Arial" w:hAnsi="Arial" w:cs="Arial"/>
          <w:b/>
          <w:sz w:val="22"/>
          <w:szCs w:val="22"/>
        </w:rPr>
      </w:pPr>
    </w:p>
    <w:p w14:paraId="1A6E5A64" w14:textId="77777777" w:rsidR="00F753E8" w:rsidRPr="005147CB" w:rsidRDefault="00F753E8" w:rsidP="00F753E8">
      <w:pPr>
        <w:ind w:firstLine="360"/>
        <w:rPr>
          <w:rFonts w:ascii="Arial" w:hAnsi="Arial" w:cs="Arial"/>
          <w:b/>
          <w:sz w:val="22"/>
          <w:szCs w:val="22"/>
        </w:rPr>
      </w:pPr>
      <w:r w:rsidRPr="005147CB">
        <w:rPr>
          <w:rFonts w:ascii="Arial" w:hAnsi="Arial" w:cs="Arial"/>
          <w:b/>
          <w:sz w:val="22"/>
          <w:szCs w:val="22"/>
        </w:rPr>
        <w:t>Level 2</w:t>
      </w:r>
    </w:p>
    <w:p w14:paraId="168E743D" w14:textId="77777777" w:rsidR="00F753E8" w:rsidRPr="008A0A4E" w:rsidRDefault="00F753E8" w:rsidP="00F753E8">
      <w:pPr>
        <w:ind w:left="360"/>
        <w:jc w:val="both"/>
        <w:rPr>
          <w:rFonts w:ascii="Arial" w:hAnsi="Arial" w:cs="Arial"/>
          <w:b/>
          <w:sz w:val="22"/>
          <w:szCs w:val="22"/>
        </w:rPr>
      </w:pPr>
      <w:r w:rsidRPr="005147CB">
        <w:rPr>
          <w:rFonts w:ascii="Arial" w:hAnsi="Arial" w:cs="Arial"/>
          <w:sz w:val="22"/>
          <w:szCs w:val="22"/>
        </w:rPr>
        <w:t xml:space="preserve">Financial instruments at Level 2 are those where quoted market prices are not available, for example, where an instrument is traded in a market that is not considered to be active, or where valuation techniques use inputs that are based significantly on observable market data. Pending trade sales from the funds pooled alternative manager has been classified as Level 2. </w:t>
      </w:r>
      <w:r w:rsidRPr="005147CB">
        <w:rPr>
          <w:rFonts w:ascii="Arial" w:eastAsia="Calibri" w:hAnsi="Arial" w:cs="Arial"/>
          <w:sz w:val="22"/>
          <w:szCs w:val="22"/>
          <w:lang w:eastAsia="en-US"/>
        </w:rPr>
        <w:t xml:space="preserve">The total financial instruments held by the fund at </w:t>
      </w:r>
      <w:r w:rsidRPr="005147CB">
        <w:rPr>
          <w:rFonts w:ascii="Arial" w:eastAsia="Calibri" w:hAnsi="Arial" w:cs="Arial"/>
          <w:b/>
          <w:bCs/>
          <w:sz w:val="22"/>
          <w:szCs w:val="22"/>
          <w:lang w:eastAsia="en-US"/>
        </w:rPr>
        <w:t>Level 2 was £-0.5m.</w:t>
      </w:r>
    </w:p>
    <w:p w14:paraId="720E0DB1" w14:textId="77777777" w:rsidR="00F753E8" w:rsidRPr="008A0A4E" w:rsidRDefault="00F753E8" w:rsidP="00F753E8">
      <w:pPr>
        <w:ind w:firstLine="360"/>
        <w:rPr>
          <w:rFonts w:ascii="Arial" w:hAnsi="Arial" w:cs="Arial"/>
          <w:b/>
          <w:sz w:val="22"/>
          <w:szCs w:val="22"/>
        </w:rPr>
      </w:pPr>
    </w:p>
    <w:p w14:paraId="20302EB9" w14:textId="77777777" w:rsidR="00F753E8" w:rsidRPr="008A0A4E" w:rsidRDefault="00F753E8" w:rsidP="00F753E8">
      <w:pPr>
        <w:ind w:firstLine="360"/>
        <w:rPr>
          <w:rFonts w:ascii="Arial" w:hAnsi="Arial" w:cs="Arial"/>
          <w:b/>
          <w:sz w:val="22"/>
          <w:szCs w:val="22"/>
        </w:rPr>
      </w:pPr>
      <w:r w:rsidRPr="008A0A4E">
        <w:rPr>
          <w:rFonts w:ascii="Arial" w:hAnsi="Arial" w:cs="Arial"/>
          <w:b/>
          <w:sz w:val="22"/>
          <w:szCs w:val="22"/>
        </w:rPr>
        <w:t xml:space="preserve">Level 3 </w:t>
      </w:r>
    </w:p>
    <w:p w14:paraId="737D2694" w14:textId="77777777" w:rsidR="00F753E8" w:rsidRPr="008A0A4E" w:rsidRDefault="00F753E8" w:rsidP="00F753E8">
      <w:pPr>
        <w:ind w:left="360"/>
        <w:jc w:val="both"/>
        <w:rPr>
          <w:rFonts w:ascii="Arial" w:hAnsi="Arial" w:cs="Arial"/>
          <w:b/>
          <w:i/>
          <w:sz w:val="22"/>
          <w:szCs w:val="22"/>
        </w:rPr>
      </w:pPr>
      <w:r w:rsidRPr="008A0A4E">
        <w:rPr>
          <w:rFonts w:ascii="Arial" w:hAnsi="Arial" w:cs="Arial"/>
          <w:sz w:val="22"/>
          <w:szCs w:val="22"/>
        </w:rPr>
        <w:t xml:space="preserve">Financial instruments at Level 3 are those where at least one input could have a significant effect on the instrument’s valuation is not based on observable market data. </w:t>
      </w:r>
    </w:p>
    <w:p w14:paraId="233DDE86" w14:textId="77777777" w:rsidR="00F753E8" w:rsidRPr="008A0A4E" w:rsidRDefault="00F753E8" w:rsidP="00F753E8">
      <w:pPr>
        <w:jc w:val="both"/>
        <w:rPr>
          <w:rFonts w:ascii="Arial" w:hAnsi="Arial" w:cs="Arial"/>
          <w:sz w:val="22"/>
          <w:szCs w:val="22"/>
        </w:rPr>
      </w:pPr>
    </w:p>
    <w:p w14:paraId="178E7DBE" w14:textId="77777777" w:rsidR="00F753E8" w:rsidRPr="008A0A4E" w:rsidRDefault="00F753E8" w:rsidP="00F753E8">
      <w:pPr>
        <w:ind w:left="360"/>
        <w:jc w:val="both"/>
        <w:rPr>
          <w:rFonts w:ascii="Arial" w:hAnsi="Arial" w:cs="Arial"/>
          <w:sz w:val="22"/>
          <w:szCs w:val="22"/>
        </w:rPr>
      </w:pPr>
      <w:r w:rsidRPr="008A0A4E">
        <w:rPr>
          <w:rFonts w:ascii="Arial" w:hAnsi="Arial" w:cs="Arial"/>
          <w:sz w:val="22"/>
          <w:szCs w:val="22"/>
        </w:rPr>
        <w:t>Such instruments would include unquoted equity investments and hedge fund or funds, which are valued using various valuation techniques that require significant judgement in determining appropriate assumptions. The Fund’s infrastructure manager has been classified as level 3 as valuations are based on a variety of assumptions and the assets held do not have a readily identifiable market.</w:t>
      </w:r>
    </w:p>
    <w:p w14:paraId="507AAB4D" w14:textId="77777777" w:rsidR="00F753E8" w:rsidRPr="008A0A4E" w:rsidRDefault="00F753E8" w:rsidP="00F753E8">
      <w:pPr>
        <w:ind w:left="360"/>
        <w:jc w:val="both"/>
        <w:rPr>
          <w:rFonts w:ascii="Arial" w:hAnsi="Arial" w:cs="Arial"/>
          <w:sz w:val="22"/>
          <w:szCs w:val="22"/>
        </w:rPr>
      </w:pPr>
    </w:p>
    <w:p w14:paraId="0D0A9B8B" w14:textId="77777777" w:rsidR="00F753E8" w:rsidRDefault="00F753E8" w:rsidP="00F753E8">
      <w:pPr>
        <w:ind w:left="360"/>
        <w:jc w:val="both"/>
        <w:rPr>
          <w:rFonts w:ascii="Arial" w:hAnsi="Arial" w:cs="Arial"/>
          <w:b/>
          <w:sz w:val="22"/>
          <w:szCs w:val="22"/>
        </w:rPr>
      </w:pPr>
      <w:r w:rsidRPr="008A0A4E">
        <w:rPr>
          <w:rFonts w:ascii="Arial" w:hAnsi="Arial" w:cs="Arial"/>
          <w:color w:val="000000"/>
          <w:sz w:val="22"/>
          <w:szCs w:val="22"/>
        </w:rPr>
        <w:t xml:space="preserve">The values of the investment in infrastructure </w:t>
      </w:r>
      <w:proofErr w:type="gramStart"/>
      <w:r>
        <w:rPr>
          <w:rFonts w:ascii="Arial" w:hAnsi="Arial" w:cs="Arial"/>
          <w:color w:val="000000"/>
          <w:sz w:val="22"/>
          <w:szCs w:val="22"/>
        </w:rPr>
        <w:t>is</w:t>
      </w:r>
      <w:proofErr w:type="gramEnd"/>
      <w:r w:rsidRPr="008A0A4E">
        <w:rPr>
          <w:rFonts w:ascii="Arial" w:hAnsi="Arial" w:cs="Arial"/>
          <w:color w:val="000000"/>
          <w:sz w:val="22"/>
          <w:szCs w:val="22"/>
        </w:rPr>
        <w:t xml:space="preserve"> based on the net asset value provided by the fund manager. Assurances over the valuation are gained from the independent audit of the value. </w:t>
      </w:r>
      <w:r w:rsidRPr="008A0A4E">
        <w:rPr>
          <w:rFonts w:ascii="Arial" w:hAnsi="Arial" w:cs="Arial"/>
          <w:sz w:val="22"/>
          <w:szCs w:val="22"/>
        </w:rPr>
        <w:t xml:space="preserve">The total financial instruments held by the Fund at </w:t>
      </w:r>
      <w:r w:rsidRPr="005147CB">
        <w:rPr>
          <w:rFonts w:ascii="Arial" w:hAnsi="Arial" w:cs="Arial"/>
          <w:b/>
          <w:sz w:val="22"/>
          <w:szCs w:val="22"/>
        </w:rPr>
        <w:t>Level 3 were £285.4m.</w:t>
      </w:r>
    </w:p>
    <w:p w14:paraId="5E3ED1BB" w14:textId="77777777" w:rsidR="00F753E8" w:rsidRDefault="00F753E8" w:rsidP="00421E09">
      <w:pPr>
        <w:jc w:val="both"/>
        <w:rPr>
          <w:rFonts w:ascii="Arial" w:hAnsi="Arial" w:cs="Arial"/>
          <w:b/>
          <w:sz w:val="22"/>
          <w:szCs w:val="22"/>
        </w:rPr>
      </w:pPr>
    </w:p>
    <w:p w14:paraId="43BCC252" w14:textId="77777777" w:rsidR="00421E09" w:rsidRDefault="00421E09" w:rsidP="00421E09">
      <w:pPr>
        <w:jc w:val="both"/>
        <w:rPr>
          <w:rFonts w:ascii="Arial" w:hAnsi="Arial" w:cs="Arial"/>
          <w:b/>
          <w:sz w:val="22"/>
          <w:szCs w:val="22"/>
        </w:rPr>
      </w:pPr>
    </w:p>
    <w:p w14:paraId="797C1D69" w14:textId="77777777" w:rsidR="00421E09" w:rsidRDefault="00421E09" w:rsidP="00421E09">
      <w:pPr>
        <w:jc w:val="both"/>
        <w:rPr>
          <w:rFonts w:ascii="Arial" w:hAnsi="Arial" w:cs="Arial"/>
          <w:b/>
          <w:sz w:val="22"/>
          <w:szCs w:val="22"/>
        </w:rPr>
      </w:pPr>
    </w:p>
    <w:p w14:paraId="60EC2674" w14:textId="77777777" w:rsidR="00421E09" w:rsidRDefault="00421E09" w:rsidP="00421E09">
      <w:pPr>
        <w:jc w:val="both"/>
        <w:rPr>
          <w:rFonts w:ascii="Arial" w:hAnsi="Arial" w:cs="Arial"/>
          <w:b/>
          <w:sz w:val="22"/>
          <w:szCs w:val="22"/>
        </w:rPr>
      </w:pPr>
    </w:p>
    <w:p w14:paraId="416FA56D" w14:textId="77777777" w:rsidR="00421E09" w:rsidRDefault="00421E09" w:rsidP="00421E09">
      <w:pPr>
        <w:jc w:val="both"/>
        <w:rPr>
          <w:rFonts w:ascii="Arial" w:hAnsi="Arial" w:cs="Arial"/>
          <w:b/>
          <w:sz w:val="22"/>
          <w:szCs w:val="22"/>
        </w:rPr>
      </w:pPr>
    </w:p>
    <w:p w14:paraId="349AFE4C" w14:textId="77777777" w:rsidR="00421E09" w:rsidRDefault="00421E09" w:rsidP="00421E09">
      <w:pPr>
        <w:jc w:val="both"/>
        <w:rPr>
          <w:rFonts w:ascii="Arial" w:hAnsi="Arial" w:cs="Arial"/>
          <w:b/>
          <w:sz w:val="22"/>
          <w:szCs w:val="22"/>
        </w:rPr>
      </w:pPr>
    </w:p>
    <w:p w14:paraId="475A39A9" w14:textId="77777777" w:rsidR="00421E09" w:rsidRDefault="00421E09" w:rsidP="00421E09">
      <w:pPr>
        <w:jc w:val="both"/>
        <w:rPr>
          <w:rFonts w:ascii="Arial" w:hAnsi="Arial" w:cs="Arial"/>
          <w:b/>
          <w:sz w:val="22"/>
          <w:szCs w:val="22"/>
        </w:rPr>
      </w:pPr>
    </w:p>
    <w:p w14:paraId="49494398" w14:textId="77777777" w:rsidR="00421E09" w:rsidRDefault="00421E09" w:rsidP="00421E09">
      <w:pPr>
        <w:jc w:val="both"/>
        <w:rPr>
          <w:rFonts w:ascii="Arial" w:hAnsi="Arial" w:cs="Arial"/>
          <w:b/>
          <w:sz w:val="22"/>
          <w:szCs w:val="22"/>
        </w:rPr>
      </w:pPr>
    </w:p>
    <w:p w14:paraId="5D173DD0" w14:textId="77777777" w:rsidR="00421E09" w:rsidRDefault="00421E09" w:rsidP="00421E09">
      <w:pPr>
        <w:jc w:val="both"/>
        <w:rPr>
          <w:rFonts w:ascii="Arial" w:hAnsi="Arial" w:cs="Arial"/>
          <w:b/>
          <w:sz w:val="22"/>
          <w:szCs w:val="22"/>
        </w:rPr>
      </w:pPr>
    </w:p>
    <w:p w14:paraId="4622AB73" w14:textId="77777777" w:rsidR="00421E09" w:rsidRDefault="00421E09" w:rsidP="00421E09">
      <w:pPr>
        <w:jc w:val="both"/>
        <w:rPr>
          <w:rFonts w:ascii="Arial" w:hAnsi="Arial" w:cs="Arial"/>
          <w:b/>
          <w:sz w:val="22"/>
          <w:szCs w:val="22"/>
        </w:rPr>
      </w:pPr>
    </w:p>
    <w:p w14:paraId="2C7ECDDD" w14:textId="77777777" w:rsidR="00421E09" w:rsidRDefault="00421E09" w:rsidP="00421E09">
      <w:pPr>
        <w:jc w:val="both"/>
        <w:rPr>
          <w:rFonts w:ascii="Arial" w:hAnsi="Arial" w:cs="Arial"/>
          <w:b/>
          <w:sz w:val="22"/>
          <w:szCs w:val="22"/>
        </w:rPr>
      </w:pPr>
    </w:p>
    <w:p w14:paraId="49DF13F1" w14:textId="77777777" w:rsidR="00421E09" w:rsidRDefault="00421E09" w:rsidP="00421E09">
      <w:pPr>
        <w:jc w:val="both"/>
        <w:rPr>
          <w:rFonts w:ascii="Arial" w:hAnsi="Arial" w:cs="Arial"/>
          <w:b/>
          <w:sz w:val="22"/>
          <w:szCs w:val="22"/>
        </w:rPr>
      </w:pPr>
    </w:p>
    <w:p w14:paraId="1C4F8FF0" w14:textId="77777777" w:rsidR="00421E09" w:rsidRDefault="00421E09" w:rsidP="00421E09">
      <w:pPr>
        <w:jc w:val="both"/>
        <w:rPr>
          <w:rFonts w:ascii="Arial" w:hAnsi="Arial" w:cs="Arial"/>
          <w:b/>
          <w:sz w:val="22"/>
          <w:szCs w:val="22"/>
        </w:rPr>
      </w:pPr>
    </w:p>
    <w:p w14:paraId="5E3407C1" w14:textId="77777777" w:rsidR="00421E09" w:rsidRDefault="00421E09" w:rsidP="00421E09">
      <w:pPr>
        <w:jc w:val="both"/>
        <w:rPr>
          <w:rFonts w:ascii="Arial" w:hAnsi="Arial" w:cs="Arial"/>
          <w:b/>
          <w:sz w:val="22"/>
          <w:szCs w:val="22"/>
        </w:rPr>
      </w:pPr>
    </w:p>
    <w:p w14:paraId="4846D3CB" w14:textId="77777777" w:rsidR="00421E09" w:rsidRDefault="00421E09" w:rsidP="00421E09">
      <w:pPr>
        <w:jc w:val="both"/>
        <w:rPr>
          <w:rFonts w:ascii="Arial" w:hAnsi="Arial" w:cs="Arial"/>
          <w:b/>
          <w:sz w:val="22"/>
          <w:szCs w:val="22"/>
        </w:rPr>
      </w:pPr>
    </w:p>
    <w:p w14:paraId="5A656038" w14:textId="77777777" w:rsidR="00421E09" w:rsidRDefault="00421E09" w:rsidP="00421E09">
      <w:pPr>
        <w:jc w:val="both"/>
        <w:rPr>
          <w:rFonts w:ascii="Arial" w:hAnsi="Arial" w:cs="Arial"/>
          <w:b/>
          <w:sz w:val="22"/>
          <w:szCs w:val="22"/>
        </w:rPr>
      </w:pPr>
    </w:p>
    <w:p w14:paraId="0A49C4D2" w14:textId="77777777" w:rsidR="00421E09" w:rsidRDefault="00421E09" w:rsidP="00421E09">
      <w:pPr>
        <w:jc w:val="both"/>
        <w:rPr>
          <w:rFonts w:ascii="Arial" w:hAnsi="Arial" w:cs="Arial"/>
          <w:b/>
          <w:sz w:val="22"/>
          <w:szCs w:val="22"/>
        </w:rPr>
      </w:pPr>
    </w:p>
    <w:p w14:paraId="4C8D4704" w14:textId="77777777" w:rsidR="00421E09" w:rsidRDefault="00421E09" w:rsidP="00421E09">
      <w:pPr>
        <w:jc w:val="both"/>
        <w:rPr>
          <w:rFonts w:ascii="Arial" w:hAnsi="Arial" w:cs="Arial"/>
          <w:b/>
          <w:sz w:val="22"/>
          <w:szCs w:val="22"/>
        </w:rPr>
      </w:pPr>
    </w:p>
    <w:p w14:paraId="2B00D877" w14:textId="77777777" w:rsidR="00F753E8" w:rsidRDefault="00F753E8" w:rsidP="00F753E8">
      <w:pPr>
        <w:ind w:left="360"/>
        <w:jc w:val="both"/>
        <w:rPr>
          <w:rFonts w:ascii="Arial" w:hAnsi="Arial" w:cs="Arial"/>
          <w:b/>
          <w:sz w:val="22"/>
          <w:szCs w:val="22"/>
        </w:rPr>
      </w:pPr>
    </w:p>
    <w:p w14:paraId="5A7D056D" w14:textId="77777777" w:rsidR="00F753E8" w:rsidRDefault="00F753E8" w:rsidP="00F753E8">
      <w:pPr>
        <w:ind w:left="360"/>
        <w:jc w:val="both"/>
        <w:rPr>
          <w:rFonts w:ascii="Arial" w:hAnsi="Arial" w:cs="Arial"/>
          <w:b/>
          <w:sz w:val="22"/>
          <w:szCs w:val="22"/>
        </w:rPr>
      </w:pPr>
      <w:r w:rsidRPr="008A0A4E">
        <w:rPr>
          <w:rFonts w:ascii="Arial" w:hAnsi="Arial" w:cs="Arial"/>
          <w:b/>
          <w:sz w:val="22"/>
          <w:szCs w:val="22"/>
        </w:rPr>
        <w:t>Asset Valuation Hierarchy and Basis of Valuation</w:t>
      </w:r>
    </w:p>
    <w:tbl>
      <w:tblPr>
        <w:tblW w:w="9245" w:type="dxa"/>
        <w:jc w:val="center"/>
        <w:tblLook w:val="04A0" w:firstRow="1" w:lastRow="0" w:firstColumn="1" w:lastColumn="0" w:noHBand="0" w:noVBand="1"/>
      </w:tblPr>
      <w:tblGrid>
        <w:gridCol w:w="1872"/>
        <w:gridCol w:w="1141"/>
        <w:gridCol w:w="3684"/>
        <w:gridCol w:w="2548"/>
      </w:tblGrid>
      <w:tr w:rsidR="00F753E8" w:rsidRPr="004D3513" w14:paraId="30CAFFAE" w14:textId="77777777" w:rsidTr="006E1769">
        <w:trPr>
          <w:trHeight w:val="590"/>
          <w:jc w:val="cent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60948"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Description of asset</w:t>
            </w:r>
          </w:p>
        </w:tc>
        <w:tc>
          <w:tcPr>
            <w:tcW w:w="1141" w:type="dxa"/>
            <w:tcBorders>
              <w:top w:val="single" w:sz="4" w:space="0" w:color="auto"/>
              <w:left w:val="nil"/>
              <w:bottom w:val="single" w:sz="4" w:space="0" w:color="auto"/>
              <w:right w:val="single" w:sz="4" w:space="0" w:color="auto"/>
            </w:tcBorders>
            <w:shd w:val="clear" w:color="auto" w:fill="auto"/>
            <w:vAlign w:val="center"/>
            <w:hideMark/>
          </w:tcPr>
          <w:p w14:paraId="5EDECB19"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Valuation hierarchy</w:t>
            </w:r>
          </w:p>
        </w:tc>
        <w:tc>
          <w:tcPr>
            <w:tcW w:w="3684" w:type="dxa"/>
            <w:tcBorders>
              <w:top w:val="single" w:sz="4" w:space="0" w:color="auto"/>
              <w:left w:val="nil"/>
              <w:bottom w:val="single" w:sz="4" w:space="0" w:color="auto"/>
              <w:right w:val="single" w:sz="4" w:space="0" w:color="auto"/>
            </w:tcBorders>
            <w:shd w:val="clear" w:color="auto" w:fill="auto"/>
            <w:vAlign w:val="center"/>
            <w:hideMark/>
          </w:tcPr>
          <w:p w14:paraId="242263E9"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Basis of valuation</w:t>
            </w:r>
          </w:p>
        </w:tc>
        <w:tc>
          <w:tcPr>
            <w:tcW w:w="2548" w:type="dxa"/>
            <w:tcBorders>
              <w:top w:val="single" w:sz="4" w:space="0" w:color="auto"/>
              <w:left w:val="nil"/>
              <w:bottom w:val="single" w:sz="4" w:space="0" w:color="auto"/>
              <w:right w:val="single" w:sz="4" w:space="0" w:color="auto"/>
            </w:tcBorders>
            <w:shd w:val="clear" w:color="auto" w:fill="auto"/>
            <w:vAlign w:val="center"/>
            <w:hideMark/>
          </w:tcPr>
          <w:p w14:paraId="565FB5B7"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Observable and unobservable</w:t>
            </w:r>
            <w:r w:rsidRPr="004D3513">
              <w:rPr>
                <w:rFonts w:ascii="Arial" w:hAnsi="Arial" w:cs="Arial"/>
                <w:b/>
                <w:bCs/>
                <w:color w:val="000000"/>
                <w:sz w:val="20"/>
                <w:szCs w:val="20"/>
              </w:rPr>
              <w:br/>
              <w:t>inputs</w:t>
            </w:r>
          </w:p>
        </w:tc>
      </w:tr>
      <w:tr w:rsidR="00F753E8" w:rsidRPr="004D3513" w14:paraId="03F5B582" w14:textId="77777777" w:rsidTr="006E1769">
        <w:trPr>
          <w:trHeight w:val="349"/>
          <w:jc w:val="center"/>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76BF73A6"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 xml:space="preserve">Fixed Income Unit Trusts   </w:t>
            </w:r>
          </w:p>
        </w:tc>
        <w:tc>
          <w:tcPr>
            <w:tcW w:w="1141" w:type="dxa"/>
            <w:tcBorders>
              <w:top w:val="nil"/>
              <w:left w:val="nil"/>
              <w:bottom w:val="single" w:sz="4" w:space="0" w:color="auto"/>
              <w:right w:val="single" w:sz="4" w:space="0" w:color="auto"/>
            </w:tcBorders>
            <w:shd w:val="clear" w:color="auto" w:fill="auto"/>
            <w:vAlign w:val="bottom"/>
            <w:hideMark/>
          </w:tcPr>
          <w:p w14:paraId="29C4A569" w14:textId="77777777" w:rsidR="00F753E8" w:rsidRPr="004D3513" w:rsidRDefault="00F753E8" w:rsidP="006E1769">
            <w:pPr>
              <w:jc w:val="center"/>
              <w:rPr>
                <w:rFonts w:ascii="Arial" w:hAnsi="Arial" w:cs="Arial"/>
                <w:color w:val="000000"/>
                <w:sz w:val="20"/>
                <w:szCs w:val="20"/>
              </w:rPr>
            </w:pPr>
            <w:r w:rsidRPr="004D3513">
              <w:rPr>
                <w:rFonts w:ascii="Arial" w:hAnsi="Arial" w:cs="Arial"/>
                <w:color w:val="000000"/>
                <w:sz w:val="20"/>
                <w:szCs w:val="20"/>
              </w:rPr>
              <w:t>Level 1</w:t>
            </w:r>
          </w:p>
        </w:tc>
        <w:tc>
          <w:tcPr>
            <w:tcW w:w="3684" w:type="dxa"/>
            <w:tcBorders>
              <w:top w:val="nil"/>
              <w:left w:val="nil"/>
              <w:bottom w:val="single" w:sz="4" w:space="0" w:color="auto"/>
              <w:right w:val="single" w:sz="4" w:space="0" w:color="auto"/>
            </w:tcBorders>
            <w:shd w:val="clear" w:color="auto" w:fill="auto"/>
            <w:vAlign w:val="bottom"/>
            <w:hideMark/>
          </w:tcPr>
          <w:p w14:paraId="780A7B97"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Published bid market price ruling on the final day of the accounting period</w:t>
            </w:r>
          </w:p>
        </w:tc>
        <w:tc>
          <w:tcPr>
            <w:tcW w:w="2548" w:type="dxa"/>
            <w:tcBorders>
              <w:top w:val="nil"/>
              <w:left w:val="nil"/>
              <w:bottom w:val="single" w:sz="4" w:space="0" w:color="auto"/>
              <w:right w:val="single" w:sz="4" w:space="0" w:color="auto"/>
            </w:tcBorders>
            <w:shd w:val="clear" w:color="auto" w:fill="auto"/>
            <w:vAlign w:val="bottom"/>
            <w:hideMark/>
          </w:tcPr>
          <w:p w14:paraId="453456E0" w14:textId="77777777" w:rsidR="00F753E8" w:rsidRPr="004D3513" w:rsidRDefault="00F753E8" w:rsidP="006E1769">
            <w:pPr>
              <w:ind w:right="-110"/>
              <w:rPr>
                <w:rFonts w:ascii="Arial" w:hAnsi="Arial" w:cs="Arial"/>
                <w:color w:val="000000"/>
                <w:sz w:val="20"/>
                <w:szCs w:val="20"/>
              </w:rPr>
            </w:pPr>
            <w:r w:rsidRPr="004D3513">
              <w:rPr>
                <w:rFonts w:ascii="Arial" w:hAnsi="Arial" w:cs="Arial"/>
                <w:color w:val="000000"/>
                <w:sz w:val="20"/>
                <w:szCs w:val="20"/>
              </w:rPr>
              <w:t>Not required</w:t>
            </w:r>
          </w:p>
        </w:tc>
      </w:tr>
      <w:tr w:rsidR="00F753E8" w:rsidRPr="004D3513" w14:paraId="4BF2DDA7" w14:textId="77777777" w:rsidTr="006E1769">
        <w:trPr>
          <w:trHeight w:val="338"/>
          <w:jc w:val="center"/>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0440DF72"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Equity Unit Trust</w:t>
            </w:r>
          </w:p>
        </w:tc>
        <w:tc>
          <w:tcPr>
            <w:tcW w:w="1141" w:type="dxa"/>
            <w:tcBorders>
              <w:top w:val="nil"/>
              <w:left w:val="nil"/>
              <w:bottom w:val="single" w:sz="4" w:space="0" w:color="auto"/>
              <w:right w:val="single" w:sz="4" w:space="0" w:color="auto"/>
            </w:tcBorders>
            <w:shd w:val="clear" w:color="auto" w:fill="auto"/>
            <w:vAlign w:val="bottom"/>
            <w:hideMark/>
          </w:tcPr>
          <w:p w14:paraId="47C8DA20" w14:textId="77777777" w:rsidR="00F753E8" w:rsidRPr="004D3513" w:rsidRDefault="00F753E8" w:rsidP="006E1769">
            <w:pPr>
              <w:jc w:val="center"/>
              <w:rPr>
                <w:rFonts w:ascii="Arial" w:hAnsi="Arial" w:cs="Arial"/>
                <w:color w:val="000000"/>
                <w:sz w:val="20"/>
                <w:szCs w:val="20"/>
              </w:rPr>
            </w:pPr>
            <w:r w:rsidRPr="004D3513">
              <w:rPr>
                <w:rFonts w:ascii="Arial" w:hAnsi="Arial" w:cs="Arial"/>
                <w:color w:val="000000"/>
                <w:sz w:val="20"/>
                <w:szCs w:val="20"/>
              </w:rPr>
              <w:t>Level 1</w:t>
            </w:r>
          </w:p>
        </w:tc>
        <w:tc>
          <w:tcPr>
            <w:tcW w:w="3684" w:type="dxa"/>
            <w:tcBorders>
              <w:top w:val="nil"/>
              <w:left w:val="nil"/>
              <w:bottom w:val="single" w:sz="4" w:space="0" w:color="auto"/>
              <w:right w:val="single" w:sz="4" w:space="0" w:color="auto"/>
            </w:tcBorders>
            <w:shd w:val="clear" w:color="auto" w:fill="auto"/>
            <w:vAlign w:val="bottom"/>
            <w:hideMark/>
          </w:tcPr>
          <w:p w14:paraId="7F64E2ED"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Market value based on current yields</w:t>
            </w:r>
          </w:p>
        </w:tc>
        <w:tc>
          <w:tcPr>
            <w:tcW w:w="2548" w:type="dxa"/>
            <w:tcBorders>
              <w:top w:val="nil"/>
              <w:left w:val="nil"/>
              <w:bottom w:val="single" w:sz="4" w:space="0" w:color="auto"/>
              <w:right w:val="single" w:sz="4" w:space="0" w:color="auto"/>
            </w:tcBorders>
            <w:shd w:val="clear" w:color="auto" w:fill="auto"/>
            <w:vAlign w:val="bottom"/>
            <w:hideMark/>
          </w:tcPr>
          <w:p w14:paraId="5C628E1D" w14:textId="77777777" w:rsidR="00F753E8" w:rsidRPr="004D3513" w:rsidRDefault="00F753E8" w:rsidP="006E1769">
            <w:pPr>
              <w:ind w:right="-110"/>
              <w:rPr>
                <w:rFonts w:ascii="Arial" w:hAnsi="Arial" w:cs="Arial"/>
                <w:color w:val="000000"/>
                <w:sz w:val="20"/>
                <w:szCs w:val="20"/>
              </w:rPr>
            </w:pPr>
            <w:r w:rsidRPr="004D3513">
              <w:rPr>
                <w:rFonts w:ascii="Arial" w:hAnsi="Arial" w:cs="Arial"/>
                <w:color w:val="000000"/>
                <w:sz w:val="20"/>
                <w:szCs w:val="20"/>
              </w:rPr>
              <w:t>Not required</w:t>
            </w:r>
          </w:p>
        </w:tc>
      </w:tr>
      <w:tr w:rsidR="00F753E8" w:rsidRPr="004D3513" w14:paraId="5AF82F4F" w14:textId="77777777" w:rsidTr="006E1769">
        <w:trPr>
          <w:trHeight w:val="338"/>
          <w:jc w:val="center"/>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3F2E37D2"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Absolute Return Funds</w:t>
            </w:r>
          </w:p>
        </w:tc>
        <w:tc>
          <w:tcPr>
            <w:tcW w:w="1141" w:type="dxa"/>
            <w:tcBorders>
              <w:top w:val="nil"/>
              <w:left w:val="nil"/>
              <w:bottom w:val="single" w:sz="4" w:space="0" w:color="auto"/>
              <w:right w:val="single" w:sz="4" w:space="0" w:color="auto"/>
            </w:tcBorders>
            <w:shd w:val="clear" w:color="auto" w:fill="auto"/>
            <w:vAlign w:val="bottom"/>
            <w:hideMark/>
          </w:tcPr>
          <w:p w14:paraId="6B203932" w14:textId="77777777" w:rsidR="00F753E8" w:rsidRPr="004D3513" w:rsidRDefault="00F753E8" w:rsidP="006E1769">
            <w:pPr>
              <w:jc w:val="center"/>
              <w:rPr>
                <w:rFonts w:ascii="Arial" w:hAnsi="Arial" w:cs="Arial"/>
                <w:color w:val="000000"/>
                <w:sz w:val="20"/>
                <w:szCs w:val="20"/>
              </w:rPr>
            </w:pPr>
            <w:r w:rsidRPr="004D3513">
              <w:rPr>
                <w:rFonts w:ascii="Arial" w:hAnsi="Arial" w:cs="Arial"/>
                <w:color w:val="000000"/>
                <w:sz w:val="20"/>
                <w:szCs w:val="20"/>
              </w:rPr>
              <w:t>Level 1</w:t>
            </w:r>
          </w:p>
        </w:tc>
        <w:tc>
          <w:tcPr>
            <w:tcW w:w="3684" w:type="dxa"/>
            <w:tcBorders>
              <w:top w:val="nil"/>
              <w:left w:val="nil"/>
              <w:bottom w:val="single" w:sz="4" w:space="0" w:color="auto"/>
              <w:right w:val="single" w:sz="4" w:space="0" w:color="auto"/>
            </w:tcBorders>
            <w:shd w:val="clear" w:color="auto" w:fill="auto"/>
            <w:vAlign w:val="bottom"/>
            <w:hideMark/>
          </w:tcPr>
          <w:p w14:paraId="4E3F1F0F"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Closing bid value on published exchanges</w:t>
            </w:r>
          </w:p>
        </w:tc>
        <w:tc>
          <w:tcPr>
            <w:tcW w:w="2548" w:type="dxa"/>
            <w:tcBorders>
              <w:top w:val="nil"/>
              <w:left w:val="nil"/>
              <w:bottom w:val="single" w:sz="4" w:space="0" w:color="auto"/>
              <w:right w:val="single" w:sz="4" w:space="0" w:color="auto"/>
            </w:tcBorders>
            <w:shd w:val="clear" w:color="auto" w:fill="auto"/>
            <w:vAlign w:val="bottom"/>
            <w:hideMark/>
          </w:tcPr>
          <w:p w14:paraId="669771DE" w14:textId="77777777" w:rsidR="00F753E8" w:rsidRPr="004D3513" w:rsidRDefault="00F753E8" w:rsidP="006E1769">
            <w:pPr>
              <w:ind w:right="-110"/>
              <w:rPr>
                <w:rFonts w:ascii="Arial" w:hAnsi="Arial" w:cs="Arial"/>
                <w:color w:val="000000"/>
                <w:sz w:val="20"/>
                <w:szCs w:val="20"/>
              </w:rPr>
            </w:pPr>
            <w:r w:rsidRPr="004D3513">
              <w:rPr>
                <w:rFonts w:ascii="Arial" w:hAnsi="Arial" w:cs="Arial"/>
                <w:color w:val="000000"/>
                <w:sz w:val="20"/>
                <w:szCs w:val="20"/>
              </w:rPr>
              <w:t>Not required</w:t>
            </w:r>
          </w:p>
        </w:tc>
      </w:tr>
      <w:tr w:rsidR="00F753E8" w:rsidRPr="004D3513" w14:paraId="0D6157F6" w14:textId="77777777" w:rsidTr="006E1769">
        <w:trPr>
          <w:trHeight w:val="183"/>
          <w:jc w:val="center"/>
        </w:trPr>
        <w:tc>
          <w:tcPr>
            <w:tcW w:w="1872" w:type="dxa"/>
            <w:tcBorders>
              <w:top w:val="nil"/>
              <w:left w:val="single" w:sz="4" w:space="0" w:color="auto"/>
              <w:bottom w:val="single" w:sz="4" w:space="0" w:color="auto"/>
              <w:right w:val="single" w:sz="4" w:space="0" w:color="auto"/>
            </w:tcBorders>
            <w:shd w:val="clear" w:color="auto" w:fill="auto"/>
            <w:vAlign w:val="bottom"/>
            <w:hideMark/>
          </w:tcPr>
          <w:p w14:paraId="7E3BC57C"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Property Unit Trust</w:t>
            </w:r>
          </w:p>
        </w:tc>
        <w:tc>
          <w:tcPr>
            <w:tcW w:w="1141" w:type="dxa"/>
            <w:tcBorders>
              <w:top w:val="nil"/>
              <w:left w:val="nil"/>
              <w:bottom w:val="single" w:sz="4" w:space="0" w:color="auto"/>
              <w:right w:val="single" w:sz="4" w:space="0" w:color="auto"/>
            </w:tcBorders>
            <w:shd w:val="clear" w:color="auto" w:fill="auto"/>
            <w:vAlign w:val="bottom"/>
            <w:hideMark/>
          </w:tcPr>
          <w:p w14:paraId="56141371" w14:textId="77777777" w:rsidR="00F753E8" w:rsidRPr="004D3513" w:rsidRDefault="00F753E8" w:rsidP="006E1769">
            <w:pPr>
              <w:jc w:val="center"/>
              <w:rPr>
                <w:rFonts w:ascii="Arial" w:hAnsi="Arial" w:cs="Arial"/>
                <w:color w:val="000000"/>
                <w:sz w:val="20"/>
                <w:szCs w:val="20"/>
              </w:rPr>
            </w:pPr>
            <w:r w:rsidRPr="004D3513">
              <w:rPr>
                <w:rFonts w:ascii="Arial" w:hAnsi="Arial" w:cs="Arial"/>
                <w:color w:val="000000"/>
                <w:sz w:val="20"/>
                <w:szCs w:val="20"/>
              </w:rPr>
              <w:t>Level 3</w:t>
            </w:r>
          </w:p>
        </w:tc>
        <w:tc>
          <w:tcPr>
            <w:tcW w:w="3684" w:type="dxa"/>
            <w:tcBorders>
              <w:top w:val="nil"/>
              <w:left w:val="nil"/>
              <w:bottom w:val="single" w:sz="4" w:space="0" w:color="auto"/>
              <w:right w:val="single" w:sz="4" w:space="0" w:color="auto"/>
            </w:tcBorders>
            <w:shd w:val="clear" w:color="auto" w:fill="auto"/>
            <w:vAlign w:val="bottom"/>
            <w:hideMark/>
          </w:tcPr>
          <w:p w14:paraId="5B3AB762"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Closing single price where single price published</w:t>
            </w:r>
          </w:p>
        </w:tc>
        <w:tc>
          <w:tcPr>
            <w:tcW w:w="2548" w:type="dxa"/>
            <w:tcBorders>
              <w:top w:val="nil"/>
              <w:left w:val="nil"/>
              <w:bottom w:val="single" w:sz="4" w:space="0" w:color="auto"/>
              <w:right w:val="single" w:sz="4" w:space="0" w:color="auto"/>
            </w:tcBorders>
            <w:shd w:val="clear" w:color="auto" w:fill="auto"/>
            <w:vAlign w:val="bottom"/>
            <w:hideMark/>
          </w:tcPr>
          <w:p w14:paraId="769A0290" w14:textId="77777777" w:rsidR="00F753E8" w:rsidRPr="004D3513" w:rsidRDefault="00F753E8" w:rsidP="006E1769">
            <w:pPr>
              <w:ind w:right="-110"/>
              <w:rPr>
                <w:rFonts w:ascii="Arial" w:hAnsi="Arial" w:cs="Arial"/>
                <w:color w:val="000000"/>
                <w:sz w:val="20"/>
                <w:szCs w:val="20"/>
              </w:rPr>
            </w:pPr>
            <w:r w:rsidRPr="004D3513">
              <w:rPr>
                <w:rFonts w:ascii="Arial" w:hAnsi="Arial" w:cs="Arial"/>
                <w:color w:val="000000"/>
                <w:sz w:val="20"/>
                <w:szCs w:val="20"/>
              </w:rPr>
              <w:t>NAV-based pricing set on a forward pricing basis</w:t>
            </w:r>
          </w:p>
        </w:tc>
      </w:tr>
      <w:tr w:rsidR="00F753E8" w:rsidRPr="004D3513" w14:paraId="40C85ACA" w14:textId="77777777" w:rsidTr="006E1769">
        <w:trPr>
          <w:trHeight w:val="197"/>
          <w:jc w:val="center"/>
        </w:trPr>
        <w:tc>
          <w:tcPr>
            <w:tcW w:w="1872" w:type="dxa"/>
            <w:tcBorders>
              <w:top w:val="nil"/>
              <w:left w:val="single" w:sz="4" w:space="0" w:color="auto"/>
              <w:bottom w:val="single" w:sz="4" w:space="0" w:color="auto"/>
              <w:right w:val="single" w:sz="4" w:space="0" w:color="auto"/>
            </w:tcBorders>
            <w:shd w:val="clear" w:color="000000" w:fill="FFFFFF"/>
            <w:noWrap/>
            <w:vAlign w:val="bottom"/>
            <w:hideMark/>
          </w:tcPr>
          <w:p w14:paraId="6A781F67"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 xml:space="preserve">Other Investment - Infrastructure </w:t>
            </w:r>
          </w:p>
        </w:tc>
        <w:tc>
          <w:tcPr>
            <w:tcW w:w="1141" w:type="dxa"/>
            <w:tcBorders>
              <w:top w:val="nil"/>
              <w:left w:val="nil"/>
              <w:bottom w:val="single" w:sz="4" w:space="0" w:color="auto"/>
              <w:right w:val="single" w:sz="4" w:space="0" w:color="auto"/>
            </w:tcBorders>
            <w:shd w:val="clear" w:color="auto" w:fill="auto"/>
            <w:vAlign w:val="bottom"/>
            <w:hideMark/>
          </w:tcPr>
          <w:p w14:paraId="1D59A49C" w14:textId="77777777" w:rsidR="00F753E8" w:rsidRPr="004D3513" w:rsidRDefault="00F753E8" w:rsidP="006E1769">
            <w:pPr>
              <w:jc w:val="center"/>
              <w:rPr>
                <w:rFonts w:ascii="Arial" w:hAnsi="Arial" w:cs="Arial"/>
                <w:color w:val="000000"/>
                <w:sz w:val="20"/>
                <w:szCs w:val="20"/>
              </w:rPr>
            </w:pPr>
            <w:r w:rsidRPr="004D3513">
              <w:rPr>
                <w:rFonts w:ascii="Arial" w:hAnsi="Arial" w:cs="Arial"/>
                <w:color w:val="000000"/>
                <w:sz w:val="20"/>
                <w:szCs w:val="20"/>
              </w:rPr>
              <w:t>Level 3</w:t>
            </w:r>
          </w:p>
        </w:tc>
        <w:tc>
          <w:tcPr>
            <w:tcW w:w="3684" w:type="dxa"/>
            <w:tcBorders>
              <w:top w:val="nil"/>
              <w:left w:val="nil"/>
              <w:bottom w:val="single" w:sz="4" w:space="0" w:color="auto"/>
              <w:right w:val="single" w:sz="4" w:space="0" w:color="auto"/>
            </w:tcBorders>
            <w:shd w:val="clear" w:color="auto" w:fill="auto"/>
            <w:vAlign w:val="bottom"/>
            <w:hideMark/>
          </w:tcPr>
          <w:p w14:paraId="130CC79F"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 xml:space="preserve">Enterprise value (EV) / Earnings Before Interest, Taxes, Depreciation &amp; Amortization (EBITDA) as their valuation methodology, using a basket of public and transaction </w:t>
            </w:r>
            <w:proofErr w:type="spellStart"/>
            <w:r w:rsidRPr="004D3513">
              <w:rPr>
                <w:rFonts w:ascii="Arial" w:hAnsi="Arial" w:cs="Arial"/>
                <w:color w:val="000000"/>
                <w:sz w:val="20"/>
                <w:szCs w:val="20"/>
              </w:rPr>
              <w:t>comparables</w:t>
            </w:r>
            <w:proofErr w:type="spellEnd"/>
            <w:r w:rsidRPr="004D3513">
              <w:rPr>
                <w:rFonts w:ascii="Arial" w:hAnsi="Arial" w:cs="Arial"/>
                <w:color w:val="000000"/>
                <w:sz w:val="20"/>
                <w:szCs w:val="20"/>
              </w:rPr>
              <w:t>.</w:t>
            </w:r>
          </w:p>
        </w:tc>
        <w:tc>
          <w:tcPr>
            <w:tcW w:w="2548" w:type="dxa"/>
            <w:tcBorders>
              <w:top w:val="nil"/>
              <w:left w:val="nil"/>
              <w:bottom w:val="single" w:sz="4" w:space="0" w:color="auto"/>
              <w:right w:val="single" w:sz="4" w:space="0" w:color="auto"/>
            </w:tcBorders>
            <w:shd w:val="clear" w:color="auto" w:fill="auto"/>
            <w:hideMark/>
          </w:tcPr>
          <w:p w14:paraId="6C52D528" w14:textId="77777777" w:rsidR="00F753E8" w:rsidRPr="004D3513" w:rsidRDefault="00F753E8" w:rsidP="006E1769">
            <w:pPr>
              <w:ind w:right="-110"/>
              <w:rPr>
                <w:rFonts w:ascii="Arial" w:hAnsi="Arial" w:cs="Arial"/>
                <w:color w:val="000000"/>
                <w:sz w:val="20"/>
                <w:szCs w:val="20"/>
              </w:rPr>
            </w:pPr>
            <w:r w:rsidRPr="004D3513">
              <w:rPr>
                <w:rFonts w:ascii="Arial" w:hAnsi="Arial" w:cs="Arial"/>
                <w:sz w:val="20"/>
                <w:szCs w:val="20"/>
              </w:rPr>
              <w:t>EV / EBITDA</w:t>
            </w:r>
          </w:p>
        </w:tc>
      </w:tr>
      <w:tr w:rsidR="00F753E8" w:rsidRPr="004D3513" w14:paraId="27363DBF" w14:textId="77777777" w:rsidTr="006E1769">
        <w:trPr>
          <w:trHeight w:val="77"/>
          <w:jc w:val="center"/>
        </w:trPr>
        <w:tc>
          <w:tcPr>
            <w:tcW w:w="1872" w:type="dxa"/>
            <w:tcBorders>
              <w:top w:val="nil"/>
              <w:left w:val="single" w:sz="4" w:space="0" w:color="auto"/>
              <w:bottom w:val="single" w:sz="4" w:space="0" w:color="auto"/>
              <w:right w:val="single" w:sz="4" w:space="0" w:color="auto"/>
            </w:tcBorders>
            <w:shd w:val="clear" w:color="000000" w:fill="FFFFFF"/>
            <w:noWrap/>
            <w:vAlign w:val="bottom"/>
            <w:hideMark/>
          </w:tcPr>
          <w:p w14:paraId="614FC994"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 xml:space="preserve">Other Investment - Private Equity </w:t>
            </w:r>
          </w:p>
        </w:tc>
        <w:tc>
          <w:tcPr>
            <w:tcW w:w="1141" w:type="dxa"/>
            <w:tcBorders>
              <w:top w:val="nil"/>
              <w:left w:val="nil"/>
              <w:bottom w:val="single" w:sz="4" w:space="0" w:color="auto"/>
              <w:right w:val="single" w:sz="4" w:space="0" w:color="auto"/>
            </w:tcBorders>
            <w:shd w:val="clear" w:color="auto" w:fill="auto"/>
            <w:vAlign w:val="bottom"/>
            <w:hideMark/>
          </w:tcPr>
          <w:p w14:paraId="4CF51692" w14:textId="77777777" w:rsidR="00F753E8" w:rsidRPr="004D3513" w:rsidRDefault="00F753E8" w:rsidP="006E1769">
            <w:pPr>
              <w:jc w:val="center"/>
              <w:rPr>
                <w:rFonts w:ascii="Arial" w:hAnsi="Arial" w:cs="Arial"/>
                <w:color w:val="000000"/>
                <w:sz w:val="20"/>
                <w:szCs w:val="20"/>
              </w:rPr>
            </w:pPr>
            <w:r w:rsidRPr="004D3513">
              <w:rPr>
                <w:rFonts w:ascii="Arial" w:hAnsi="Arial" w:cs="Arial"/>
                <w:color w:val="000000"/>
                <w:sz w:val="20"/>
                <w:szCs w:val="20"/>
              </w:rPr>
              <w:t>Level 3</w:t>
            </w:r>
          </w:p>
        </w:tc>
        <w:tc>
          <w:tcPr>
            <w:tcW w:w="3684" w:type="dxa"/>
            <w:tcBorders>
              <w:top w:val="nil"/>
              <w:left w:val="nil"/>
              <w:bottom w:val="single" w:sz="4" w:space="0" w:color="auto"/>
              <w:right w:val="single" w:sz="4" w:space="0" w:color="auto"/>
            </w:tcBorders>
            <w:shd w:val="clear" w:color="auto" w:fill="auto"/>
            <w:vAlign w:val="bottom"/>
            <w:hideMark/>
          </w:tcPr>
          <w:p w14:paraId="716FB6C7"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 xml:space="preserve">EV / EBITDA as their valuation methodology, using a basket of public and transaction </w:t>
            </w:r>
            <w:proofErr w:type="spellStart"/>
            <w:r w:rsidRPr="004D3513">
              <w:rPr>
                <w:rFonts w:ascii="Arial" w:hAnsi="Arial" w:cs="Arial"/>
                <w:color w:val="000000"/>
                <w:sz w:val="20"/>
                <w:szCs w:val="20"/>
              </w:rPr>
              <w:t>comparables</w:t>
            </w:r>
            <w:proofErr w:type="spellEnd"/>
            <w:r w:rsidRPr="004D3513">
              <w:rPr>
                <w:rFonts w:ascii="Arial" w:hAnsi="Arial" w:cs="Arial"/>
                <w:color w:val="000000"/>
                <w:sz w:val="20"/>
                <w:szCs w:val="20"/>
              </w:rPr>
              <w:t>.</w:t>
            </w:r>
          </w:p>
        </w:tc>
        <w:tc>
          <w:tcPr>
            <w:tcW w:w="2548" w:type="dxa"/>
            <w:tcBorders>
              <w:top w:val="nil"/>
              <w:left w:val="nil"/>
              <w:bottom w:val="single" w:sz="4" w:space="0" w:color="auto"/>
              <w:right w:val="single" w:sz="4" w:space="0" w:color="auto"/>
            </w:tcBorders>
            <w:shd w:val="clear" w:color="auto" w:fill="auto"/>
            <w:hideMark/>
          </w:tcPr>
          <w:p w14:paraId="65C3E507" w14:textId="77777777" w:rsidR="00F753E8" w:rsidRPr="004D3513" w:rsidRDefault="00F753E8" w:rsidP="006E1769">
            <w:pPr>
              <w:ind w:right="-110"/>
              <w:rPr>
                <w:rFonts w:ascii="Arial" w:hAnsi="Arial" w:cs="Arial"/>
                <w:color w:val="000000"/>
                <w:sz w:val="20"/>
                <w:szCs w:val="20"/>
              </w:rPr>
            </w:pPr>
            <w:r w:rsidRPr="004D3513">
              <w:rPr>
                <w:rFonts w:ascii="Arial" w:hAnsi="Arial" w:cs="Arial"/>
                <w:sz w:val="20"/>
                <w:szCs w:val="20"/>
              </w:rPr>
              <w:t>EV / EBITDA</w:t>
            </w:r>
          </w:p>
        </w:tc>
      </w:tr>
      <w:tr w:rsidR="00F753E8" w:rsidRPr="004D3513" w14:paraId="76BD62D3" w14:textId="77777777" w:rsidTr="006E1769">
        <w:trPr>
          <w:trHeight w:val="77"/>
          <w:jc w:val="center"/>
        </w:trPr>
        <w:tc>
          <w:tcPr>
            <w:tcW w:w="1872" w:type="dxa"/>
            <w:tcBorders>
              <w:top w:val="nil"/>
              <w:left w:val="single" w:sz="4" w:space="0" w:color="auto"/>
              <w:bottom w:val="single" w:sz="4" w:space="0" w:color="auto"/>
              <w:right w:val="single" w:sz="4" w:space="0" w:color="auto"/>
            </w:tcBorders>
            <w:shd w:val="clear" w:color="000000" w:fill="FFFFFF"/>
            <w:noWrap/>
            <w:vAlign w:val="bottom"/>
            <w:hideMark/>
          </w:tcPr>
          <w:p w14:paraId="66EB9A0E"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 xml:space="preserve">Other Investment - Hedge Funds </w:t>
            </w:r>
          </w:p>
        </w:tc>
        <w:tc>
          <w:tcPr>
            <w:tcW w:w="1141" w:type="dxa"/>
            <w:tcBorders>
              <w:top w:val="nil"/>
              <w:left w:val="nil"/>
              <w:bottom w:val="single" w:sz="4" w:space="0" w:color="auto"/>
              <w:right w:val="single" w:sz="4" w:space="0" w:color="auto"/>
            </w:tcBorders>
            <w:shd w:val="clear" w:color="auto" w:fill="auto"/>
            <w:vAlign w:val="bottom"/>
            <w:hideMark/>
          </w:tcPr>
          <w:p w14:paraId="77820AD6" w14:textId="77777777" w:rsidR="00F753E8" w:rsidRPr="004D3513" w:rsidRDefault="00F753E8" w:rsidP="006E1769">
            <w:pPr>
              <w:jc w:val="center"/>
              <w:rPr>
                <w:rFonts w:ascii="Arial" w:hAnsi="Arial" w:cs="Arial"/>
                <w:color w:val="000000"/>
                <w:sz w:val="20"/>
                <w:szCs w:val="20"/>
              </w:rPr>
            </w:pPr>
            <w:r w:rsidRPr="004D3513">
              <w:rPr>
                <w:rFonts w:ascii="Arial" w:hAnsi="Arial" w:cs="Arial"/>
                <w:color w:val="000000"/>
                <w:sz w:val="20"/>
                <w:szCs w:val="20"/>
              </w:rPr>
              <w:t>Level 3</w:t>
            </w:r>
          </w:p>
        </w:tc>
        <w:tc>
          <w:tcPr>
            <w:tcW w:w="3684" w:type="dxa"/>
            <w:tcBorders>
              <w:top w:val="nil"/>
              <w:left w:val="nil"/>
              <w:bottom w:val="single" w:sz="4" w:space="0" w:color="auto"/>
              <w:right w:val="single" w:sz="4" w:space="0" w:color="auto"/>
            </w:tcBorders>
            <w:shd w:val="clear" w:color="auto" w:fill="auto"/>
            <w:vAlign w:val="bottom"/>
            <w:hideMark/>
          </w:tcPr>
          <w:p w14:paraId="52E6A854" w14:textId="77777777" w:rsidR="00F753E8" w:rsidRPr="004D3513" w:rsidRDefault="00F753E8" w:rsidP="006E1769">
            <w:pPr>
              <w:rPr>
                <w:rFonts w:ascii="Arial" w:hAnsi="Arial" w:cs="Arial"/>
                <w:color w:val="000000"/>
                <w:sz w:val="20"/>
                <w:szCs w:val="20"/>
              </w:rPr>
            </w:pPr>
            <w:r w:rsidRPr="004D3513">
              <w:rPr>
                <w:rFonts w:ascii="Arial" w:hAnsi="Arial" w:cs="Arial"/>
                <w:sz w:val="20"/>
                <w:szCs w:val="20"/>
              </w:rPr>
              <w:t xml:space="preserve">Underlying assets publicly traded securities (equities, bonds) where pricing is readily available from providers </w:t>
            </w:r>
            <w:proofErr w:type="gramStart"/>
            <w:r w:rsidRPr="004D3513">
              <w:rPr>
                <w:rFonts w:ascii="Arial" w:hAnsi="Arial" w:cs="Arial"/>
                <w:sz w:val="20"/>
                <w:szCs w:val="20"/>
              </w:rPr>
              <w:t>i.e.</w:t>
            </w:r>
            <w:proofErr w:type="gramEnd"/>
            <w:r w:rsidRPr="004D3513">
              <w:rPr>
                <w:rFonts w:ascii="Arial" w:hAnsi="Arial" w:cs="Arial"/>
                <w:sz w:val="20"/>
                <w:szCs w:val="20"/>
              </w:rPr>
              <w:t xml:space="preserve"> Bloomberg or Reuters.</w:t>
            </w:r>
          </w:p>
        </w:tc>
        <w:tc>
          <w:tcPr>
            <w:tcW w:w="2548" w:type="dxa"/>
            <w:tcBorders>
              <w:top w:val="nil"/>
              <w:left w:val="nil"/>
              <w:bottom w:val="single" w:sz="4" w:space="0" w:color="auto"/>
              <w:right w:val="single" w:sz="4" w:space="0" w:color="auto"/>
            </w:tcBorders>
            <w:shd w:val="clear" w:color="auto" w:fill="auto"/>
            <w:hideMark/>
          </w:tcPr>
          <w:p w14:paraId="75D490A1" w14:textId="77777777" w:rsidR="00F753E8" w:rsidRPr="004D3513" w:rsidRDefault="00F753E8" w:rsidP="006E1769">
            <w:pPr>
              <w:rPr>
                <w:rFonts w:ascii="Arial" w:hAnsi="Arial" w:cs="Arial"/>
                <w:color w:val="000000"/>
                <w:sz w:val="20"/>
                <w:szCs w:val="20"/>
              </w:rPr>
            </w:pPr>
            <w:r w:rsidRPr="004D3513">
              <w:rPr>
                <w:rFonts w:ascii="Arial" w:hAnsi="Arial" w:cs="Arial"/>
                <w:sz w:val="20"/>
                <w:szCs w:val="20"/>
              </w:rPr>
              <w:t>Valuations affected by any changes to value of the financial instrument being hedged against.</w:t>
            </w:r>
          </w:p>
        </w:tc>
      </w:tr>
    </w:tbl>
    <w:p w14:paraId="5A85400C" w14:textId="77777777" w:rsidR="00F753E8" w:rsidRPr="008A0A4E" w:rsidRDefault="00F753E8" w:rsidP="00F753E8">
      <w:pPr>
        <w:pStyle w:val="BodyTextIndent2"/>
        <w:spacing w:after="0" w:line="240" w:lineRule="auto"/>
        <w:ind w:left="0"/>
        <w:jc w:val="both"/>
        <w:rPr>
          <w:rFonts w:ascii="Arial" w:hAnsi="Arial" w:cs="Arial"/>
          <w:b/>
          <w:sz w:val="22"/>
          <w:szCs w:val="22"/>
        </w:rPr>
      </w:pPr>
    </w:p>
    <w:p w14:paraId="44F6EEE4" w14:textId="77777777" w:rsidR="00F753E8" w:rsidRPr="008A0A4E" w:rsidRDefault="00F753E8" w:rsidP="00F753E8">
      <w:pPr>
        <w:pStyle w:val="BodyTextIndent2"/>
        <w:tabs>
          <w:tab w:val="left" w:pos="567"/>
        </w:tabs>
        <w:spacing w:after="0" w:line="240" w:lineRule="auto"/>
        <w:ind w:left="426"/>
        <w:jc w:val="both"/>
        <w:rPr>
          <w:rFonts w:ascii="Arial" w:hAnsi="Arial" w:cs="Arial"/>
          <w:b/>
          <w:sz w:val="22"/>
          <w:szCs w:val="22"/>
        </w:rPr>
      </w:pPr>
      <w:r w:rsidRPr="008A0A4E">
        <w:rPr>
          <w:rFonts w:ascii="Arial" w:hAnsi="Arial" w:cs="Arial"/>
          <w:b/>
          <w:sz w:val="22"/>
          <w:szCs w:val="22"/>
        </w:rPr>
        <w:t>Sensitivity of assets valued at Level 3</w:t>
      </w:r>
    </w:p>
    <w:p w14:paraId="50377532" w14:textId="77777777" w:rsidR="00F753E8" w:rsidRPr="008A0A4E" w:rsidRDefault="00F753E8" w:rsidP="00F753E8">
      <w:pPr>
        <w:pStyle w:val="BodyTextIndent2"/>
        <w:tabs>
          <w:tab w:val="left" w:pos="567"/>
        </w:tabs>
        <w:spacing w:after="0" w:line="240" w:lineRule="auto"/>
        <w:ind w:left="426"/>
        <w:jc w:val="both"/>
        <w:rPr>
          <w:rFonts w:ascii="Arial" w:hAnsi="Arial" w:cs="Arial"/>
          <w:b/>
          <w:sz w:val="22"/>
          <w:szCs w:val="22"/>
        </w:rPr>
      </w:pPr>
    </w:p>
    <w:p w14:paraId="7A97ED3B" w14:textId="77777777" w:rsidR="00F753E8" w:rsidRPr="00130C46" w:rsidRDefault="00F753E8" w:rsidP="00F753E8">
      <w:pPr>
        <w:pStyle w:val="BodyTextIndent2"/>
        <w:tabs>
          <w:tab w:val="left" w:pos="567"/>
        </w:tabs>
        <w:spacing w:after="0" w:line="240" w:lineRule="auto"/>
        <w:ind w:left="426"/>
        <w:jc w:val="both"/>
        <w:rPr>
          <w:rFonts w:ascii="Arial" w:hAnsi="Arial" w:cs="Arial"/>
          <w:sz w:val="22"/>
          <w:szCs w:val="22"/>
        </w:rPr>
      </w:pPr>
      <w:r w:rsidRPr="008A0A4E">
        <w:rPr>
          <w:rFonts w:ascii="Arial" w:hAnsi="Arial" w:cs="Arial"/>
          <w:sz w:val="22"/>
          <w:szCs w:val="22"/>
        </w:rPr>
        <w:t xml:space="preserve">Having analysed historical data and current market trends, and consulted with independent investment advisors, the fund has determined that the valuation methods described above are likely to be accurate to within the following ranges, and has set out below the consequent potential impact on the closing value of investments held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202</w:t>
      </w:r>
      <w:r>
        <w:rPr>
          <w:rFonts w:ascii="Arial" w:hAnsi="Arial" w:cs="Arial"/>
          <w:sz w:val="22"/>
          <w:szCs w:val="22"/>
        </w:rPr>
        <w:t>2</w:t>
      </w:r>
      <w:r w:rsidRPr="008A0A4E">
        <w:rPr>
          <w:rFonts w:ascii="Arial" w:hAnsi="Arial" w:cs="Arial"/>
          <w:sz w:val="22"/>
          <w:szCs w:val="22"/>
        </w:rPr>
        <w:t>.</w:t>
      </w:r>
    </w:p>
    <w:p w14:paraId="3174EA1E" w14:textId="77777777" w:rsidR="00F753E8" w:rsidRPr="008A0A4E" w:rsidRDefault="00F753E8" w:rsidP="00F753E8">
      <w:pPr>
        <w:pStyle w:val="BodyTextIndent2"/>
        <w:spacing w:after="0" w:line="240" w:lineRule="auto"/>
        <w:ind w:left="284"/>
        <w:jc w:val="both"/>
        <w:rPr>
          <w:rFonts w:ascii="Arial" w:hAnsi="Arial" w:cs="Arial"/>
          <w:b/>
          <w:sz w:val="22"/>
          <w:szCs w:val="22"/>
        </w:rPr>
      </w:pPr>
    </w:p>
    <w:tbl>
      <w:tblPr>
        <w:tblW w:w="8847" w:type="dxa"/>
        <w:jc w:val="center"/>
        <w:tblLook w:val="04A0" w:firstRow="1" w:lastRow="0" w:firstColumn="1" w:lastColumn="0" w:noHBand="0" w:noVBand="1"/>
      </w:tblPr>
      <w:tblGrid>
        <w:gridCol w:w="3539"/>
        <w:gridCol w:w="1253"/>
        <w:gridCol w:w="1440"/>
        <w:gridCol w:w="1134"/>
        <w:gridCol w:w="1481"/>
      </w:tblGrid>
      <w:tr w:rsidR="00F753E8" w:rsidRPr="00B64150" w14:paraId="1EFD4B35" w14:textId="77777777" w:rsidTr="006E1769">
        <w:trPr>
          <w:trHeight w:val="362"/>
          <w:jc w:val="center"/>
        </w:trPr>
        <w:tc>
          <w:tcPr>
            <w:tcW w:w="35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65A23"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Description of asset</w:t>
            </w:r>
          </w:p>
        </w:tc>
        <w:tc>
          <w:tcPr>
            <w:tcW w:w="1253" w:type="dxa"/>
            <w:tcBorders>
              <w:top w:val="single" w:sz="4" w:space="0" w:color="auto"/>
              <w:left w:val="nil"/>
              <w:bottom w:val="single" w:sz="4" w:space="0" w:color="auto"/>
              <w:right w:val="single" w:sz="4" w:space="0" w:color="auto"/>
            </w:tcBorders>
            <w:shd w:val="clear" w:color="auto" w:fill="auto"/>
            <w:vAlign w:val="center"/>
            <w:hideMark/>
          </w:tcPr>
          <w:p w14:paraId="3EFCD75E"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Assessed</w:t>
            </w:r>
            <w:r w:rsidRPr="008A0A4E">
              <w:rPr>
                <w:rFonts w:ascii="Arial" w:hAnsi="Arial" w:cs="Arial"/>
                <w:b/>
                <w:bCs/>
                <w:color w:val="000000"/>
                <w:sz w:val="22"/>
                <w:szCs w:val="22"/>
              </w:rPr>
              <w:br/>
              <w:t>valuation range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4DF054C"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Value at 31</w:t>
            </w:r>
            <w:r w:rsidRPr="008A0A4E">
              <w:rPr>
                <w:rFonts w:ascii="Arial" w:hAnsi="Arial" w:cs="Arial"/>
                <w:b/>
                <w:bCs/>
                <w:color w:val="000000"/>
                <w:sz w:val="22"/>
                <w:szCs w:val="22"/>
              </w:rPr>
              <w:br/>
              <w:t>March 202</w:t>
            </w:r>
            <w:r>
              <w:rPr>
                <w:rFonts w:ascii="Arial" w:hAnsi="Arial" w:cs="Arial"/>
                <w:b/>
                <w:bCs/>
                <w:color w:val="000000"/>
                <w:sz w:val="22"/>
                <w:szCs w:val="22"/>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DAE768"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Value on Increase</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14:paraId="3AEC86D4"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Value on Decrease</w:t>
            </w:r>
          </w:p>
        </w:tc>
      </w:tr>
      <w:tr w:rsidR="00F753E8" w:rsidRPr="00B64150" w14:paraId="624C466F" w14:textId="77777777" w:rsidTr="006E1769">
        <w:trPr>
          <w:trHeight w:val="51"/>
          <w:jc w:val="center"/>
        </w:trPr>
        <w:tc>
          <w:tcPr>
            <w:tcW w:w="3539" w:type="dxa"/>
            <w:tcBorders>
              <w:top w:val="nil"/>
              <w:left w:val="single" w:sz="4" w:space="0" w:color="auto"/>
              <w:bottom w:val="single" w:sz="4" w:space="0" w:color="auto"/>
              <w:right w:val="single" w:sz="4" w:space="0" w:color="auto"/>
            </w:tcBorders>
            <w:shd w:val="clear" w:color="auto" w:fill="auto"/>
            <w:vAlign w:val="center"/>
          </w:tcPr>
          <w:p w14:paraId="763B0213" w14:textId="77777777" w:rsidR="00F753E8" w:rsidRPr="008A0A4E" w:rsidRDefault="00F753E8" w:rsidP="006E1769">
            <w:pPr>
              <w:jc w:val="center"/>
              <w:rPr>
                <w:rFonts w:ascii="Arial" w:hAnsi="Arial" w:cs="Arial"/>
                <w:b/>
                <w:color w:val="000000"/>
                <w:sz w:val="22"/>
                <w:szCs w:val="22"/>
              </w:rPr>
            </w:pPr>
          </w:p>
        </w:tc>
        <w:tc>
          <w:tcPr>
            <w:tcW w:w="1253" w:type="dxa"/>
            <w:tcBorders>
              <w:top w:val="nil"/>
              <w:left w:val="nil"/>
              <w:bottom w:val="single" w:sz="4" w:space="0" w:color="auto"/>
              <w:right w:val="single" w:sz="4" w:space="0" w:color="auto"/>
            </w:tcBorders>
            <w:shd w:val="clear" w:color="auto" w:fill="auto"/>
            <w:vAlign w:val="center"/>
          </w:tcPr>
          <w:p w14:paraId="50CB7A3A" w14:textId="77777777" w:rsidR="00F753E8" w:rsidRPr="008A0A4E" w:rsidRDefault="00F753E8" w:rsidP="006E1769">
            <w:pPr>
              <w:jc w:val="center"/>
              <w:rPr>
                <w:rFonts w:ascii="Arial" w:hAnsi="Arial" w:cs="Arial"/>
                <w:b/>
                <w:color w:val="000000"/>
                <w:sz w:val="22"/>
                <w:szCs w:val="22"/>
              </w:rPr>
            </w:pPr>
            <w:r w:rsidRPr="008A0A4E">
              <w:rPr>
                <w:rFonts w:ascii="Arial" w:hAnsi="Arial" w:cs="Arial"/>
                <w:b/>
                <w:color w:val="000000"/>
                <w:sz w:val="22"/>
                <w:szCs w:val="22"/>
              </w:rPr>
              <w:t>%</w:t>
            </w:r>
          </w:p>
        </w:tc>
        <w:tc>
          <w:tcPr>
            <w:tcW w:w="1440" w:type="dxa"/>
            <w:tcBorders>
              <w:top w:val="nil"/>
              <w:left w:val="nil"/>
              <w:bottom w:val="single" w:sz="4" w:space="0" w:color="auto"/>
              <w:right w:val="single" w:sz="4" w:space="0" w:color="auto"/>
            </w:tcBorders>
            <w:shd w:val="clear" w:color="auto" w:fill="auto"/>
          </w:tcPr>
          <w:p w14:paraId="291CEF7E" w14:textId="77777777" w:rsidR="00F753E8" w:rsidRPr="008A0A4E" w:rsidRDefault="00F753E8" w:rsidP="006E1769">
            <w:pPr>
              <w:jc w:val="center"/>
              <w:rPr>
                <w:rFonts w:ascii="Arial" w:hAnsi="Arial" w:cs="Arial"/>
                <w:b/>
                <w:sz w:val="22"/>
                <w:szCs w:val="22"/>
              </w:rPr>
            </w:pPr>
            <w:r w:rsidRPr="008A0A4E">
              <w:rPr>
                <w:rFonts w:ascii="Arial" w:hAnsi="Arial" w:cs="Arial"/>
                <w:b/>
                <w:sz w:val="22"/>
                <w:szCs w:val="22"/>
              </w:rPr>
              <w:t>£000s</w:t>
            </w:r>
          </w:p>
        </w:tc>
        <w:tc>
          <w:tcPr>
            <w:tcW w:w="1134" w:type="dxa"/>
            <w:tcBorders>
              <w:top w:val="nil"/>
              <w:left w:val="nil"/>
              <w:bottom w:val="single" w:sz="4" w:space="0" w:color="auto"/>
              <w:right w:val="single" w:sz="4" w:space="0" w:color="auto"/>
            </w:tcBorders>
            <w:shd w:val="clear" w:color="auto" w:fill="auto"/>
          </w:tcPr>
          <w:p w14:paraId="561C883E" w14:textId="77777777" w:rsidR="00F753E8" w:rsidRPr="008A0A4E" w:rsidRDefault="00F753E8" w:rsidP="006E1769">
            <w:pPr>
              <w:jc w:val="center"/>
              <w:rPr>
                <w:rFonts w:ascii="Arial" w:hAnsi="Arial" w:cs="Arial"/>
                <w:b/>
                <w:sz w:val="22"/>
                <w:szCs w:val="22"/>
              </w:rPr>
            </w:pPr>
            <w:r w:rsidRPr="008A0A4E">
              <w:rPr>
                <w:rFonts w:ascii="Arial" w:hAnsi="Arial" w:cs="Arial"/>
                <w:b/>
                <w:sz w:val="22"/>
                <w:szCs w:val="22"/>
              </w:rPr>
              <w:t>£000s</w:t>
            </w:r>
          </w:p>
        </w:tc>
        <w:tc>
          <w:tcPr>
            <w:tcW w:w="1481" w:type="dxa"/>
            <w:tcBorders>
              <w:top w:val="nil"/>
              <w:left w:val="nil"/>
              <w:bottom w:val="single" w:sz="4" w:space="0" w:color="auto"/>
              <w:right w:val="single" w:sz="4" w:space="0" w:color="auto"/>
            </w:tcBorders>
            <w:shd w:val="clear" w:color="auto" w:fill="auto"/>
            <w:noWrap/>
          </w:tcPr>
          <w:p w14:paraId="1FA399B4" w14:textId="77777777" w:rsidR="00F753E8" w:rsidRPr="008A0A4E" w:rsidRDefault="00F753E8" w:rsidP="006E1769">
            <w:pPr>
              <w:jc w:val="center"/>
              <w:rPr>
                <w:rFonts w:ascii="Arial" w:hAnsi="Arial" w:cs="Arial"/>
                <w:b/>
                <w:sz w:val="22"/>
                <w:szCs w:val="22"/>
              </w:rPr>
            </w:pPr>
            <w:r w:rsidRPr="008A0A4E">
              <w:rPr>
                <w:rFonts w:ascii="Arial" w:hAnsi="Arial" w:cs="Arial"/>
                <w:b/>
                <w:sz w:val="22"/>
                <w:szCs w:val="22"/>
              </w:rPr>
              <w:t>£000s</w:t>
            </w:r>
          </w:p>
        </w:tc>
      </w:tr>
      <w:tr w:rsidR="00F753E8" w:rsidRPr="00B64150" w14:paraId="2F11A059" w14:textId="77777777" w:rsidTr="006E1769">
        <w:trPr>
          <w:trHeight w:val="51"/>
          <w:jc w:val="center"/>
        </w:trPr>
        <w:tc>
          <w:tcPr>
            <w:tcW w:w="3539" w:type="dxa"/>
            <w:tcBorders>
              <w:top w:val="nil"/>
              <w:left w:val="single" w:sz="4" w:space="0" w:color="auto"/>
              <w:bottom w:val="single" w:sz="4" w:space="0" w:color="auto"/>
              <w:right w:val="single" w:sz="4" w:space="0" w:color="auto"/>
            </w:tcBorders>
            <w:shd w:val="clear" w:color="auto" w:fill="auto"/>
            <w:vAlign w:val="center"/>
            <w:hideMark/>
          </w:tcPr>
          <w:p w14:paraId="23370B6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Property Unit Trust</w:t>
            </w:r>
          </w:p>
        </w:tc>
        <w:tc>
          <w:tcPr>
            <w:tcW w:w="1253" w:type="dxa"/>
            <w:tcBorders>
              <w:top w:val="nil"/>
              <w:left w:val="nil"/>
              <w:bottom w:val="single" w:sz="4" w:space="0" w:color="auto"/>
              <w:right w:val="single" w:sz="4" w:space="0" w:color="auto"/>
            </w:tcBorders>
            <w:shd w:val="clear" w:color="auto" w:fill="auto"/>
            <w:vAlign w:val="center"/>
            <w:hideMark/>
          </w:tcPr>
          <w:p w14:paraId="11BE6583" w14:textId="77777777" w:rsidR="00F753E8" w:rsidRPr="008E6013" w:rsidRDefault="00F753E8" w:rsidP="006E1769">
            <w:pPr>
              <w:jc w:val="center"/>
              <w:rPr>
                <w:rFonts w:ascii="Arial" w:hAnsi="Arial" w:cs="Arial"/>
                <w:color w:val="000000"/>
                <w:sz w:val="22"/>
                <w:szCs w:val="22"/>
              </w:rPr>
            </w:pPr>
            <w:r w:rsidRPr="008E6013">
              <w:rPr>
                <w:rFonts w:ascii="Arial" w:hAnsi="Arial" w:cs="Arial"/>
                <w:color w:val="000000"/>
                <w:sz w:val="22"/>
                <w:szCs w:val="22"/>
              </w:rPr>
              <w:t>10</w:t>
            </w:r>
          </w:p>
        </w:tc>
        <w:tc>
          <w:tcPr>
            <w:tcW w:w="1440" w:type="dxa"/>
            <w:tcBorders>
              <w:top w:val="nil"/>
              <w:left w:val="nil"/>
              <w:bottom w:val="single" w:sz="8" w:space="0" w:color="auto"/>
              <w:right w:val="single" w:sz="8" w:space="0" w:color="auto"/>
            </w:tcBorders>
            <w:shd w:val="clear" w:color="000000" w:fill="FFFFFF"/>
            <w:vAlign w:val="center"/>
          </w:tcPr>
          <w:p w14:paraId="5049114E"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62,413</w:t>
            </w:r>
          </w:p>
        </w:tc>
        <w:tc>
          <w:tcPr>
            <w:tcW w:w="1134" w:type="dxa"/>
            <w:tcBorders>
              <w:top w:val="nil"/>
              <w:left w:val="nil"/>
              <w:bottom w:val="single" w:sz="8" w:space="0" w:color="auto"/>
              <w:right w:val="single" w:sz="8" w:space="0" w:color="auto"/>
            </w:tcBorders>
            <w:shd w:val="clear" w:color="000000" w:fill="FFFFFF"/>
            <w:vAlign w:val="center"/>
          </w:tcPr>
          <w:p w14:paraId="1E29B873"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68,654</w:t>
            </w:r>
          </w:p>
        </w:tc>
        <w:tc>
          <w:tcPr>
            <w:tcW w:w="1481" w:type="dxa"/>
            <w:tcBorders>
              <w:top w:val="nil"/>
              <w:left w:val="nil"/>
              <w:bottom w:val="single" w:sz="8" w:space="0" w:color="auto"/>
              <w:right w:val="single" w:sz="8" w:space="0" w:color="auto"/>
            </w:tcBorders>
            <w:shd w:val="clear" w:color="000000" w:fill="FFFFFF"/>
            <w:noWrap/>
            <w:vAlign w:val="center"/>
          </w:tcPr>
          <w:p w14:paraId="4195E8D2"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56,172</w:t>
            </w:r>
          </w:p>
        </w:tc>
      </w:tr>
      <w:tr w:rsidR="00F753E8" w:rsidRPr="00B64150" w14:paraId="58A53249" w14:textId="77777777" w:rsidTr="006E1769">
        <w:trPr>
          <w:trHeight w:val="172"/>
          <w:jc w:val="center"/>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52414AED"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 Other Investment - Infrastructure </w:t>
            </w:r>
          </w:p>
        </w:tc>
        <w:tc>
          <w:tcPr>
            <w:tcW w:w="1253" w:type="dxa"/>
            <w:tcBorders>
              <w:top w:val="nil"/>
              <w:left w:val="nil"/>
              <w:bottom w:val="single" w:sz="4" w:space="0" w:color="auto"/>
              <w:right w:val="single" w:sz="4" w:space="0" w:color="auto"/>
            </w:tcBorders>
            <w:shd w:val="clear" w:color="auto" w:fill="auto"/>
            <w:vAlign w:val="center"/>
            <w:hideMark/>
          </w:tcPr>
          <w:p w14:paraId="2DE442B6" w14:textId="77777777" w:rsidR="00F753E8" w:rsidRPr="008E6013" w:rsidRDefault="00F753E8" w:rsidP="006E1769">
            <w:pPr>
              <w:jc w:val="center"/>
              <w:rPr>
                <w:rFonts w:ascii="Arial" w:hAnsi="Arial" w:cs="Arial"/>
                <w:color w:val="000000"/>
                <w:sz w:val="22"/>
                <w:szCs w:val="22"/>
              </w:rPr>
            </w:pPr>
            <w:r w:rsidRPr="008E6013">
              <w:rPr>
                <w:rFonts w:ascii="Arial" w:hAnsi="Arial" w:cs="Arial"/>
                <w:color w:val="000000"/>
                <w:sz w:val="22"/>
                <w:szCs w:val="22"/>
              </w:rPr>
              <w:t>15</w:t>
            </w:r>
          </w:p>
        </w:tc>
        <w:tc>
          <w:tcPr>
            <w:tcW w:w="1440" w:type="dxa"/>
            <w:tcBorders>
              <w:top w:val="nil"/>
              <w:left w:val="nil"/>
              <w:bottom w:val="single" w:sz="8" w:space="0" w:color="auto"/>
              <w:right w:val="single" w:sz="8" w:space="0" w:color="auto"/>
            </w:tcBorders>
            <w:shd w:val="clear" w:color="000000" w:fill="FFFFFF"/>
            <w:vAlign w:val="center"/>
          </w:tcPr>
          <w:p w14:paraId="28E00713"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104,150</w:t>
            </w:r>
          </w:p>
        </w:tc>
        <w:tc>
          <w:tcPr>
            <w:tcW w:w="1134" w:type="dxa"/>
            <w:tcBorders>
              <w:top w:val="nil"/>
              <w:left w:val="nil"/>
              <w:bottom w:val="single" w:sz="8" w:space="0" w:color="auto"/>
              <w:right w:val="single" w:sz="8" w:space="0" w:color="auto"/>
            </w:tcBorders>
            <w:shd w:val="clear" w:color="000000" w:fill="FFFFFF"/>
            <w:vAlign w:val="center"/>
          </w:tcPr>
          <w:p w14:paraId="357C3E44"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119,772</w:t>
            </w:r>
          </w:p>
        </w:tc>
        <w:tc>
          <w:tcPr>
            <w:tcW w:w="1481" w:type="dxa"/>
            <w:tcBorders>
              <w:top w:val="nil"/>
              <w:left w:val="nil"/>
              <w:bottom w:val="single" w:sz="8" w:space="0" w:color="auto"/>
              <w:right w:val="single" w:sz="8" w:space="0" w:color="auto"/>
            </w:tcBorders>
            <w:shd w:val="clear" w:color="000000" w:fill="FFFFFF"/>
            <w:noWrap/>
            <w:vAlign w:val="center"/>
          </w:tcPr>
          <w:p w14:paraId="7A6D92C9"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88,527</w:t>
            </w:r>
          </w:p>
        </w:tc>
      </w:tr>
      <w:tr w:rsidR="00F753E8" w:rsidRPr="00B64150" w14:paraId="08DE3181" w14:textId="77777777" w:rsidTr="006E1769">
        <w:trPr>
          <w:trHeight w:val="172"/>
          <w:jc w:val="center"/>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548711BB"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 Other Investment - Private Equity </w:t>
            </w:r>
          </w:p>
        </w:tc>
        <w:tc>
          <w:tcPr>
            <w:tcW w:w="1253" w:type="dxa"/>
            <w:tcBorders>
              <w:top w:val="nil"/>
              <w:left w:val="nil"/>
              <w:bottom w:val="single" w:sz="4" w:space="0" w:color="auto"/>
              <w:right w:val="single" w:sz="4" w:space="0" w:color="auto"/>
            </w:tcBorders>
            <w:shd w:val="clear" w:color="auto" w:fill="auto"/>
            <w:vAlign w:val="center"/>
            <w:hideMark/>
          </w:tcPr>
          <w:p w14:paraId="5CC00C66" w14:textId="77777777" w:rsidR="00F753E8" w:rsidRPr="008E6013" w:rsidRDefault="00F753E8" w:rsidP="006E1769">
            <w:pPr>
              <w:jc w:val="center"/>
              <w:rPr>
                <w:rFonts w:ascii="Arial" w:hAnsi="Arial" w:cs="Arial"/>
                <w:color w:val="000000"/>
                <w:sz w:val="22"/>
                <w:szCs w:val="22"/>
              </w:rPr>
            </w:pPr>
            <w:r w:rsidRPr="008E6013">
              <w:rPr>
                <w:rFonts w:ascii="Arial" w:hAnsi="Arial" w:cs="Arial"/>
                <w:color w:val="000000"/>
                <w:sz w:val="22"/>
                <w:szCs w:val="22"/>
              </w:rPr>
              <w:t>15</w:t>
            </w:r>
          </w:p>
        </w:tc>
        <w:tc>
          <w:tcPr>
            <w:tcW w:w="1440" w:type="dxa"/>
            <w:tcBorders>
              <w:top w:val="nil"/>
              <w:left w:val="nil"/>
              <w:bottom w:val="single" w:sz="8" w:space="0" w:color="auto"/>
              <w:right w:val="single" w:sz="8" w:space="0" w:color="auto"/>
            </w:tcBorders>
            <w:shd w:val="clear" w:color="000000" w:fill="FFFFFF"/>
            <w:vAlign w:val="center"/>
          </w:tcPr>
          <w:p w14:paraId="4EA87A3F"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78,842</w:t>
            </w:r>
          </w:p>
        </w:tc>
        <w:tc>
          <w:tcPr>
            <w:tcW w:w="1134" w:type="dxa"/>
            <w:tcBorders>
              <w:top w:val="nil"/>
              <w:left w:val="nil"/>
              <w:bottom w:val="single" w:sz="8" w:space="0" w:color="auto"/>
              <w:right w:val="single" w:sz="8" w:space="0" w:color="auto"/>
            </w:tcBorders>
            <w:shd w:val="clear" w:color="000000" w:fill="FFFFFF"/>
            <w:vAlign w:val="center"/>
          </w:tcPr>
          <w:p w14:paraId="3066B0E2"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90,668</w:t>
            </w:r>
          </w:p>
        </w:tc>
        <w:tc>
          <w:tcPr>
            <w:tcW w:w="1481" w:type="dxa"/>
            <w:tcBorders>
              <w:top w:val="nil"/>
              <w:left w:val="nil"/>
              <w:bottom w:val="single" w:sz="8" w:space="0" w:color="auto"/>
              <w:right w:val="single" w:sz="8" w:space="0" w:color="auto"/>
            </w:tcBorders>
            <w:shd w:val="clear" w:color="000000" w:fill="FFFFFF"/>
            <w:noWrap/>
            <w:vAlign w:val="center"/>
          </w:tcPr>
          <w:p w14:paraId="6E9C9A73"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67,016</w:t>
            </w:r>
          </w:p>
        </w:tc>
      </w:tr>
      <w:tr w:rsidR="00F753E8" w:rsidRPr="00B64150" w14:paraId="1FE442D5" w14:textId="77777777" w:rsidTr="006E1769">
        <w:trPr>
          <w:trHeight w:val="172"/>
          <w:jc w:val="center"/>
        </w:trPr>
        <w:tc>
          <w:tcPr>
            <w:tcW w:w="3539" w:type="dxa"/>
            <w:tcBorders>
              <w:top w:val="nil"/>
              <w:left w:val="single" w:sz="4" w:space="0" w:color="auto"/>
              <w:bottom w:val="single" w:sz="4" w:space="0" w:color="auto"/>
              <w:right w:val="single" w:sz="4" w:space="0" w:color="auto"/>
            </w:tcBorders>
            <w:shd w:val="clear" w:color="000000" w:fill="FFFFFF"/>
            <w:noWrap/>
            <w:vAlign w:val="center"/>
            <w:hideMark/>
          </w:tcPr>
          <w:p w14:paraId="4F1DE1ED"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xml:space="preserve"> Other Investment - Hedge Funds </w:t>
            </w:r>
          </w:p>
        </w:tc>
        <w:tc>
          <w:tcPr>
            <w:tcW w:w="1253" w:type="dxa"/>
            <w:tcBorders>
              <w:top w:val="nil"/>
              <w:left w:val="nil"/>
              <w:bottom w:val="single" w:sz="4" w:space="0" w:color="auto"/>
              <w:right w:val="single" w:sz="4" w:space="0" w:color="auto"/>
            </w:tcBorders>
            <w:shd w:val="clear" w:color="auto" w:fill="auto"/>
            <w:vAlign w:val="center"/>
            <w:hideMark/>
          </w:tcPr>
          <w:p w14:paraId="4871268D" w14:textId="77777777" w:rsidR="00F753E8" w:rsidRPr="008E6013" w:rsidRDefault="00F753E8" w:rsidP="006E1769">
            <w:pPr>
              <w:jc w:val="center"/>
              <w:rPr>
                <w:rFonts w:ascii="Arial" w:hAnsi="Arial" w:cs="Arial"/>
                <w:color w:val="000000"/>
                <w:sz w:val="22"/>
                <w:szCs w:val="22"/>
              </w:rPr>
            </w:pPr>
            <w:r w:rsidRPr="008E6013">
              <w:rPr>
                <w:rFonts w:ascii="Arial" w:hAnsi="Arial" w:cs="Arial"/>
                <w:color w:val="000000"/>
                <w:sz w:val="22"/>
                <w:szCs w:val="22"/>
              </w:rPr>
              <w:t>15</w:t>
            </w:r>
          </w:p>
        </w:tc>
        <w:tc>
          <w:tcPr>
            <w:tcW w:w="1440" w:type="dxa"/>
            <w:tcBorders>
              <w:top w:val="nil"/>
              <w:left w:val="nil"/>
              <w:bottom w:val="single" w:sz="8" w:space="0" w:color="auto"/>
              <w:right w:val="single" w:sz="8" w:space="0" w:color="auto"/>
            </w:tcBorders>
            <w:shd w:val="clear" w:color="000000" w:fill="FFFFFF"/>
            <w:vAlign w:val="center"/>
          </w:tcPr>
          <w:p w14:paraId="37E0C6D1"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39,946</w:t>
            </w:r>
          </w:p>
        </w:tc>
        <w:tc>
          <w:tcPr>
            <w:tcW w:w="1134" w:type="dxa"/>
            <w:tcBorders>
              <w:top w:val="nil"/>
              <w:left w:val="nil"/>
              <w:bottom w:val="single" w:sz="8" w:space="0" w:color="auto"/>
              <w:right w:val="single" w:sz="8" w:space="0" w:color="auto"/>
            </w:tcBorders>
            <w:shd w:val="clear" w:color="000000" w:fill="FFFFFF"/>
            <w:vAlign w:val="center"/>
          </w:tcPr>
          <w:p w14:paraId="4538005D"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45,938</w:t>
            </w:r>
          </w:p>
        </w:tc>
        <w:tc>
          <w:tcPr>
            <w:tcW w:w="1481" w:type="dxa"/>
            <w:tcBorders>
              <w:top w:val="nil"/>
              <w:left w:val="nil"/>
              <w:bottom w:val="single" w:sz="8" w:space="0" w:color="auto"/>
              <w:right w:val="single" w:sz="8" w:space="0" w:color="auto"/>
            </w:tcBorders>
            <w:shd w:val="clear" w:color="000000" w:fill="FFFFFF"/>
            <w:noWrap/>
            <w:vAlign w:val="center"/>
          </w:tcPr>
          <w:p w14:paraId="1072D1B8"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33,954</w:t>
            </w:r>
          </w:p>
        </w:tc>
      </w:tr>
      <w:tr w:rsidR="00F753E8" w:rsidRPr="00B64150" w14:paraId="3A300B3A" w14:textId="77777777" w:rsidTr="006E1769">
        <w:trPr>
          <w:trHeight w:val="51"/>
          <w:jc w:val="center"/>
        </w:trPr>
        <w:tc>
          <w:tcPr>
            <w:tcW w:w="3539" w:type="dxa"/>
            <w:tcBorders>
              <w:top w:val="nil"/>
              <w:left w:val="single" w:sz="4" w:space="0" w:color="auto"/>
              <w:bottom w:val="single" w:sz="4" w:space="0" w:color="auto"/>
              <w:right w:val="single" w:sz="4" w:space="0" w:color="auto"/>
            </w:tcBorders>
            <w:shd w:val="clear" w:color="auto" w:fill="auto"/>
            <w:vAlign w:val="bottom"/>
            <w:hideMark/>
          </w:tcPr>
          <w:p w14:paraId="12E4A7B2"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253" w:type="dxa"/>
            <w:tcBorders>
              <w:top w:val="nil"/>
              <w:left w:val="nil"/>
              <w:bottom w:val="single" w:sz="4" w:space="0" w:color="auto"/>
              <w:right w:val="single" w:sz="4" w:space="0" w:color="auto"/>
            </w:tcBorders>
            <w:shd w:val="clear" w:color="auto" w:fill="auto"/>
            <w:vAlign w:val="bottom"/>
            <w:hideMark/>
          </w:tcPr>
          <w:p w14:paraId="6902019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440" w:type="dxa"/>
            <w:tcBorders>
              <w:top w:val="nil"/>
              <w:left w:val="nil"/>
              <w:bottom w:val="single" w:sz="8" w:space="0" w:color="auto"/>
              <w:right w:val="single" w:sz="8" w:space="0" w:color="auto"/>
            </w:tcBorders>
            <w:shd w:val="clear" w:color="000000" w:fill="FFFFFF"/>
            <w:vAlign w:val="center"/>
          </w:tcPr>
          <w:p w14:paraId="0D05262E"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285,351</w:t>
            </w:r>
          </w:p>
        </w:tc>
        <w:tc>
          <w:tcPr>
            <w:tcW w:w="1134" w:type="dxa"/>
            <w:tcBorders>
              <w:top w:val="nil"/>
              <w:left w:val="nil"/>
              <w:bottom w:val="single" w:sz="8" w:space="0" w:color="auto"/>
              <w:right w:val="single" w:sz="8" w:space="0" w:color="auto"/>
            </w:tcBorders>
            <w:shd w:val="clear" w:color="000000" w:fill="FFFFFF"/>
            <w:vAlign w:val="center"/>
          </w:tcPr>
          <w:p w14:paraId="19965807"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325,033</w:t>
            </w:r>
          </w:p>
        </w:tc>
        <w:tc>
          <w:tcPr>
            <w:tcW w:w="1481" w:type="dxa"/>
            <w:tcBorders>
              <w:top w:val="nil"/>
              <w:left w:val="nil"/>
              <w:bottom w:val="single" w:sz="8" w:space="0" w:color="auto"/>
              <w:right w:val="single" w:sz="8" w:space="0" w:color="auto"/>
            </w:tcBorders>
            <w:shd w:val="clear" w:color="000000" w:fill="FFFFFF"/>
            <w:vAlign w:val="center"/>
          </w:tcPr>
          <w:p w14:paraId="37BBC98E" w14:textId="77777777" w:rsidR="00F753E8" w:rsidRPr="00437874" w:rsidRDefault="00F753E8" w:rsidP="006E1769">
            <w:pPr>
              <w:jc w:val="right"/>
              <w:rPr>
                <w:rFonts w:ascii="Arial" w:hAnsi="Arial" w:cs="Arial"/>
                <w:sz w:val="22"/>
                <w:szCs w:val="22"/>
              </w:rPr>
            </w:pPr>
            <w:r>
              <w:rPr>
                <w:rFonts w:ascii="Arial" w:hAnsi="Arial" w:cs="Arial"/>
                <w:color w:val="000000"/>
                <w:sz w:val="22"/>
                <w:szCs w:val="22"/>
              </w:rPr>
              <w:t>245,669</w:t>
            </w:r>
          </w:p>
        </w:tc>
      </w:tr>
    </w:tbl>
    <w:p w14:paraId="602B8437" w14:textId="77777777" w:rsidR="00F753E8" w:rsidRPr="008A0A4E" w:rsidRDefault="00F753E8" w:rsidP="00F753E8">
      <w:pPr>
        <w:pStyle w:val="BodyTextIndent2"/>
        <w:spacing w:after="0" w:line="240" w:lineRule="auto"/>
        <w:ind w:left="0"/>
        <w:rPr>
          <w:rFonts w:ascii="Arial" w:hAnsi="Arial" w:cs="Arial"/>
          <w:sz w:val="22"/>
          <w:szCs w:val="22"/>
        </w:rPr>
      </w:pPr>
    </w:p>
    <w:p w14:paraId="007C0B26" w14:textId="77777777" w:rsidR="00F753E8" w:rsidRPr="008A0A4E" w:rsidRDefault="00F753E8" w:rsidP="00F753E8">
      <w:pPr>
        <w:pStyle w:val="BodyTextIndent2"/>
        <w:spacing w:after="0" w:line="240" w:lineRule="auto"/>
        <w:ind w:left="567"/>
        <w:rPr>
          <w:rFonts w:ascii="Arial" w:hAnsi="Arial" w:cs="Arial"/>
          <w:sz w:val="22"/>
          <w:szCs w:val="22"/>
        </w:rPr>
      </w:pPr>
      <w:r w:rsidRPr="008A0A4E">
        <w:rPr>
          <w:rFonts w:ascii="Arial" w:hAnsi="Arial" w:cs="Arial"/>
          <w:sz w:val="22"/>
          <w:szCs w:val="22"/>
        </w:rPr>
        <w:t>The potential movement of 10% for Property Unit Trusts represents a combination of the following factors, which could all move independently in different directions:</w:t>
      </w:r>
    </w:p>
    <w:p w14:paraId="31C46A20" w14:textId="77777777" w:rsidR="00F753E8" w:rsidRPr="008A0A4E" w:rsidRDefault="00F753E8" w:rsidP="00F753E8">
      <w:pPr>
        <w:pStyle w:val="BodyTextIndent2"/>
        <w:spacing w:after="0" w:line="240" w:lineRule="auto"/>
        <w:ind w:left="567"/>
        <w:rPr>
          <w:rFonts w:ascii="Arial" w:hAnsi="Arial" w:cs="Arial"/>
          <w:sz w:val="22"/>
          <w:szCs w:val="22"/>
        </w:rPr>
      </w:pPr>
    </w:p>
    <w:p w14:paraId="572825BE" w14:textId="77777777" w:rsidR="00F753E8" w:rsidRPr="008A0A4E" w:rsidRDefault="00F753E8" w:rsidP="00F753E8">
      <w:pPr>
        <w:pStyle w:val="BodyTextIndent2"/>
        <w:spacing w:after="0" w:line="240" w:lineRule="auto"/>
        <w:ind w:left="567"/>
        <w:rPr>
          <w:rFonts w:ascii="Arial" w:hAnsi="Arial" w:cs="Arial"/>
          <w:sz w:val="22"/>
          <w:szCs w:val="22"/>
        </w:rPr>
      </w:pPr>
      <w:r w:rsidRPr="008A0A4E">
        <w:rPr>
          <w:rFonts w:ascii="Arial" w:hAnsi="Arial" w:cs="Arial"/>
          <w:sz w:val="22"/>
          <w:szCs w:val="22"/>
        </w:rPr>
        <w:t>–– Rental increases +/- 4%</w:t>
      </w:r>
    </w:p>
    <w:p w14:paraId="3A3CC061" w14:textId="77777777" w:rsidR="00F753E8" w:rsidRPr="008A0A4E" w:rsidRDefault="00F753E8" w:rsidP="00F753E8">
      <w:pPr>
        <w:pStyle w:val="BodyTextIndent2"/>
        <w:spacing w:after="0" w:line="240" w:lineRule="auto"/>
        <w:ind w:left="567"/>
        <w:rPr>
          <w:rFonts w:ascii="Arial" w:hAnsi="Arial" w:cs="Arial"/>
          <w:sz w:val="22"/>
          <w:szCs w:val="22"/>
        </w:rPr>
      </w:pPr>
      <w:r w:rsidRPr="008A0A4E">
        <w:rPr>
          <w:rFonts w:ascii="Arial" w:hAnsi="Arial" w:cs="Arial"/>
          <w:sz w:val="22"/>
          <w:szCs w:val="22"/>
        </w:rPr>
        <w:t>–– Vacancy levels +/- 2%</w:t>
      </w:r>
    </w:p>
    <w:p w14:paraId="47AD1D02" w14:textId="77777777" w:rsidR="00F753E8" w:rsidRPr="008A0A4E" w:rsidRDefault="00F753E8" w:rsidP="00F753E8">
      <w:pPr>
        <w:pStyle w:val="BodyTextIndent2"/>
        <w:spacing w:after="0" w:line="240" w:lineRule="auto"/>
        <w:ind w:left="567"/>
        <w:rPr>
          <w:rFonts w:ascii="Arial" w:hAnsi="Arial" w:cs="Arial"/>
          <w:sz w:val="22"/>
          <w:szCs w:val="22"/>
        </w:rPr>
      </w:pPr>
      <w:r w:rsidRPr="008A0A4E">
        <w:rPr>
          <w:rFonts w:ascii="Arial" w:hAnsi="Arial" w:cs="Arial"/>
          <w:sz w:val="22"/>
          <w:szCs w:val="22"/>
        </w:rPr>
        <w:t>–– Market prices +/- 3%</w:t>
      </w:r>
    </w:p>
    <w:p w14:paraId="573EB269" w14:textId="77777777" w:rsidR="00F753E8" w:rsidRPr="008A0A4E" w:rsidRDefault="00F753E8" w:rsidP="00F753E8">
      <w:pPr>
        <w:pStyle w:val="BodyTextIndent2"/>
        <w:spacing w:after="0" w:line="240" w:lineRule="auto"/>
        <w:ind w:left="567"/>
        <w:rPr>
          <w:rFonts w:ascii="Arial" w:hAnsi="Arial" w:cs="Arial"/>
          <w:sz w:val="22"/>
          <w:szCs w:val="22"/>
        </w:rPr>
      </w:pPr>
      <w:r w:rsidRPr="008A0A4E">
        <w:rPr>
          <w:rFonts w:ascii="Arial" w:hAnsi="Arial" w:cs="Arial"/>
          <w:sz w:val="22"/>
          <w:szCs w:val="22"/>
        </w:rPr>
        <w:t>–– Discount rates +/-1%</w:t>
      </w:r>
    </w:p>
    <w:p w14:paraId="1B4F5A70" w14:textId="77777777" w:rsidR="00F753E8" w:rsidRPr="008A0A4E" w:rsidRDefault="00F753E8" w:rsidP="00F753E8">
      <w:pPr>
        <w:pStyle w:val="BodyTextIndent2"/>
        <w:spacing w:after="0" w:line="240" w:lineRule="auto"/>
        <w:ind w:left="567"/>
        <w:rPr>
          <w:rFonts w:ascii="Arial" w:hAnsi="Arial" w:cs="Arial"/>
          <w:sz w:val="22"/>
          <w:szCs w:val="22"/>
        </w:rPr>
      </w:pPr>
    </w:p>
    <w:p w14:paraId="4E4D2A91" w14:textId="77777777" w:rsidR="00F753E8" w:rsidRDefault="00F753E8" w:rsidP="00F753E8">
      <w:pPr>
        <w:pStyle w:val="BodyTextIndent2"/>
        <w:spacing w:after="0" w:line="240" w:lineRule="auto"/>
        <w:ind w:left="284"/>
        <w:jc w:val="both"/>
        <w:rPr>
          <w:rFonts w:ascii="Arial" w:hAnsi="Arial" w:cs="Arial"/>
          <w:sz w:val="22"/>
          <w:szCs w:val="22"/>
        </w:rPr>
      </w:pPr>
      <w:r w:rsidRPr="008A0A4E">
        <w:rPr>
          <w:rFonts w:ascii="Arial" w:hAnsi="Arial" w:cs="Arial"/>
          <w:sz w:val="22"/>
          <w:szCs w:val="22"/>
        </w:rPr>
        <w:t xml:space="preserve">All movements in the assessed valuation range derive from changes in the underlying profitability of component companies, the range in the potential movement of 15% is caused by how this profitability is measured since different methods (listed in the first table of Note 21 above) produce different price </w:t>
      </w:r>
      <w:proofErr w:type="gramStart"/>
      <w:r w:rsidRPr="008A0A4E">
        <w:rPr>
          <w:rFonts w:ascii="Arial" w:hAnsi="Arial" w:cs="Arial"/>
          <w:sz w:val="22"/>
          <w:szCs w:val="22"/>
        </w:rPr>
        <w:t>results</w:t>
      </w:r>
      <w:proofErr w:type="gramEnd"/>
    </w:p>
    <w:p w14:paraId="0166D924" w14:textId="77777777" w:rsidR="00F753E8" w:rsidRDefault="00F753E8" w:rsidP="00F753E8">
      <w:pPr>
        <w:pStyle w:val="BodyTextIndent2"/>
        <w:spacing w:after="0" w:line="240" w:lineRule="auto"/>
        <w:ind w:left="284"/>
        <w:jc w:val="both"/>
        <w:rPr>
          <w:rFonts w:ascii="Arial" w:hAnsi="Arial" w:cs="Arial"/>
          <w:sz w:val="22"/>
          <w:szCs w:val="22"/>
        </w:rPr>
      </w:pPr>
    </w:p>
    <w:p w14:paraId="61A4F319" w14:textId="77777777" w:rsidR="00F753E8" w:rsidRDefault="00F753E8" w:rsidP="00F753E8">
      <w:pPr>
        <w:pStyle w:val="BodyTextIndent2"/>
        <w:spacing w:after="0" w:line="240" w:lineRule="auto"/>
        <w:ind w:left="284"/>
        <w:jc w:val="both"/>
        <w:rPr>
          <w:rFonts w:ascii="Arial" w:hAnsi="Arial" w:cs="Arial"/>
          <w:sz w:val="22"/>
          <w:szCs w:val="22"/>
        </w:rPr>
      </w:pPr>
    </w:p>
    <w:p w14:paraId="100EE8B1" w14:textId="77777777" w:rsidR="00F753E8" w:rsidRPr="008A0A4E" w:rsidRDefault="00F753E8" w:rsidP="00F753E8">
      <w:pPr>
        <w:pStyle w:val="BodyTextIndent2"/>
        <w:spacing w:after="0" w:line="240" w:lineRule="auto"/>
        <w:ind w:left="284"/>
        <w:jc w:val="both"/>
        <w:rPr>
          <w:rFonts w:ascii="Arial" w:hAnsi="Arial" w:cs="Arial"/>
          <w:sz w:val="22"/>
          <w:szCs w:val="22"/>
        </w:rPr>
      </w:pPr>
    </w:p>
    <w:p w14:paraId="27018EBE" w14:textId="77777777" w:rsidR="00F753E8" w:rsidRDefault="00F753E8" w:rsidP="007337FE">
      <w:pPr>
        <w:pStyle w:val="BodyTextIndent2"/>
        <w:numPr>
          <w:ilvl w:val="0"/>
          <w:numId w:val="90"/>
        </w:numPr>
        <w:spacing w:after="0" w:line="240" w:lineRule="auto"/>
        <w:ind w:left="502"/>
        <w:rPr>
          <w:rFonts w:ascii="Arial" w:hAnsi="Arial" w:cs="Arial"/>
          <w:b/>
          <w:sz w:val="22"/>
          <w:szCs w:val="22"/>
        </w:rPr>
      </w:pPr>
      <w:r w:rsidRPr="008A0A4E">
        <w:rPr>
          <w:rFonts w:ascii="Arial" w:hAnsi="Arial" w:cs="Arial"/>
          <w:b/>
          <w:sz w:val="22"/>
          <w:szCs w:val="22"/>
        </w:rPr>
        <w:t>Events after the Reporting Period</w:t>
      </w:r>
    </w:p>
    <w:p w14:paraId="01CDCA98" w14:textId="77777777" w:rsidR="00F753E8" w:rsidRPr="008A0A4E" w:rsidRDefault="00F753E8" w:rsidP="00F753E8">
      <w:pPr>
        <w:pStyle w:val="BodyTextIndent2"/>
        <w:spacing w:after="0" w:line="240" w:lineRule="auto"/>
        <w:ind w:left="502"/>
        <w:rPr>
          <w:rFonts w:ascii="Arial" w:hAnsi="Arial" w:cs="Arial"/>
          <w:b/>
          <w:sz w:val="22"/>
          <w:szCs w:val="22"/>
        </w:rPr>
      </w:pPr>
    </w:p>
    <w:p w14:paraId="4EE1EC34" w14:textId="77777777" w:rsidR="00F753E8" w:rsidRDefault="00F753E8" w:rsidP="00F753E8">
      <w:pPr>
        <w:pStyle w:val="BodyTextIndent2"/>
        <w:tabs>
          <w:tab w:val="left" w:pos="0"/>
        </w:tabs>
        <w:spacing w:after="0" w:line="240" w:lineRule="auto"/>
        <w:ind w:left="284"/>
        <w:jc w:val="both"/>
        <w:rPr>
          <w:rFonts w:ascii="Arial" w:hAnsi="Arial" w:cs="Arial"/>
          <w:sz w:val="22"/>
          <w:szCs w:val="22"/>
        </w:rPr>
      </w:pPr>
      <w:r>
        <w:rPr>
          <w:rFonts w:ascii="Arial" w:hAnsi="Arial" w:cs="Arial"/>
          <w:sz w:val="22"/>
          <w:szCs w:val="22"/>
        </w:rPr>
        <w:t>None</w:t>
      </w:r>
    </w:p>
    <w:p w14:paraId="4C2F6F91" w14:textId="77777777" w:rsidR="00F753E8" w:rsidRDefault="00F753E8" w:rsidP="00F753E8">
      <w:pPr>
        <w:pStyle w:val="BodyTextIndent2"/>
        <w:tabs>
          <w:tab w:val="left" w:pos="0"/>
        </w:tabs>
        <w:spacing w:after="0" w:line="240" w:lineRule="auto"/>
        <w:ind w:left="284"/>
        <w:jc w:val="both"/>
        <w:rPr>
          <w:rFonts w:ascii="Arial" w:hAnsi="Arial" w:cs="Arial"/>
          <w:sz w:val="22"/>
          <w:szCs w:val="22"/>
        </w:rPr>
      </w:pPr>
    </w:p>
    <w:p w14:paraId="52D7F500" w14:textId="77777777" w:rsidR="00F753E8" w:rsidRPr="00C33110" w:rsidRDefault="00F753E8" w:rsidP="007337FE">
      <w:pPr>
        <w:pStyle w:val="BodyTextIndent2"/>
        <w:numPr>
          <w:ilvl w:val="0"/>
          <w:numId w:val="90"/>
        </w:numPr>
        <w:tabs>
          <w:tab w:val="left" w:pos="0"/>
        </w:tabs>
        <w:spacing w:after="0" w:line="20" w:lineRule="atLeast"/>
        <w:ind w:left="502"/>
        <w:jc w:val="both"/>
        <w:rPr>
          <w:rFonts w:ascii="Arial" w:hAnsi="Arial" w:cs="Arial"/>
          <w:b/>
          <w:sz w:val="22"/>
          <w:szCs w:val="22"/>
        </w:rPr>
      </w:pPr>
      <w:r w:rsidRPr="00C33110">
        <w:rPr>
          <w:rFonts w:ascii="Arial" w:hAnsi="Arial" w:cs="Arial"/>
          <w:b/>
          <w:sz w:val="22"/>
          <w:szCs w:val="22"/>
        </w:rPr>
        <w:t>Related parties</w:t>
      </w:r>
    </w:p>
    <w:p w14:paraId="41DEED59" w14:textId="77777777" w:rsidR="00F753E8" w:rsidRPr="00C33110" w:rsidRDefault="00F753E8" w:rsidP="00F753E8">
      <w:pPr>
        <w:pStyle w:val="BodyTextIndent2"/>
        <w:spacing w:after="0" w:line="20" w:lineRule="atLeast"/>
        <w:ind w:left="142"/>
        <w:jc w:val="both"/>
        <w:rPr>
          <w:rFonts w:ascii="Arial" w:hAnsi="Arial" w:cs="Arial"/>
          <w:b/>
          <w:sz w:val="22"/>
          <w:szCs w:val="22"/>
        </w:rPr>
      </w:pPr>
    </w:p>
    <w:p w14:paraId="20443BD6" w14:textId="77777777" w:rsidR="00F753E8" w:rsidRPr="008A0A4E" w:rsidRDefault="00F753E8" w:rsidP="00F753E8">
      <w:pPr>
        <w:pStyle w:val="BodyTextIndent2"/>
        <w:spacing w:after="0" w:line="20" w:lineRule="atLeast"/>
        <w:ind w:left="284"/>
        <w:jc w:val="both"/>
        <w:rPr>
          <w:rFonts w:ascii="Arial" w:hAnsi="Arial" w:cs="Arial"/>
          <w:color w:val="000000"/>
          <w:sz w:val="22"/>
          <w:szCs w:val="22"/>
        </w:rPr>
      </w:pPr>
      <w:r w:rsidRPr="001F7010">
        <w:rPr>
          <w:rFonts w:ascii="Arial" w:hAnsi="Arial" w:cs="Arial"/>
          <w:sz w:val="22"/>
          <w:szCs w:val="22"/>
        </w:rPr>
        <w:t xml:space="preserve">The Fund is a related party of the Council as the following transactions are controlled by the Council. </w:t>
      </w:r>
      <w:r w:rsidRPr="001F7010">
        <w:rPr>
          <w:rFonts w:ascii="Arial" w:hAnsi="Arial" w:cs="Arial"/>
          <w:color w:val="000000"/>
          <w:sz w:val="22"/>
          <w:szCs w:val="22"/>
        </w:rPr>
        <w:t xml:space="preserve">Pension administration and investment management costs of </w:t>
      </w:r>
      <w:r w:rsidRPr="001F7010">
        <w:rPr>
          <w:rFonts w:ascii="Arial" w:hAnsi="Arial" w:cs="Arial"/>
          <w:b/>
          <w:color w:val="000000"/>
          <w:sz w:val="22"/>
          <w:szCs w:val="22"/>
        </w:rPr>
        <w:t>£667.6k</w:t>
      </w:r>
      <w:r w:rsidRPr="001F7010">
        <w:rPr>
          <w:rFonts w:ascii="Arial" w:hAnsi="Arial" w:cs="Arial"/>
          <w:color w:val="000000"/>
          <w:sz w:val="22"/>
          <w:szCs w:val="22"/>
        </w:rPr>
        <w:t xml:space="preserve"> (2020/21: £715.4k) are charged by the Council.</w:t>
      </w:r>
    </w:p>
    <w:p w14:paraId="74B845AC" w14:textId="77777777" w:rsidR="00F753E8" w:rsidRPr="008A0A4E" w:rsidRDefault="00F753E8" w:rsidP="00F753E8">
      <w:pPr>
        <w:pStyle w:val="BodyTextIndent2"/>
        <w:spacing w:after="0" w:line="20" w:lineRule="atLeast"/>
        <w:ind w:left="142"/>
        <w:jc w:val="both"/>
        <w:rPr>
          <w:rFonts w:ascii="Arial" w:hAnsi="Arial" w:cs="Arial"/>
          <w:b/>
          <w:sz w:val="22"/>
          <w:szCs w:val="22"/>
        </w:rPr>
      </w:pPr>
    </w:p>
    <w:p w14:paraId="5C55DBE2" w14:textId="77777777" w:rsidR="00F753E8" w:rsidRPr="008A0A4E" w:rsidRDefault="00F753E8" w:rsidP="007337FE">
      <w:pPr>
        <w:pStyle w:val="BodyTextIndent2"/>
        <w:numPr>
          <w:ilvl w:val="0"/>
          <w:numId w:val="90"/>
        </w:numPr>
        <w:spacing w:after="0" w:line="20" w:lineRule="atLeast"/>
        <w:ind w:left="502"/>
        <w:rPr>
          <w:rFonts w:ascii="Arial" w:hAnsi="Arial" w:cs="Arial"/>
          <w:b/>
          <w:sz w:val="22"/>
          <w:szCs w:val="22"/>
        </w:rPr>
      </w:pPr>
      <w:r w:rsidRPr="008A0A4E">
        <w:rPr>
          <w:rFonts w:ascii="Arial" w:hAnsi="Arial" w:cs="Arial"/>
          <w:b/>
          <w:sz w:val="22"/>
          <w:szCs w:val="22"/>
        </w:rPr>
        <w:t>Contingent Asset and liabilities</w:t>
      </w:r>
    </w:p>
    <w:p w14:paraId="64E14571" w14:textId="77777777" w:rsidR="00F753E8" w:rsidRPr="008A0A4E" w:rsidRDefault="00F753E8" w:rsidP="00F753E8">
      <w:pPr>
        <w:pStyle w:val="BodyTextIndent2"/>
        <w:spacing w:after="0" w:line="20" w:lineRule="atLeast"/>
        <w:ind w:left="0"/>
        <w:rPr>
          <w:rFonts w:ascii="Arial" w:hAnsi="Arial" w:cs="Arial"/>
          <w:sz w:val="22"/>
          <w:szCs w:val="22"/>
        </w:rPr>
      </w:pPr>
    </w:p>
    <w:p w14:paraId="3131DFCF" w14:textId="77777777" w:rsidR="00F753E8" w:rsidRDefault="00F753E8" w:rsidP="00F753E8">
      <w:pPr>
        <w:spacing w:line="20" w:lineRule="atLeast"/>
        <w:ind w:left="284"/>
        <w:jc w:val="both"/>
        <w:rPr>
          <w:rFonts w:ascii="Arial" w:hAnsi="Arial" w:cs="Arial"/>
          <w:sz w:val="22"/>
          <w:szCs w:val="22"/>
        </w:rPr>
      </w:pPr>
      <w:r w:rsidRPr="008A0A4E">
        <w:rPr>
          <w:rFonts w:ascii="Arial" w:hAnsi="Arial" w:cs="Arial"/>
          <w:sz w:val="22"/>
          <w:szCs w:val="22"/>
        </w:rPr>
        <w:t xml:space="preserve">As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202</w:t>
      </w:r>
      <w:r>
        <w:rPr>
          <w:rFonts w:ascii="Arial" w:hAnsi="Arial" w:cs="Arial"/>
          <w:sz w:val="22"/>
          <w:szCs w:val="22"/>
        </w:rPr>
        <w:t>2</w:t>
      </w:r>
      <w:r w:rsidRPr="008A0A4E">
        <w:rPr>
          <w:rFonts w:ascii="Arial" w:hAnsi="Arial" w:cs="Arial"/>
          <w:sz w:val="22"/>
          <w:szCs w:val="22"/>
        </w:rPr>
        <w:t xml:space="preserve"> there were no contingent assets or liabilities.</w:t>
      </w:r>
    </w:p>
    <w:p w14:paraId="6163E748" w14:textId="77777777" w:rsidR="00F753E8" w:rsidRPr="008A0A4E" w:rsidRDefault="00F753E8" w:rsidP="00F753E8">
      <w:pPr>
        <w:spacing w:line="20" w:lineRule="atLeast"/>
        <w:ind w:left="426" w:hanging="426"/>
        <w:jc w:val="both"/>
        <w:rPr>
          <w:rFonts w:ascii="Arial" w:hAnsi="Arial" w:cs="Arial"/>
          <w:sz w:val="22"/>
          <w:szCs w:val="22"/>
        </w:rPr>
      </w:pPr>
    </w:p>
    <w:p w14:paraId="50ACA240" w14:textId="77777777" w:rsidR="00F753E8" w:rsidRPr="008A0A4E" w:rsidRDefault="00F753E8" w:rsidP="007337FE">
      <w:pPr>
        <w:pStyle w:val="BodyTextIndent2"/>
        <w:numPr>
          <w:ilvl w:val="0"/>
          <w:numId w:val="90"/>
        </w:numPr>
        <w:spacing w:after="0" w:line="240" w:lineRule="auto"/>
        <w:ind w:left="502"/>
        <w:rPr>
          <w:rFonts w:ascii="Arial" w:hAnsi="Arial" w:cs="Arial"/>
          <w:b/>
          <w:sz w:val="22"/>
          <w:szCs w:val="22"/>
        </w:rPr>
      </w:pPr>
      <w:r w:rsidRPr="008A0A4E">
        <w:rPr>
          <w:rFonts w:ascii="Arial" w:hAnsi="Arial" w:cs="Arial"/>
          <w:b/>
          <w:sz w:val="22"/>
          <w:szCs w:val="22"/>
        </w:rPr>
        <w:t>Compensation of key management personnel</w:t>
      </w:r>
    </w:p>
    <w:p w14:paraId="09D95D13" w14:textId="77777777" w:rsidR="00F753E8" w:rsidRPr="008A0A4E" w:rsidRDefault="00F753E8" w:rsidP="00F753E8">
      <w:pPr>
        <w:pStyle w:val="BodyTextIndent2"/>
        <w:spacing w:after="0" w:line="240" w:lineRule="auto"/>
        <w:rPr>
          <w:rFonts w:ascii="Arial" w:hAnsi="Arial" w:cs="Arial"/>
          <w:b/>
          <w:sz w:val="22"/>
          <w:szCs w:val="22"/>
        </w:rPr>
      </w:pPr>
    </w:p>
    <w:p w14:paraId="72D463FC" w14:textId="77777777" w:rsidR="00F753E8" w:rsidRPr="008A0A4E" w:rsidRDefault="00F753E8" w:rsidP="00F753E8">
      <w:pPr>
        <w:pStyle w:val="BodyTextIndent2"/>
        <w:spacing w:after="0" w:line="240" w:lineRule="auto"/>
        <w:ind w:left="284"/>
        <w:jc w:val="both"/>
        <w:rPr>
          <w:rFonts w:ascii="Arial" w:hAnsi="Arial" w:cs="Arial"/>
          <w:sz w:val="22"/>
          <w:szCs w:val="22"/>
        </w:rPr>
      </w:pPr>
      <w:r w:rsidRPr="008A0A4E">
        <w:rPr>
          <w:rFonts w:ascii="Arial" w:hAnsi="Arial" w:cs="Arial"/>
          <w:sz w:val="22"/>
          <w:szCs w:val="22"/>
        </w:rPr>
        <w:t xml:space="preserve">Compensation of key management personnel, including members of the Pension Committee, the </w:t>
      </w:r>
      <w:r>
        <w:rPr>
          <w:rFonts w:ascii="Arial" w:hAnsi="Arial" w:cs="Arial"/>
          <w:sz w:val="22"/>
          <w:szCs w:val="22"/>
        </w:rPr>
        <w:t>Managing Director</w:t>
      </w:r>
      <w:r w:rsidRPr="008A0A4E">
        <w:rPr>
          <w:rFonts w:ascii="Arial" w:hAnsi="Arial" w:cs="Arial"/>
          <w:sz w:val="22"/>
          <w:szCs w:val="22"/>
        </w:rPr>
        <w:t>, the Director of Finance, the Investment Fund Manager, Pension Fund Accountant and Senior Treasury Accountant, charged to the Fund are provided below:</w:t>
      </w:r>
    </w:p>
    <w:p w14:paraId="590CC2B1" w14:textId="77777777" w:rsidR="00F753E8" w:rsidRPr="008A0A4E" w:rsidRDefault="00F753E8" w:rsidP="00F753E8">
      <w:pPr>
        <w:pStyle w:val="BodyTextIndent2"/>
        <w:spacing w:after="0" w:line="240" w:lineRule="auto"/>
        <w:ind w:left="426"/>
        <w:jc w:val="both"/>
        <w:rPr>
          <w:rFonts w:ascii="Arial" w:hAnsi="Arial" w:cs="Arial"/>
          <w:sz w:val="22"/>
          <w:szCs w:val="22"/>
        </w:rPr>
      </w:pPr>
    </w:p>
    <w:tbl>
      <w:tblPr>
        <w:tblW w:w="6062" w:type="dxa"/>
        <w:tblInd w:w="392" w:type="dxa"/>
        <w:tblLook w:val="04A0" w:firstRow="1" w:lastRow="0" w:firstColumn="1" w:lastColumn="0" w:noHBand="0" w:noVBand="1"/>
      </w:tblPr>
      <w:tblGrid>
        <w:gridCol w:w="3634"/>
        <w:gridCol w:w="1322"/>
        <w:gridCol w:w="1106"/>
      </w:tblGrid>
      <w:tr w:rsidR="00F753E8" w:rsidRPr="00B64150" w14:paraId="6CC182C3" w14:textId="77777777" w:rsidTr="006E1769">
        <w:trPr>
          <w:trHeight w:val="250"/>
        </w:trPr>
        <w:tc>
          <w:tcPr>
            <w:tcW w:w="3634" w:type="dxa"/>
            <w:tcBorders>
              <w:top w:val="nil"/>
              <w:left w:val="nil"/>
              <w:bottom w:val="nil"/>
              <w:right w:val="nil"/>
            </w:tcBorders>
            <w:shd w:val="clear" w:color="000000" w:fill="FFFFFF"/>
            <w:hideMark/>
          </w:tcPr>
          <w:p w14:paraId="5995DBC9" w14:textId="77777777" w:rsidR="00F753E8" w:rsidRPr="008A0A4E" w:rsidRDefault="00F753E8" w:rsidP="006E1769">
            <w:pPr>
              <w:ind w:firstLineChars="100" w:firstLine="220"/>
              <w:jc w:val="right"/>
              <w:rPr>
                <w:rFonts w:ascii="Arial" w:hAnsi="Arial" w:cs="Arial"/>
                <w:color w:val="000000"/>
                <w:sz w:val="22"/>
                <w:szCs w:val="22"/>
              </w:rPr>
            </w:pPr>
            <w:r w:rsidRPr="008A0A4E">
              <w:rPr>
                <w:rFonts w:ascii="Arial" w:hAnsi="Arial" w:cs="Arial"/>
                <w:color w:val="000000"/>
                <w:sz w:val="22"/>
                <w:szCs w:val="22"/>
              </w:rPr>
              <w:t> </w:t>
            </w:r>
          </w:p>
        </w:tc>
        <w:tc>
          <w:tcPr>
            <w:tcW w:w="1322" w:type="dxa"/>
            <w:tcBorders>
              <w:top w:val="nil"/>
              <w:left w:val="nil"/>
              <w:bottom w:val="nil"/>
              <w:right w:val="nil"/>
            </w:tcBorders>
            <w:shd w:val="clear" w:color="000000" w:fill="FFFFFF"/>
            <w:vAlign w:val="center"/>
          </w:tcPr>
          <w:p w14:paraId="651DA5E7" w14:textId="77777777" w:rsidR="00F753E8" w:rsidRPr="008A0A4E" w:rsidRDefault="00F753E8" w:rsidP="006E1769">
            <w:pPr>
              <w:jc w:val="center"/>
              <w:rPr>
                <w:rFonts w:ascii="Arial" w:hAnsi="Arial" w:cs="Arial"/>
                <w:bCs/>
                <w:color w:val="000000"/>
                <w:sz w:val="22"/>
                <w:szCs w:val="22"/>
              </w:rPr>
            </w:pPr>
            <w:r>
              <w:rPr>
                <w:rFonts w:ascii="Arial" w:hAnsi="Arial" w:cs="Arial"/>
                <w:bCs/>
                <w:color w:val="000000"/>
                <w:sz w:val="22"/>
                <w:szCs w:val="22"/>
              </w:rPr>
              <w:t>2020/21</w:t>
            </w:r>
          </w:p>
        </w:tc>
        <w:tc>
          <w:tcPr>
            <w:tcW w:w="1106" w:type="dxa"/>
            <w:tcBorders>
              <w:top w:val="nil"/>
              <w:left w:val="nil"/>
              <w:bottom w:val="nil"/>
              <w:right w:val="nil"/>
            </w:tcBorders>
            <w:shd w:val="clear" w:color="000000" w:fill="FFFFFF"/>
            <w:vAlign w:val="center"/>
            <w:hideMark/>
          </w:tcPr>
          <w:p w14:paraId="3D7280BC" w14:textId="77777777" w:rsidR="00F753E8" w:rsidRPr="008A0A4E" w:rsidRDefault="00F753E8" w:rsidP="006E1769">
            <w:pPr>
              <w:jc w:val="center"/>
              <w:rPr>
                <w:rFonts w:ascii="Arial" w:hAnsi="Arial" w:cs="Arial"/>
                <w:b/>
                <w:bCs/>
                <w:color w:val="000000"/>
                <w:sz w:val="22"/>
                <w:szCs w:val="22"/>
              </w:rPr>
            </w:pPr>
            <w:r>
              <w:rPr>
                <w:rFonts w:ascii="Arial" w:hAnsi="Arial" w:cs="Arial"/>
                <w:b/>
                <w:bCs/>
                <w:color w:val="000000"/>
                <w:sz w:val="22"/>
                <w:szCs w:val="22"/>
              </w:rPr>
              <w:t>2021/22</w:t>
            </w:r>
          </w:p>
        </w:tc>
      </w:tr>
      <w:tr w:rsidR="00F753E8" w:rsidRPr="00B64150" w14:paraId="292B748F" w14:textId="77777777" w:rsidTr="006E1769">
        <w:trPr>
          <w:trHeight w:val="250"/>
        </w:trPr>
        <w:tc>
          <w:tcPr>
            <w:tcW w:w="3634" w:type="dxa"/>
            <w:tcBorders>
              <w:top w:val="nil"/>
              <w:left w:val="nil"/>
              <w:bottom w:val="nil"/>
              <w:right w:val="nil"/>
            </w:tcBorders>
            <w:shd w:val="clear" w:color="000000" w:fill="FFFFFF"/>
            <w:hideMark/>
          </w:tcPr>
          <w:p w14:paraId="56C26435"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 </w:t>
            </w:r>
          </w:p>
        </w:tc>
        <w:tc>
          <w:tcPr>
            <w:tcW w:w="1322" w:type="dxa"/>
            <w:tcBorders>
              <w:top w:val="nil"/>
              <w:left w:val="nil"/>
              <w:bottom w:val="nil"/>
              <w:right w:val="nil"/>
            </w:tcBorders>
            <w:shd w:val="clear" w:color="000000" w:fill="FFFFFF"/>
          </w:tcPr>
          <w:p w14:paraId="7A8B1859"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£000</w:t>
            </w:r>
          </w:p>
        </w:tc>
        <w:tc>
          <w:tcPr>
            <w:tcW w:w="1106" w:type="dxa"/>
            <w:tcBorders>
              <w:top w:val="nil"/>
              <w:left w:val="nil"/>
              <w:bottom w:val="nil"/>
              <w:right w:val="nil"/>
            </w:tcBorders>
            <w:shd w:val="clear" w:color="000000" w:fill="FFFFFF"/>
            <w:hideMark/>
          </w:tcPr>
          <w:p w14:paraId="4531F908"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w:t>
            </w:r>
          </w:p>
        </w:tc>
      </w:tr>
      <w:tr w:rsidR="00F753E8" w:rsidRPr="00B64150" w14:paraId="2ED91AC4" w14:textId="77777777" w:rsidTr="006E1769">
        <w:trPr>
          <w:trHeight w:val="138"/>
        </w:trPr>
        <w:tc>
          <w:tcPr>
            <w:tcW w:w="3634" w:type="dxa"/>
            <w:tcBorders>
              <w:top w:val="nil"/>
              <w:left w:val="nil"/>
              <w:bottom w:val="nil"/>
              <w:right w:val="nil"/>
            </w:tcBorders>
            <w:shd w:val="clear" w:color="000000" w:fill="FFFFFF"/>
            <w:hideMark/>
          </w:tcPr>
          <w:p w14:paraId="032364D3"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Short Term employee benefits</w:t>
            </w:r>
          </w:p>
        </w:tc>
        <w:tc>
          <w:tcPr>
            <w:tcW w:w="1322" w:type="dxa"/>
            <w:tcBorders>
              <w:top w:val="nil"/>
              <w:left w:val="nil"/>
              <w:bottom w:val="nil"/>
              <w:right w:val="nil"/>
            </w:tcBorders>
            <w:shd w:val="clear" w:color="000000" w:fill="FFFFFF"/>
          </w:tcPr>
          <w:p w14:paraId="7FDFA214" w14:textId="77777777" w:rsidR="00F753E8" w:rsidRPr="00195F59" w:rsidRDefault="00F753E8" w:rsidP="006E1769">
            <w:pPr>
              <w:ind w:right="181"/>
              <w:jc w:val="right"/>
              <w:rPr>
                <w:rFonts w:ascii="Arial" w:hAnsi="Arial" w:cs="Arial"/>
                <w:bCs/>
                <w:color w:val="000000"/>
                <w:sz w:val="22"/>
                <w:szCs w:val="22"/>
              </w:rPr>
            </w:pPr>
            <w:r w:rsidRPr="00195F59">
              <w:rPr>
                <w:rFonts w:ascii="Arial" w:hAnsi="Arial" w:cs="Arial"/>
                <w:bCs/>
                <w:sz w:val="22"/>
                <w:szCs w:val="22"/>
              </w:rPr>
              <w:t>1</w:t>
            </w:r>
            <w:r>
              <w:rPr>
                <w:rFonts w:ascii="Arial" w:hAnsi="Arial" w:cs="Arial"/>
                <w:bCs/>
                <w:sz w:val="22"/>
                <w:szCs w:val="22"/>
              </w:rPr>
              <w:t>95.8</w:t>
            </w:r>
          </w:p>
        </w:tc>
        <w:tc>
          <w:tcPr>
            <w:tcW w:w="1106" w:type="dxa"/>
            <w:tcBorders>
              <w:top w:val="nil"/>
              <w:left w:val="nil"/>
              <w:bottom w:val="nil"/>
              <w:right w:val="nil"/>
            </w:tcBorders>
            <w:shd w:val="clear" w:color="000000" w:fill="FFFFFF"/>
          </w:tcPr>
          <w:p w14:paraId="4159D8A5" w14:textId="77777777" w:rsidR="00F753E8" w:rsidRPr="008A0A4E" w:rsidRDefault="00F753E8" w:rsidP="006E1769">
            <w:pPr>
              <w:jc w:val="right"/>
              <w:rPr>
                <w:rFonts w:ascii="Arial" w:hAnsi="Arial" w:cs="Arial"/>
                <w:b/>
                <w:sz w:val="22"/>
                <w:szCs w:val="22"/>
              </w:rPr>
            </w:pPr>
            <w:r>
              <w:rPr>
                <w:rFonts w:ascii="Arial" w:hAnsi="Arial" w:cs="Arial"/>
                <w:b/>
                <w:sz w:val="22"/>
                <w:szCs w:val="22"/>
              </w:rPr>
              <w:t>147.2</w:t>
            </w:r>
          </w:p>
        </w:tc>
      </w:tr>
      <w:tr w:rsidR="00F753E8" w:rsidRPr="00B64150" w14:paraId="7DECA6C6" w14:textId="77777777" w:rsidTr="006E1769">
        <w:trPr>
          <w:trHeight w:val="250"/>
        </w:trPr>
        <w:tc>
          <w:tcPr>
            <w:tcW w:w="3634" w:type="dxa"/>
            <w:tcBorders>
              <w:top w:val="nil"/>
              <w:left w:val="nil"/>
              <w:bottom w:val="nil"/>
              <w:right w:val="nil"/>
            </w:tcBorders>
            <w:shd w:val="clear" w:color="000000" w:fill="FFFFFF"/>
            <w:hideMark/>
          </w:tcPr>
          <w:p w14:paraId="59E4AF76"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Total</w:t>
            </w:r>
          </w:p>
        </w:tc>
        <w:tc>
          <w:tcPr>
            <w:tcW w:w="1322" w:type="dxa"/>
            <w:tcBorders>
              <w:top w:val="single" w:sz="4" w:space="0" w:color="auto"/>
              <w:left w:val="nil"/>
              <w:bottom w:val="double" w:sz="6" w:space="0" w:color="auto"/>
              <w:right w:val="nil"/>
            </w:tcBorders>
            <w:shd w:val="clear" w:color="000000" w:fill="FFFFFF"/>
          </w:tcPr>
          <w:p w14:paraId="352C2F0A" w14:textId="77777777" w:rsidR="00F753E8" w:rsidRPr="00195F59" w:rsidRDefault="00F753E8" w:rsidP="006E1769">
            <w:pPr>
              <w:ind w:right="181"/>
              <w:jc w:val="right"/>
              <w:rPr>
                <w:rFonts w:ascii="Arial" w:hAnsi="Arial" w:cs="Arial"/>
                <w:bCs/>
                <w:color w:val="000000"/>
                <w:sz w:val="22"/>
                <w:szCs w:val="22"/>
              </w:rPr>
            </w:pPr>
            <w:r w:rsidRPr="00195F59">
              <w:rPr>
                <w:rFonts w:ascii="Arial" w:hAnsi="Arial" w:cs="Arial"/>
                <w:bCs/>
                <w:sz w:val="22"/>
                <w:szCs w:val="22"/>
              </w:rPr>
              <w:t>1</w:t>
            </w:r>
            <w:r>
              <w:rPr>
                <w:rFonts w:ascii="Arial" w:hAnsi="Arial" w:cs="Arial"/>
                <w:bCs/>
                <w:sz w:val="22"/>
                <w:szCs w:val="22"/>
              </w:rPr>
              <w:t>95.8</w:t>
            </w:r>
          </w:p>
        </w:tc>
        <w:tc>
          <w:tcPr>
            <w:tcW w:w="1106" w:type="dxa"/>
            <w:tcBorders>
              <w:top w:val="single" w:sz="4" w:space="0" w:color="auto"/>
              <w:left w:val="nil"/>
              <w:bottom w:val="double" w:sz="6" w:space="0" w:color="auto"/>
              <w:right w:val="nil"/>
            </w:tcBorders>
            <w:shd w:val="clear" w:color="000000" w:fill="FFFFFF"/>
          </w:tcPr>
          <w:p w14:paraId="7B155F0E" w14:textId="77777777" w:rsidR="00F753E8" w:rsidRPr="008A0A4E" w:rsidRDefault="00F753E8" w:rsidP="006E1769">
            <w:pPr>
              <w:jc w:val="right"/>
              <w:rPr>
                <w:rFonts w:ascii="Arial" w:hAnsi="Arial" w:cs="Arial"/>
                <w:b/>
                <w:sz w:val="22"/>
                <w:szCs w:val="22"/>
              </w:rPr>
            </w:pPr>
            <w:r>
              <w:rPr>
                <w:rFonts w:ascii="Arial" w:hAnsi="Arial" w:cs="Arial"/>
                <w:b/>
                <w:sz w:val="22"/>
                <w:szCs w:val="22"/>
              </w:rPr>
              <w:t>147.2</w:t>
            </w:r>
          </w:p>
        </w:tc>
      </w:tr>
    </w:tbl>
    <w:p w14:paraId="7AC70285" w14:textId="77777777" w:rsidR="00F753E8" w:rsidRPr="008A0A4E" w:rsidRDefault="00F753E8" w:rsidP="00F753E8">
      <w:pPr>
        <w:rPr>
          <w:rFonts w:ascii="Arial" w:hAnsi="Arial" w:cs="Arial"/>
          <w:sz w:val="22"/>
          <w:szCs w:val="22"/>
        </w:rPr>
      </w:pPr>
    </w:p>
    <w:p w14:paraId="3FB8AD9D" w14:textId="77777777" w:rsidR="00F753E8" w:rsidRPr="008A0A4E" w:rsidRDefault="00F753E8" w:rsidP="007337FE">
      <w:pPr>
        <w:pStyle w:val="ListParagraph"/>
        <w:numPr>
          <w:ilvl w:val="0"/>
          <w:numId w:val="90"/>
        </w:numPr>
        <w:ind w:left="502"/>
        <w:rPr>
          <w:rFonts w:ascii="Arial" w:hAnsi="Arial" w:cs="Arial"/>
          <w:b/>
        </w:rPr>
      </w:pPr>
      <w:r w:rsidRPr="008A0A4E">
        <w:rPr>
          <w:rFonts w:ascii="Arial" w:hAnsi="Arial" w:cs="Arial"/>
          <w:b/>
        </w:rPr>
        <w:t xml:space="preserve">Financial Instruments </w:t>
      </w:r>
    </w:p>
    <w:p w14:paraId="2AE93F45" w14:textId="77777777" w:rsidR="00F753E8" w:rsidRPr="008A0A4E" w:rsidRDefault="00F753E8" w:rsidP="00F753E8">
      <w:pPr>
        <w:pStyle w:val="ListParagraph"/>
        <w:spacing w:after="0" w:line="240" w:lineRule="auto"/>
        <w:ind w:left="426"/>
        <w:rPr>
          <w:rFonts w:ascii="Arial" w:hAnsi="Arial" w:cs="Arial"/>
          <w:b/>
        </w:rPr>
      </w:pPr>
    </w:p>
    <w:p w14:paraId="512D0EBC" w14:textId="77777777" w:rsidR="00F753E8" w:rsidRPr="008A0A4E" w:rsidRDefault="00F753E8" w:rsidP="00F753E8">
      <w:pPr>
        <w:ind w:left="360"/>
        <w:jc w:val="both"/>
        <w:rPr>
          <w:rFonts w:ascii="Arial" w:hAnsi="Arial" w:cs="Arial"/>
          <w:sz w:val="22"/>
          <w:szCs w:val="22"/>
        </w:rPr>
      </w:pPr>
      <w:r w:rsidRPr="008A0A4E">
        <w:rPr>
          <w:rFonts w:ascii="Arial" w:hAnsi="Arial" w:cs="Arial"/>
          <w:sz w:val="22"/>
          <w:szCs w:val="22"/>
        </w:rPr>
        <w:t xml:space="preserve">Accounting policies describe how different asset classes of financial instruments are measured, and how income and expenses, including fair value gains and losses, are recognised.  The following table analyses the carrying amounts of financial assets and liabilities (excluding cash) by category and net assets statement heading.  No financial assets were reclassified during the accounting period. The authority has not </w:t>
      </w:r>
      <w:proofErr w:type="gramStart"/>
      <w:r w:rsidRPr="008A0A4E">
        <w:rPr>
          <w:rFonts w:ascii="Arial" w:hAnsi="Arial" w:cs="Arial"/>
          <w:sz w:val="22"/>
          <w:szCs w:val="22"/>
        </w:rPr>
        <w:t>entered into</w:t>
      </w:r>
      <w:proofErr w:type="gramEnd"/>
      <w:r w:rsidRPr="008A0A4E">
        <w:rPr>
          <w:rFonts w:ascii="Arial" w:hAnsi="Arial" w:cs="Arial"/>
          <w:sz w:val="22"/>
          <w:szCs w:val="22"/>
        </w:rPr>
        <w:t xml:space="preserve"> any financial guarantees that are required to be accounted for as financial instruments.</w:t>
      </w:r>
    </w:p>
    <w:p w14:paraId="489B25E0" w14:textId="77777777" w:rsidR="00F753E8" w:rsidRPr="008A0A4E" w:rsidRDefault="00F753E8" w:rsidP="00F753E8">
      <w:pPr>
        <w:ind w:left="360"/>
        <w:jc w:val="both"/>
        <w:rPr>
          <w:rFonts w:ascii="Arial" w:hAnsi="Arial" w:cs="Arial"/>
          <w:sz w:val="22"/>
          <w:szCs w:val="22"/>
        </w:rPr>
      </w:pPr>
    </w:p>
    <w:tbl>
      <w:tblPr>
        <w:tblW w:w="10087" w:type="dxa"/>
        <w:jc w:val="center"/>
        <w:tblLayout w:type="fixed"/>
        <w:tblLook w:val="04A0" w:firstRow="1" w:lastRow="0" w:firstColumn="1" w:lastColumn="0" w:noHBand="0" w:noVBand="1"/>
      </w:tblPr>
      <w:tblGrid>
        <w:gridCol w:w="2410"/>
        <w:gridCol w:w="1334"/>
        <w:gridCol w:w="980"/>
        <w:gridCol w:w="1247"/>
        <w:gridCol w:w="268"/>
        <w:gridCol w:w="1409"/>
        <w:gridCol w:w="965"/>
        <w:gridCol w:w="1474"/>
      </w:tblGrid>
      <w:tr w:rsidR="00F753E8" w:rsidRPr="004D3513" w14:paraId="1F4C6155" w14:textId="77777777" w:rsidTr="006E1769">
        <w:trPr>
          <w:trHeight w:val="1518"/>
          <w:jc w:val="center"/>
        </w:trPr>
        <w:tc>
          <w:tcPr>
            <w:tcW w:w="2410" w:type="dxa"/>
            <w:tcBorders>
              <w:top w:val="nil"/>
              <w:left w:val="nil"/>
              <w:bottom w:val="nil"/>
              <w:right w:val="nil"/>
            </w:tcBorders>
            <w:shd w:val="clear" w:color="auto" w:fill="auto"/>
            <w:vAlign w:val="bottom"/>
            <w:hideMark/>
          </w:tcPr>
          <w:p w14:paraId="0308EB94" w14:textId="77777777" w:rsidR="00F753E8" w:rsidRPr="004D3513" w:rsidRDefault="00F753E8" w:rsidP="006E1769">
            <w:pPr>
              <w:ind w:firstLine="42"/>
              <w:rPr>
                <w:rFonts w:ascii="Arial" w:hAnsi="Arial" w:cs="Arial"/>
                <w:b/>
                <w:bCs/>
                <w:color w:val="000000"/>
                <w:sz w:val="20"/>
                <w:szCs w:val="20"/>
              </w:rPr>
            </w:pPr>
            <w:r w:rsidRPr="004D3513">
              <w:rPr>
                <w:rFonts w:ascii="Arial" w:hAnsi="Arial" w:cs="Arial"/>
                <w:b/>
                <w:bCs/>
                <w:color w:val="000000"/>
                <w:sz w:val="20"/>
                <w:szCs w:val="20"/>
              </w:rPr>
              <w:t xml:space="preserve">Financial assets </w:t>
            </w:r>
          </w:p>
        </w:tc>
        <w:tc>
          <w:tcPr>
            <w:tcW w:w="1334" w:type="dxa"/>
            <w:tcBorders>
              <w:top w:val="nil"/>
              <w:left w:val="nil"/>
              <w:bottom w:val="nil"/>
              <w:right w:val="nil"/>
            </w:tcBorders>
            <w:shd w:val="clear" w:color="auto" w:fill="auto"/>
            <w:vAlign w:val="bottom"/>
            <w:hideMark/>
          </w:tcPr>
          <w:p w14:paraId="08424125" w14:textId="77777777" w:rsidR="00F753E8" w:rsidRPr="004D3513" w:rsidRDefault="00F753E8" w:rsidP="006E1769">
            <w:pPr>
              <w:jc w:val="center"/>
              <w:rPr>
                <w:rFonts w:ascii="Arial" w:hAnsi="Arial" w:cs="Arial"/>
                <w:bCs/>
                <w:color w:val="000000"/>
                <w:sz w:val="20"/>
                <w:szCs w:val="20"/>
              </w:rPr>
            </w:pPr>
            <w:r w:rsidRPr="004D3513">
              <w:rPr>
                <w:rFonts w:ascii="Arial" w:hAnsi="Arial" w:cs="Arial"/>
                <w:bCs/>
                <w:color w:val="000000"/>
                <w:sz w:val="20"/>
                <w:szCs w:val="20"/>
              </w:rPr>
              <w:t>Designated as fair value through profit and loss</w:t>
            </w:r>
          </w:p>
        </w:tc>
        <w:tc>
          <w:tcPr>
            <w:tcW w:w="980" w:type="dxa"/>
            <w:tcBorders>
              <w:top w:val="nil"/>
              <w:left w:val="nil"/>
              <w:bottom w:val="nil"/>
              <w:right w:val="nil"/>
            </w:tcBorders>
            <w:shd w:val="clear" w:color="auto" w:fill="auto"/>
            <w:vAlign w:val="bottom"/>
            <w:hideMark/>
          </w:tcPr>
          <w:p w14:paraId="70C9DAA5" w14:textId="77777777" w:rsidR="00F753E8" w:rsidRPr="004D3513" w:rsidRDefault="00F753E8" w:rsidP="006E1769">
            <w:pPr>
              <w:jc w:val="center"/>
              <w:rPr>
                <w:rFonts w:ascii="Arial" w:hAnsi="Arial" w:cs="Arial"/>
                <w:bCs/>
                <w:color w:val="000000"/>
                <w:sz w:val="20"/>
                <w:szCs w:val="20"/>
              </w:rPr>
            </w:pPr>
            <w:r w:rsidRPr="004D3513">
              <w:rPr>
                <w:rFonts w:ascii="Arial" w:hAnsi="Arial" w:cs="Arial"/>
                <w:sz w:val="20"/>
                <w:szCs w:val="20"/>
              </w:rPr>
              <w:t>Loans and receivables</w:t>
            </w:r>
          </w:p>
        </w:tc>
        <w:tc>
          <w:tcPr>
            <w:tcW w:w="1247" w:type="dxa"/>
            <w:tcBorders>
              <w:top w:val="nil"/>
              <w:left w:val="nil"/>
              <w:bottom w:val="nil"/>
              <w:right w:val="nil"/>
            </w:tcBorders>
            <w:shd w:val="clear" w:color="auto" w:fill="auto"/>
            <w:vAlign w:val="bottom"/>
            <w:hideMark/>
          </w:tcPr>
          <w:p w14:paraId="0AD5D13D" w14:textId="77777777" w:rsidR="00F753E8" w:rsidRPr="004D3513" w:rsidRDefault="00F753E8" w:rsidP="006E1769">
            <w:pPr>
              <w:jc w:val="center"/>
              <w:rPr>
                <w:rFonts w:ascii="Arial" w:hAnsi="Arial" w:cs="Arial"/>
                <w:bCs/>
                <w:color w:val="000000"/>
                <w:sz w:val="20"/>
                <w:szCs w:val="20"/>
              </w:rPr>
            </w:pPr>
            <w:r w:rsidRPr="004D3513">
              <w:rPr>
                <w:rFonts w:ascii="Arial" w:hAnsi="Arial" w:cs="Arial"/>
                <w:bCs/>
                <w:color w:val="000000"/>
                <w:sz w:val="20"/>
                <w:szCs w:val="20"/>
              </w:rPr>
              <w:t>Financial liabilities at amortised cost</w:t>
            </w:r>
          </w:p>
        </w:tc>
        <w:tc>
          <w:tcPr>
            <w:tcW w:w="268" w:type="dxa"/>
            <w:vMerge w:val="restart"/>
            <w:tcBorders>
              <w:top w:val="nil"/>
              <w:left w:val="nil"/>
              <w:bottom w:val="nil"/>
              <w:right w:val="nil"/>
            </w:tcBorders>
            <w:shd w:val="clear" w:color="auto" w:fill="auto"/>
            <w:vAlign w:val="bottom"/>
            <w:hideMark/>
          </w:tcPr>
          <w:p w14:paraId="47C8CBAE" w14:textId="77777777" w:rsidR="00F753E8" w:rsidRPr="004D3513" w:rsidRDefault="00F753E8" w:rsidP="006E1769">
            <w:pPr>
              <w:jc w:val="center"/>
              <w:rPr>
                <w:rFonts w:ascii="Arial" w:hAnsi="Arial" w:cs="Arial"/>
                <w:b/>
                <w:bCs/>
                <w:color w:val="000000"/>
                <w:sz w:val="20"/>
                <w:szCs w:val="20"/>
              </w:rPr>
            </w:pPr>
          </w:p>
        </w:tc>
        <w:tc>
          <w:tcPr>
            <w:tcW w:w="1409" w:type="dxa"/>
            <w:tcBorders>
              <w:top w:val="nil"/>
              <w:left w:val="nil"/>
              <w:bottom w:val="nil"/>
              <w:right w:val="nil"/>
            </w:tcBorders>
            <w:shd w:val="clear" w:color="auto" w:fill="auto"/>
            <w:vAlign w:val="bottom"/>
            <w:hideMark/>
          </w:tcPr>
          <w:p w14:paraId="7D3AA6BA"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Designated as fair value through profit and loss</w:t>
            </w:r>
          </w:p>
        </w:tc>
        <w:tc>
          <w:tcPr>
            <w:tcW w:w="965" w:type="dxa"/>
            <w:tcBorders>
              <w:top w:val="nil"/>
              <w:left w:val="nil"/>
              <w:bottom w:val="nil"/>
              <w:right w:val="nil"/>
            </w:tcBorders>
            <w:shd w:val="clear" w:color="auto" w:fill="auto"/>
            <w:vAlign w:val="bottom"/>
            <w:hideMark/>
          </w:tcPr>
          <w:p w14:paraId="4E1B2993"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sz w:val="20"/>
                <w:szCs w:val="20"/>
              </w:rPr>
              <w:t>Loans and receivables</w:t>
            </w:r>
          </w:p>
        </w:tc>
        <w:tc>
          <w:tcPr>
            <w:tcW w:w="1474" w:type="dxa"/>
            <w:tcBorders>
              <w:top w:val="nil"/>
              <w:left w:val="nil"/>
              <w:bottom w:val="nil"/>
              <w:right w:val="nil"/>
            </w:tcBorders>
            <w:shd w:val="clear" w:color="auto" w:fill="auto"/>
            <w:vAlign w:val="bottom"/>
            <w:hideMark/>
          </w:tcPr>
          <w:p w14:paraId="0316DDEC"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Financial liabilities at amortised cost</w:t>
            </w:r>
          </w:p>
        </w:tc>
      </w:tr>
      <w:tr w:rsidR="00F753E8" w:rsidRPr="004D3513" w14:paraId="4276235C" w14:textId="77777777" w:rsidTr="006E1769">
        <w:trPr>
          <w:trHeight w:val="60"/>
          <w:jc w:val="center"/>
        </w:trPr>
        <w:tc>
          <w:tcPr>
            <w:tcW w:w="2410" w:type="dxa"/>
            <w:tcBorders>
              <w:top w:val="nil"/>
              <w:left w:val="nil"/>
              <w:bottom w:val="nil"/>
              <w:right w:val="nil"/>
            </w:tcBorders>
            <w:shd w:val="clear" w:color="auto" w:fill="auto"/>
            <w:vAlign w:val="bottom"/>
            <w:hideMark/>
          </w:tcPr>
          <w:p w14:paraId="503EAF01" w14:textId="77777777" w:rsidR="00F753E8" w:rsidRPr="004D3513" w:rsidRDefault="00F753E8" w:rsidP="006E1769">
            <w:pPr>
              <w:rPr>
                <w:rFonts w:ascii="Arial" w:hAnsi="Arial" w:cs="Arial"/>
                <w:b/>
                <w:bCs/>
                <w:color w:val="000000"/>
                <w:sz w:val="20"/>
                <w:szCs w:val="20"/>
              </w:rPr>
            </w:pPr>
          </w:p>
        </w:tc>
        <w:tc>
          <w:tcPr>
            <w:tcW w:w="3561" w:type="dxa"/>
            <w:gridSpan w:val="3"/>
            <w:tcBorders>
              <w:top w:val="nil"/>
              <w:left w:val="nil"/>
              <w:bottom w:val="nil"/>
              <w:right w:val="nil"/>
            </w:tcBorders>
            <w:shd w:val="clear" w:color="auto" w:fill="auto"/>
            <w:vAlign w:val="center"/>
            <w:hideMark/>
          </w:tcPr>
          <w:p w14:paraId="0FCCA1E4" w14:textId="77777777" w:rsidR="00F753E8" w:rsidRPr="004D3513" w:rsidRDefault="00F753E8" w:rsidP="006E1769">
            <w:pPr>
              <w:jc w:val="center"/>
              <w:rPr>
                <w:rFonts w:ascii="Arial" w:hAnsi="Arial" w:cs="Arial"/>
                <w:bCs/>
                <w:color w:val="000000"/>
                <w:sz w:val="20"/>
                <w:szCs w:val="20"/>
              </w:rPr>
            </w:pPr>
            <w:r>
              <w:rPr>
                <w:rFonts w:ascii="Arial" w:hAnsi="Arial" w:cs="Arial"/>
                <w:bCs/>
                <w:color w:val="000000"/>
                <w:sz w:val="22"/>
                <w:szCs w:val="22"/>
              </w:rPr>
              <w:t>2020/21</w:t>
            </w:r>
          </w:p>
        </w:tc>
        <w:tc>
          <w:tcPr>
            <w:tcW w:w="268" w:type="dxa"/>
            <w:vMerge/>
            <w:tcBorders>
              <w:left w:val="nil"/>
              <w:right w:val="nil"/>
            </w:tcBorders>
            <w:shd w:val="clear" w:color="auto" w:fill="auto"/>
            <w:vAlign w:val="center"/>
            <w:hideMark/>
          </w:tcPr>
          <w:p w14:paraId="386B6A37" w14:textId="77777777" w:rsidR="00F753E8" w:rsidRPr="004D3513" w:rsidRDefault="00F753E8" w:rsidP="006E1769">
            <w:pPr>
              <w:jc w:val="center"/>
              <w:rPr>
                <w:rFonts w:ascii="Arial" w:hAnsi="Arial" w:cs="Arial"/>
                <w:b/>
                <w:bCs/>
                <w:color w:val="000000"/>
                <w:sz w:val="20"/>
                <w:szCs w:val="20"/>
              </w:rPr>
            </w:pPr>
          </w:p>
        </w:tc>
        <w:tc>
          <w:tcPr>
            <w:tcW w:w="3848" w:type="dxa"/>
            <w:gridSpan w:val="3"/>
            <w:tcBorders>
              <w:top w:val="nil"/>
              <w:left w:val="nil"/>
              <w:bottom w:val="nil"/>
              <w:right w:val="nil"/>
            </w:tcBorders>
            <w:shd w:val="clear" w:color="auto" w:fill="auto"/>
            <w:vAlign w:val="bottom"/>
            <w:hideMark/>
          </w:tcPr>
          <w:p w14:paraId="0BD69747" w14:textId="77777777" w:rsidR="00F753E8" w:rsidRPr="004D3513" w:rsidRDefault="00F753E8" w:rsidP="006E1769">
            <w:pPr>
              <w:jc w:val="center"/>
              <w:rPr>
                <w:rFonts w:ascii="Arial" w:hAnsi="Arial" w:cs="Arial"/>
                <w:b/>
                <w:bCs/>
                <w:color w:val="000000"/>
                <w:sz w:val="20"/>
                <w:szCs w:val="20"/>
              </w:rPr>
            </w:pPr>
            <w:r>
              <w:rPr>
                <w:rFonts w:ascii="Arial" w:hAnsi="Arial" w:cs="Arial"/>
                <w:b/>
                <w:bCs/>
                <w:color w:val="000000"/>
                <w:sz w:val="22"/>
                <w:szCs w:val="22"/>
              </w:rPr>
              <w:t>2021/22</w:t>
            </w:r>
          </w:p>
        </w:tc>
      </w:tr>
      <w:tr w:rsidR="00F753E8" w:rsidRPr="004D3513" w14:paraId="2988E5C3" w14:textId="77777777" w:rsidTr="006E1769">
        <w:trPr>
          <w:trHeight w:val="60"/>
          <w:jc w:val="center"/>
        </w:trPr>
        <w:tc>
          <w:tcPr>
            <w:tcW w:w="2410" w:type="dxa"/>
            <w:tcBorders>
              <w:top w:val="nil"/>
              <w:left w:val="nil"/>
              <w:bottom w:val="nil"/>
              <w:right w:val="nil"/>
            </w:tcBorders>
            <w:shd w:val="clear" w:color="000000" w:fill="FFFFFF"/>
            <w:vAlign w:val="bottom"/>
            <w:hideMark/>
          </w:tcPr>
          <w:p w14:paraId="49374C79"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 </w:t>
            </w:r>
          </w:p>
        </w:tc>
        <w:tc>
          <w:tcPr>
            <w:tcW w:w="1334" w:type="dxa"/>
            <w:tcBorders>
              <w:top w:val="nil"/>
              <w:left w:val="nil"/>
              <w:bottom w:val="nil"/>
              <w:right w:val="nil"/>
            </w:tcBorders>
            <w:shd w:val="clear" w:color="000000" w:fill="FFFFFF"/>
            <w:vAlign w:val="bottom"/>
            <w:hideMark/>
          </w:tcPr>
          <w:p w14:paraId="697DA5CE" w14:textId="77777777" w:rsidR="00F753E8" w:rsidRPr="004D3513" w:rsidRDefault="00F753E8" w:rsidP="006E1769">
            <w:pPr>
              <w:jc w:val="center"/>
              <w:rPr>
                <w:rFonts w:ascii="Arial" w:hAnsi="Arial" w:cs="Arial"/>
                <w:bCs/>
                <w:color w:val="000000"/>
                <w:sz w:val="20"/>
                <w:szCs w:val="20"/>
              </w:rPr>
            </w:pPr>
            <w:r w:rsidRPr="004D3513">
              <w:rPr>
                <w:rFonts w:ascii="Arial" w:hAnsi="Arial" w:cs="Arial"/>
                <w:bCs/>
                <w:color w:val="000000"/>
                <w:sz w:val="20"/>
                <w:szCs w:val="20"/>
              </w:rPr>
              <w:t>£000</w:t>
            </w:r>
          </w:p>
        </w:tc>
        <w:tc>
          <w:tcPr>
            <w:tcW w:w="980" w:type="dxa"/>
            <w:tcBorders>
              <w:top w:val="nil"/>
              <w:left w:val="nil"/>
              <w:bottom w:val="nil"/>
              <w:right w:val="nil"/>
            </w:tcBorders>
            <w:shd w:val="clear" w:color="000000" w:fill="FFFFFF"/>
            <w:vAlign w:val="bottom"/>
            <w:hideMark/>
          </w:tcPr>
          <w:p w14:paraId="144EC69A" w14:textId="77777777" w:rsidR="00F753E8" w:rsidRPr="004D3513" w:rsidRDefault="00F753E8" w:rsidP="006E1769">
            <w:pPr>
              <w:jc w:val="center"/>
              <w:rPr>
                <w:rFonts w:ascii="Arial" w:hAnsi="Arial" w:cs="Arial"/>
                <w:bCs/>
                <w:color w:val="000000"/>
                <w:sz w:val="20"/>
                <w:szCs w:val="20"/>
              </w:rPr>
            </w:pPr>
            <w:r w:rsidRPr="004D3513">
              <w:rPr>
                <w:rFonts w:ascii="Arial" w:hAnsi="Arial" w:cs="Arial"/>
                <w:bCs/>
                <w:color w:val="000000"/>
                <w:sz w:val="20"/>
                <w:szCs w:val="20"/>
              </w:rPr>
              <w:t>£000</w:t>
            </w:r>
          </w:p>
        </w:tc>
        <w:tc>
          <w:tcPr>
            <w:tcW w:w="1247" w:type="dxa"/>
            <w:tcBorders>
              <w:top w:val="nil"/>
              <w:left w:val="nil"/>
              <w:bottom w:val="nil"/>
              <w:right w:val="nil"/>
            </w:tcBorders>
            <w:shd w:val="clear" w:color="000000" w:fill="FFFFFF"/>
            <w:vAlign w:val="bottom"/>
            <w:hideMark/>
          </w:tcPr>
          <w:p w14:paraId="2D25B19A" w14:textId="77777777" w:rsidR="00F753E8" w:rsidRPr="004D3513" w:rsidRDefault="00F753E8" w:rsidP="006E1769">
            <w:pPr>
              <w:jc w:val="center"/>
              <w:rPr>
                <w:rFonts w:ascii="Arial" w:hAnsi="Arial" w:cs="Arial"/>
                <w:bCs/>
                <w:color w:val="000000"/>
                <w:sz w:val="20"/>
                <w:szCs w:val="20"/>
              </w:rPr>
            </w:pPr>
            <w:r w:rsidRPr="004D3513">
              <w:rPr>
                <w:rFonts w:ascii="Arial" w:hAnsi="Arial" w:cs="Arial"/>
                <w:bCs/>
                <w:color w:val="000000"/>
                <w:sz w:val="20"/>
                <w:szCs w:val="20"/>
              </w:rPr>
              <w:t>£000</w:t>
            </w:r>
          </w:p>
        </w:tc>
        <w:tc>
          <w:tcPr>
            <w:tcW w:w="268" w:type="dxa"/>
            <w:vMerge/>
            <w:tcBorders>
              <w:left w:val="nil"/>
              <w:right w:val="nil"/>
            </w:tcBorders>
            <w:shd w:val="clear" w:color="000000" w:fill="FFFFFF"/>
            <w:vAlign w:val="bottom"/>
            <w:hideMark/>
          </w:tcPr>
          <w:p w14:paraId="1A1B2881" w14:textId="77777777" w:rsidR="00F753E8" w:rsidRPr="004D3513" w:rsidRDefault="00F753E8" w:rsidP="006E1769">
            <w:pPr>
              <w:jc w:val="center"/>
              <w:rPr>
                <w:rFonts w:ascii="Arial" w:hAnsi="Arial" w:cs="Arial"/>
                <w:b/>
                <w:bCs/>
                <w:color w:val="000000"/>
                <w:sz w:val="20"/>
                <w:szCs w:val="20"/>
              </w:rPr>
            </w:pPr>
          </w:p>
        </w:tc>
        <w:tc>
          <w:tcPr>
            <w:tcW w:w="1409" w:type="dxa"/>
            <w:tcBorders>
              <w:top w:val="nil"/>
              <w:left w:val="nil"/>
              <w:bottom w:val="nil"/>
              <w:right w:val="nil"/>
            </w:tcBorders>
            <w:shd w:val="clear" w:color="000000" w:fill="FFFFFF"/>
            <w:vAlign w:val="bottom"/>
            <w:hideMark/>
          </w:tcPr>
          <w:p w14:paraId="1EEDA240"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£000</w:t>
            </w:r>
          </w:p>
        </w:tc>
        <w:tc>
          <w:tcPr>
            <w:tcW w:w="965" w:type="dxa"/>
            <w:tcBorders>
              <w:top w:val="nil"/>
              <w:left w:val="nil"/>
              <w:bottom w:val="nil"/>
              <w:right w:val="nil"/>
            </w:tcBorders>
            <w:shd w:val="clear" w:color="000000" w:fill="FFFFFF"/>
            <w:vAlign w:val="bottom"/>
            <w:hideMark/>
          </w:tcPr>
          <w:p w14:paraId="1D762C5F"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£000</w:t>
            </w:r>
          </w:p>
        </w:tc>
        <w:tc>
          <w:tcPr>
            <w:tcW w:w="1474" w:type="dxa"/>
            <w:tcBorders>
              <w:top w:val="nil"/>
              <w:left w:val="nil"/>
              <w:bottom w:val="nil"/>
              <w:right w:val="nil"/>
            </w:tcBorders>
            <w:shd w:val="clear" w:color="000000" w:fill="FFFFFF"/>
            <w:vAlign w:val="bottom"/>
            <w:hideMark/>
          </w:tcPr>
          <w:p w14:paraId="5990F80D" w14:textId="77777777" w:rsidR="00F753E8" w:rsidRPr="004D3513" w:rsidRDefault="00F753E8" w:rsidP="006E1769">
            <w:pPr>
              <w:jc w:val="center"/>
              <w:rPr>
                <w:rFonts w:ascii="Arial" w:hAnsi="Arial" w:cs="Arial"/>
                <w:b/>
                <w:bCs/>
                <w:color w:val="000000"/>
                <w:sz w:val="20"/>
                <w:szCs w:val="20"/>
              </w:rPr>
            </w:pPr>
            <w:r w:rsidRPr="004D3513">
              <w:rPr>
                <w:rFonts w:ascii="Arial" w:hAnsi="Arial" w:cs="Arial"/>
                <w:b/>
                <w:bCs/>
                <w:color w:val="000000"/>
                <w:sz w:val="20"/>
                <w:szCs w:val="20"/>
              </w:rPr>
              <w:t>£000</w:t>
            </w:r>
          </w:p>
        </w:tc>
      </w:tr>
      <w:tr w:rsidR="00F753E8" w:rsidRPr="004D3513" w14:paraId="50390DF7" w14:textId="77777777" w:rsidTr="006E1769">
        <w:trPr>
          <w:trHeight w:val="57"/>
          <w:jc w:val="center"/>
        </w:trPr>
        <w:tc>
          <w:tcPr>
            <w:tcW w:w="2410" w:type="dxa"/>
            <w:tcBorders>
              <w:top w:val="nil"/>
              <w:left w:val="nil"/>
              <w:bottom w:val="nil"/>
              <w:right w:val="nil"/>
            </w:tcBorders>
            <w:shd w:val="clear" w:color="auto" w:fill="auto"/>
            <w:vAlign w:val="bottom"/>
            <w:hideMark/>
          </w:tcPr>
          <w:p w14:paraId="03E337EB"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 xml:space="preserve">Pooled Fixed Income Unit Trusts   </w:t>
            </w:r>
          </w:p>
        </w:tc>
        <w:tc>
          <w:tcPr>
            <w:tcW w:w="1334" w:type="dxa"/>
            <w:tcBorders>
              <w:top w:val="nil"/>
              <w:left w:val="nil"/>
              <w:bottom w:val="nil"/>
              <w:right w:val="nil"/>
            </w:tcBorders>
            <w:shd w:val="clear" w:color="auto" w:fill="auto"/>
            <w:vAlign w:val="center"/>
          </w:tcPr>
          <w:p w14:paraId="3EE4F030"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110,643</w:t>
            </w:r>
          </w:p>
        </w:tc>
        <w:tc>
          <w:tcPr>
            <w:tcW w:w="980" w:type="dxa"/>
            <w:tcBorders>
              <w:top w:val="nil"/>
              <w:left w:val="nil"/>
              <w:bottom w:val="nil"/>
              <w:right w:val="nil"/>
            </w:tcBorders>
            <w:shd w:val="clear" w:color="auto" w:fill="auto"/>
          </w:tcPr>
          <w:p w14:paraId="6FDF35A8"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1247" w:type="dxa"/>
            <w:tcBorders>
              <w:top w:val="nil"/>
              <w:left w:val="nil"/>
              <w:bottom w:val="nil"/>
              <w:right w:val="nil"/>
            </w:tcBorders>
            <w:shd w:val="clear" w:color="auto" w:fill="auto"/>
          </w:tcPr>
          <w:p w14:paraId="611A4E2A"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268" w:type="dxa"/>
            <w:vMerge/>
            <w:tcBorders>
              <w:left w:val="nil"/>
              <w:right w:val="nil"/>
            </w:tcBorders>
            <w:shd w:val="clear" w:color="auto" w:fill="auto"/>
            <w:vAlign w:val="bottom"/>
            <w:hideMark/>
          </w:tcPr>
          <w:p w14:paraId="49357CE5" w14:textId="77777777" w:rsidR="00F753E8" w:rsidRPr="004D3513" w:rsidRDefault="00F753E8" w:rsidP="006E1769">
            <w:pPr>
              <w:jc w:val="right"/>
              <w:rPr>
                <w:rFonts w:ascii="Arial" w:hAnsi="Arial" w:cs="Arial"/>
                <w:color w:val="000000"/>
                <w:sz w:val="20"/>
                <w:szCs w:val="20"/>
              </w:rPr>
            </w:pPr>
          </w:p>
        </w:tc>
        <w:tc>
          <w:tcPr>
            <w:tcW w:w="1409" w:type="dxa"/>
            <w:tcBorders>
              <w:top w:val="nil"/>
              <w:left w:val="nil"/>
              <w:bottom w:val="nil"/>
              <w:right w:val="nil"/>
            </w:tcBorders>
            <w:shd w:val="clear" w:color="000000" w:fill="FFFFFF"/>
            <w:vAlign w:val="center"/>
          </w:tcPr>
          <w:p w14:paraId="24053CA7" w14:textId="77777777" w:rsidR="00F753E8" w:rsidRPr="00F22537" w:rsidRDefault="00F753E8" w:rsidP="006E1769">
            <w:pPr>
              <w:jc w:val="right"/>
              <w:rPr>
                <w:rFonts w:ascii="Arial" w:hAnsi="Arial" w:cs="Arial"/>
                <w:b/>
                <w:sz w:val="20"/>
                <w:szCs w:val="20"/>
              </w:rPr>
            </w:pPr>
            <w:r w:rsidRPr="00F22537">
              <w:rPr>
                <w:rFonts w:ascii="Arial" w:hAnsi="Arial" w:cs="Arial"/>
                <w:b/>
                <w:bCs/>
                <w:color w:val="000000"/>
                <w:sz w:val="20"/>
                <w:szCs w:val="20"/>
              </w:rPr>
              <w:t>113,364</w:t>
            </w:r>
          </w:p>
        </w:tc>
        <w:tc>
          <w:tcPr>
            <w:tcW w:w="965" w:type="dxa"/>
            <w:tcBorders>
              <w:top w:val="nil"/>
              <w:left w:val="nil"/>
              <w:bottom w:val="nil"/>
              <w:right w:val="nil"/>
            </w:tcBorders>
            <w:shd w:val="clear" w:color="auto" w:fill="auto"/>
          </w:tcPr>
          <w:p w14:paraId="77F495E0" w14:textId="77777777" w:rsidR="00F753E8" w:rsidRPr="004D3513" w:rsidRDefault="00F753E8" w:rsidP="006E1769">
            <w:pPr>
              <w:jc w:val="right"/>
              <w:rPr>
                <w:rFonts w:ascii="Arial" w:hAnsi="Arial" w:cs="Arial"/>
                <w:b/>
                <w:sz w:val="20"/>
                <w:szCs w:val="20"/>
              </w:rPr>
            </w:pPr>
          </w:p>
        </w:tc>
        <w:tc>
          <w:tcPr>
            <w:tcW w:w="1474" w:type="dxa"/>
            <w:tcBorders>
              <w:top w:val="nil"/>
              <w:left w:val="nil"/>
              <w:bottom w:val="nil"/>
              <w:right w:val="nil"/>
            </w:tcBorders>
            <w:shd w:val="clear" w:color="auto" w:fill="auto"/>
          </w:tcPr>
          <w:p w14:paraId="7D26AFF4" w14:textId="77777777" w:rsidR="00F753E8" w:rsidRPr="004D3513" w:rsidRDefault="00F753E8" w:rsidP="006E1769">
            <w:pPr>
              <w:jc w:val="right"/>
              <w:rPr>
                <w:rFonts w:ascii="Arial" w:hAnsi="Arial" w:cs="Arial"/>
                <w:b/>
                <w:sz w:val="20"/>
                <w:szCs w:val="20"/>
              </w:rPr>
            </w:pPr>
          </w:p>
        </w:tc>
      </w:tr>
      <w:tr w:rsidR="00F753E8" w:rsidRPr="004D3513" w14:paraId="7D3CC01E" w14:textId="77777777" w:rsidTr="006E1769">
        <w:trPr>
          <w:trHeight w:val="57"/>
          <w:jc w:val="center"/>
        </w:trPr>
        <w:tc>
          <w:tcPr>
            <w:tcW w:w="2410" w:type="dxa"/>
            <w:tcBorders>
              <w:top w:val="nil"/>
              <w:left w:val="nil"/>
              <w:bottom w:val="nil"/>
              <w:right w:val="nil"/>
            </w:tcBorders>
            <w:shd w:val="clear" w:color="auto" w:fill="auto"/>
            <w:vAlign w:val="bottom"/>
            <w:hideMark/>
          </w:tcPr>
          <w:p w14:paraId="37D98CFB"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Equities</w:t>
            </w:r>
          </w:p>
        </w:tc>
        <w:tc>
          <w:tcPr>
            <w:tcW w:w="1334" w:type="dxa"/>
            <w:tcBorders>
              <w:top w:val="nil"/>
              <w:left w:val="nil"/>
              <w:bottom w:val="nil"/>
              <w:right w:val="nil"/>
            </w:tcBorders>
            <w:shd w:val="clear" w:color="auto" w:fill="auto"/>
            <w:vAlign w:val="center"/>
          </w:tcPr>
          <w:p w14:paraId="30024144"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753,089</w:t>
            </w:r>
          </w:p>
        </w:tc>
        <w:tc>
          <w:tcPr>
            <w:tcW w:w="980" w:type="dxa"/>
            <w:tcBorders>
              <w:top w:val="nil"/>
              <w:left w:val="nil"/>
              <w:bottom w:val="nil"/>
              <w:right w:val="nil"/>
            </w:tcBorders>
            <w:shd w:val="clear" w:color="auto" w:fill="auto"/>
          </w:tcPr>
          <w:p w14:paraId="618E9D80"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1247" w:type="dxa"/>
            <w:tcBorders>
              <w:top w:val="nil"/>
              <w:left w:val="nil"/>
              <w:bottom w:val="nil"/>
              <w:right w:val="nil"/>
            </w:tcBorders>
            <w:shd w:val="clear" w:color="auto" w:fill="auto"/>
          </w:tcPr>
          <w:p w14:paraId="373D2280"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268" w:type="dxa"/>
            <w:vMerge/>
            <w:tcBorders>
              <w:left w:val="nil"/>
              <w:right w:val="nil"/>
            </w:tcBorders>
            <w:shd w:val="clear" w:color="auto" w:fill="auto"/>
            <w:vAlign w:val="bottom"/>
            <w:hideMark/>
          </w:tcPr>
          <w:p w14:paraId="3F614AA9" w14:textId="77777777" w:rsidR="00F753E8" w:rsidRPr="004D3513" w:rsidRDefault="00F753E8" w:rsidP="006E1769">
            <w:pPr>
              <w:jc w:val="right"/>
              <w:rPr>
                <w:rFonts w:ascii="Arial" w:hAnsi="Arial" w:cs="Arial"/>
                <w:color w:val="000000"/>
                <w:sz w:val="20"/>
                <w:szCs w:val="20"/>
              </w:rPr>
            </w:pPr>
          </w:p>
        </w:tc>
        <w:tc>
          <w:tcPr>
            <w:tcW w:w="1409" w:type="dxa"/>
            <w:tcBorders>
              <w:top w:val="nil"/>
              <w:left w:val="nil"/>
              <w:bottom w:val="nil"/>
              <w:right w:val="nil"/>
            </w:tcBorders>
            <w:shd w:val="clear" w:color="000000" w:fill="FFFFFF"/>
            <w:vAlign w:val="center"/>
          </w:tcPr>
          <w:p w14:paraId="127A1E26" w14:textId="77777777" w:rsidR="00F753E8" w:rsidRPr="00F22537" w:rsidRDefault="00F753E8" w:rsidP="006E1769">
            <w:pPr>
              <w:jc w:val="right"/>
              <w:rPr>
                <w:rFonts w:ascii="Arial" w:hAnsi="Arial" w:cs="Arial"/>
                <w:b/>
                <w:sz w:val="20"/>
                <w:szCs w:val="20"/>
              </w:rPr>
            </w:pPr>
            <w:r w:rsidRPr="00F22537">
              <w:rPr>
                <w:rFonts w:ascii="Arial" w:hAnsi="Arial" w:cs="Arial"/>
                <w:b/>
                <w:bCs/>
                <w:color w:val="000000"/>
                <w:sz w:val="20"/>
                <w:szCs w:val="20"/>
              </w:rPr>
              <w:t>773,146</w:t>
            </w:r>
          </w:p>
        </w:tc>
        <w:tc>
          <w:tcPr>
            <w:tcW w:w="965" w:type="dxa"/>
            <w:tcBorders>
              <w:top w:val="nil"/>
              <w:left w:val="nil"/>
              <w:bottom w:val="nil"/>
              <w:right w:val="nil"/>
            </w:tcBorders>
            <w:shd w:val="clear" w:color="auto" w:fill="auto"/>
          </w:tcPr>
          <w:p w14:paraId="71E348BB" w14:textId="77777777" w:rsidR="00F753E8" w:rsidRPr="004D3513" w:rsidRDefault="00F753E8" w:rsidP="006E1769">
            <w:pPr>
              <w:jc w:val="right"/>
              <w:rPr>
                <w:rFonts w:ascii="Arial" w:hAnsi="Arial" w:cs="Arial"/>
                <w:b/>
                <w:sz w:val="20"/>
                <w:szCs w:val="20"/>
              </w:rPr>
            </w:pPr>
          </w:p>
        </w:tc>
        <w:tc>
          <w:tcPr>
            <w:tcW w:w="1474" w:type="dxa"/>
            <w:tcBorders>
              <w:top w:val="nil"/>
              <w:left w:val="nil"/>
              <w:bottom w:val="nil"/>
              <w:right w:val="nil"/>
            </w:tcBorders>
            <w:shd w:val="clear" w:color="auto" w:fill="auto"/>
          </w:tcPr>
          <w:p w14:paraId="376A1F3A" w14:textId="77777777" w:rsidR="00F753E8" w:rsidRPr="004D3513" w:rsidRDefault="00F753E8" w:rsidP="006E1769">
            <w:pPr>
              <w:jc w:val="right"/>
              <w:rPr>
                <w:rFonts w:ascii="Arial" w:hAnsi="Arial" w:cs="Arial"/>
                <w:b/>
                <w:sz w:val="20"/>
                <w:szCs w:val="20"/>
              </w:rPr>
            </w:pPr>
          </w:p>
        </w:tc>
      </w:tr>
      <w:tr w:rsidR="00F753E8" w:rsidRPr="004D3513" w14:paraId="7F5DC008" w14:textId="77777777" w:rsidTr="006E1769">
        <w:trPr>
          <w:trHeight w:val="110"/>
          <w:jc w:val="center"/>
        </w:trPr>
        <w:tc>
          <w:tcPr>
            <w:tcW w:w="2410" w:type="dxa"/>
            <w:tcBorders>
              <w:top w:val="nil"/>
              <w:left w:val="nil"/>
              <w:bottom w:val="nil"/>
              <w:right w:val="nil"/>
            </w:tcBorders>
            <w:shd w:val="clear" w:color="auto" w:fill="auto"/>
            <w:vAlign w:val="bottom"/>
            <w:hideMark/>
          </w:tcPr>
          <w:p w14:paraId="1EA34D1D"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Property Unit Trusts</w:t>
            </w:r>
          </w:p>
        </w:tc>
        <w:tc>
          <w:tcPr>
            <w:tcW w:w="1334" w:type="dxa"/>
            <w:tcBorders>
              <w:top w:val="nil"/>
              <w:left w:val="nil"/>
              <w:bottom w:val="nil"/>
              <w:right w:val="nil"/>
            </w:tcBorders>
            <w:shd w:val="clear" w:color="auto" w:fill="auto"/>
            <w:vAlign w:val="center"/>
          </w:tcPr>
          <w:p w14:paraId="79D22214"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60,250</w:t>
            </w:r>
          </w:p>
        </w:tc>
        <w:tc>
          <w:tcPr>
            <w:tcW w:w="980" w:type="dxa"/>
            <w:tcBorders>
              <w:top w:val="nil"/>
              <w:left w:val="nil"/>
              <w:bottom w:val="nil"/>
              <w:right w:val="nil"/>
            </w:tcBorders>
            <w:shd w:val="clear" w:color="auto" w:fill="auto"/>
          </w:tcPr>
          <w:p w14:paraId="0D726396"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14,365</w:t>
            </w:r>
          </w:p>
        </w:tc>
        <w:tc>
          <w:tcPr>
            <w:tcW w:w="1247" w:type="dxa"/>
            <w:tcBorders>
              <w:top w:val="nil"/>
              <w:left w:val="nil"/>
              <w:bottom w:val="nil"/>
              <w:right w:val="nil"/>
            </w:tcBorders>
            <w:shd w:val="clear" w:color="auto" w:fill="auto"/>
          </w:tcPr>
          <w:p w14:paraId="786330F4"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268" w:type="dxa"/>
            <w:vMerge/>
            <w:tcBorders>
              <w:left w:val="nil"/>
              <w:right w:val="nil"/>
            </w:tcBorders>
            <w:shd w:val="clear" w:color="auto" w:fill="auto"/>
            <w:vAlign w:val="bottom"/>
            <w:hideMark/>
          </w:tcPr>
          <w:p w14:paraId="1059FB14" w14:textId="77777777" w:rsidR="00F753E8" w:rsidRPr="004D3513" w:rsidRDefault="00F753E8" w:rsidP="006E1769">
            <w:pPr>
              <w:jc w:val="right"/>
              <w:rPr>
                <w:rFonts w:ascii="Arial" w:hAnsi="Arial" w:cs="Arial"/>
                <w:color w:val="000000"/>
                <w:sz w:val="20"/>
                <w:szCs w:val="20"/>
              </w:rPr>
            </w:pPr>
          </w:p>
        </w:tc>
        <w:tc>
          <w:tcPr>
            <w:tcW w:w="1409" w:type="dxa"/>
            <w:tcBorders>
              <w:top w:val="nil"/>
              <w:left w:val="nil"/>
              <w:bottom w:val="nil"/>
              <w:right w:val="nil"/>
            </w:tcBorders>
            <w:shd w:val="clear" w:color="000000" w:fill="FFFFFF"/>
            <w:vAlign w:val="center"/>
          </w:tcPr>
          <w:p w14:paraId="6701DA3F" w14:textId="77777777" w:rsidR="00F753E8" w:rsidRPr="00F22537" w:rsidRDefault="00F753E8" w:rsidP="006E1769">
            <w:pPr>
              <w:jc w:val="right"/>
              <w:rPr>
                <w:rFonts w:ascii="Arial" w:hAnsi="Arial" w:cs="Arial"/>
                <w:b/>
                <w:sz w:val="20"/>
                <w:szCs w:val="20"/>
              </w:rPr>
            </w:pPr>
            <w:r w:rsidRPr="00F22537">
              <w:rPr>
                <w:rFonts w:ascii="Arial" w:hAnsi="Arial" w:cs="Arial"/>
                <w:b/>
                <w:bCs/>
                <w:color w:val="000000"/>
                <w:sz w:val="20"/>
                <w:szCs w:val="20"/>
              </w:rPr>
              <w:t>62,413</w:t>
            </w:r>
          </w:p>
        </w:tc>
        <w:tc>
          <w:tcPr>
            <w:tcW w:w="965" w:type="dxa"/>
            <w:tcBorders>
              <w:top w:val="nil"/>
              <w:left w:val="nil"/>
              <w:bottom w:val="nil"/>
              <w:right w:val="nil"/>
            </w:tcBorders>
            <w:shd w:val="clear" w:color="auto" w:fill="auto"/>
          </w:tcPr>
          <w:p w14:paraId="4D1E94A1" w14:textId="77777777" w:rsidR="00F753E8" w:rsidRPr="004D3513" w:rsidRDefault="00F753E8" w:rsidP="006E1769">
            <w:pPr>
              <w:jc w:val="right"/>
              <w:rPr>
                <w:rFonts w:ascii="Arial" w:hAnsi="Arial" w:cs="Arial"/>
                <w:b/>
                <w:sz w:val="20"/>
                <w:szCs w:val="20"/>
              </w:rPr>
            </w:pPr>
          </w:p>
        </w:tc>
        <w:tc>
          <w:tcPr>
            <w:tcW w:w="1474" w:type="dxa"/>
            <w:tcBorders>
              <w:top w:val="nil"/>
              <w:left w:val="nil"/>
              <w:bottom w:val="nil"/>
              <w:right w:val="nil"/>
            </w:tcBorders>
            <w:shd w:val="clear" w:color="auto" w:fill="auto"/>
          </w:tcPr>
          <w:p w14:paraId="2938B3FD" w14:textId="77777777" w:rsidR="00F753E8" w:rsidRPr="004D3513" w:rsidRDefault="00F753E8" w:rsidP="006E1769">
            <w:pPr>
              <w:jc w:val="right"/>
              <w:rPr>
                <w:rFonts w:ascii="Arial" w:hAnsi="Arial" w:cs="Arial"/>
                <w:b/>
                <w:sz w:val="20"/>
                <w:szCs w:val="20"/>
              </w:rPr>
            </w:pPr>
          </w:p>
        </w:tc>
      </w:tr>
      <w:tr w:rsidR="00F753E8" w:rsidRPr="004D3513" w14:paraId="4EF860B1" w14:textId="77777777" w:rsidTr="006E1769">
        <w:trPr>
          <w:trHeight w:val="57"/>
          <w:jc w:val="center"/>
        </w:trPr>
        <w:tc>
          <w:tcPr>
            <w:tcW w:w="2410" w:type="dxa"/>
            <w:tcBorders>
              <w:top w:val="nil"/>
              <w:left w:val="nil"/>
              <w:bottom w:val="nil"/>
              <w:right w:val="nil"/>
            </w:tcBorders>
            <w:shd w:val="clear" w:color="auto" w:fill="auto"/>
            <w:vAlign w:val="bottom"/>
            <w:hideMark/>
          </w:tcPr>
          <w:p w14:paraId="4A9CEBEA"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 xml:space="preserve">Cash </w:t>
            </w:r>
          </w:p>
        </w:tc>
        <w:tc>
          <w:tcPr>
            <w:tcW w:w="1334" w:type="dxa"/>
            <w:tcBorders>
              <w:top w:val="nil"/>
              <w:left w:val="nil"/>
              <w:bottom w:val="nil"/>
              <w:right w:val="nil"/>
            </w:tcBorders>
            <w:shd w:val="clear" w:color="auto" w:fill="auto"/>
            <w:vAlign w:val="center"/>
          </w:tcPr>
          <w:p w14:paraId="01135757" w14:textId="77777777" w:rsidR="00F753E8" w:rsidRPr="00942604" w:rsidRDefault="00F753E8" w:rsidP="006E1769">
            <w:pPr>
              <w:jc w:val="right"/>
              <w:rPr>
                <w:rFonts w:ascii="Arial" w:hAnsi="Arial" w:cs="Arial"/>
                <w:bCs/>
                <w:color w:val="000000"/>
                <w:sz w:val="20"/>
                <w:szCs w:val="20"/>
              </w:rPr>
            </w:pPr>
          </w:p>
        </w:tc>
        <w:tc>
          <w:tcPr>
            <w:tcW w:w="980" w:type="dxa"/>
            <w:tcBorders>
              <w:top w:val="nil"/>
              <w:left w:val="nil"/>
              <w:bottom w:val="nil"/>
              <w:right w:val="nil"/>
            </w:tcBorders>
            <w:shd w:val="clear" w:color="auto" w:fill="auto"/>
          </w:tcPr>
          <w:p w14:paraId="5E0A4439"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1247" w:type="dxa"/>
            <w:tcBorders>
              <w:top w:val="nil"/>
              <w:left w:val="nil"/>
              <w:bottom w:val="nil"/>
              <w:right w:val="nil"/>
            </w:tcBorders>
            <w:shd w:val="clear" w:color="auto" w:fill="auto"/>
          </w:tcPr>
          <w:p w14:paraId="4AE83193"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268" w:type="dxa"/>
            <w:vMerge/>
            <w:tcBorders>
              <w:left w:val="nil"/>
              <w:right w:val="nil"/>
            </w:tcBorders>
            <w:shd w:val="clear" w:color="auto" w:fill="auto"/>
            <w:vAlign w:val="bottom"/>
            <w:hideMark/>
          </w:tcPr>
          <w:p w14:paraId="48C2A4CD" w14:textId="77777777" w:rsidR="00F753E8" w:rsidRPr="004D3513" w:rsidRDefault="00F753E8" w:rsidP="006E1769">
            <w:pPr>
              <w:jc w:val="right"/>
              <w:rPr>
                <w:rFonts w:ascii="Arial" w:hAnsi="Arial" w:cs="Arial"/>
                <w:color w:val="000000"/>
                <w:sz w:val="20"/>
                <w:szCs w:val="20"/>
              </w:rPr>
            </w:pPr>
          </w:p>
        </w:tc>
        <w:tc>
          <w:tcPr>
            <w:tcW w:w="1409" w:type="dxa"/>
            <w:tcBorders>
              <w:top w:val="nil"/>
              <w:left w:val="nil"/>
              <w:bottom w:val="nil"/>
              <w:right w:val="nil"/>
            </w:tcBorders>
            <w:shd w:val="clear" w:color="auto" w:fill="auto"/>
            <w:vAlign w:val="center"/>
          </w:tcPr>
          <w:p w14:paraId="6E39227D" w14:textId="77777777" w:rsidR="00F753E8" w:rsidRPr="00F22537" w:rsidRDefault="00F753E8" w:rsidP="006E1769">
            <w:pPr>
              <w:jc w:val="right"/>
              <w:rPr>
                <w:rFonts w:ascii="Arial" w:hAnsi="Arial" w:cs="Arial"/>
                <w:b/>
                <w:sz w:val="20"/>
                <w:szCs w:val="20"/>
              </w:rPr>
            </w:pPr>
          </w:p>
        </w:tc>
        <w:tc>
          <w:tcPr>
            <w:tcW w:w="965" w:type="dxa"/>
            <w:tcBorders>
              <w:top w:val="nil"/>
              <w:left w:val="nil"/>
              <w:bottom w:val="nil"/>
              <w:right w:val="nil"/>
            </w:tcBorders>
            <w:shd w:val="clear" w:color="auto" w:fill="auto"/>
          </w:tcPr>
          <w:p w14:paraId="20ED0355" w14:textId="77777777" w:rsidR="00F753E8" w:rsidRPr="004D3513" w:rsidRDefault="00F753E8" w:rsidP="006E1769">
            <w:pPr>
              <w:jc w:val="right"/>
              <w:rPr>
                <w:rFonts w:ascii="Arial" w:hAnsi="Arial" w:cs="Arial"/>
                <w:b/>
                <w:sz w:val="20"/>
                <w:szCs w:val="20"/>
              </w:rPr>
            </w:pPr>
            <w:r w:rsidRPr="00D122D8">
              <w:rPr>
                <w:rFonts w:ascii="Arial" w:hAnsi="Arial" w:cs="Arial"/>
                <w:b/>
                <w:sz w:val="20"/>
                <w:szCs w:val="20"/>
              </w:rPr>
              <w:t>13,816</w:t>
            </w:r>
          </w:p>
        </w:tc>
        <w:tc>
          <w:tcPr>
            <w:tcW w:w="1474" w:type="dxa"/>
            <w:tcBorders>
              <w:top w:val="nil"/>
              <w:left w:val="nil"/>
              <w:bottom w:val="nil"/>
              <w:right w:val="nil"/>
            </w:tcBorders>
            <w:shd w:val="clear" w:color="auto" w:fill="auto"/>
          </w:tcPr>
          <w:p w14:paraId="3FA59956" w14:textId="77777777" w:rsidR="00F753E8" w:rsidRPr="004D3513" w:rsidRDefault="00F753E8" w:rsidP="006E1769">
            <w:pPr>
              <w:jc w:val="right"/>
              <w:rPr>
                <w:rFonts w:ascii="Arial" w:hAnsi="Arial" w:cs="Arial"/>
                <w:b/>
                <w:sz w:val="20"/>
                <w:szCs w:val="20"/>
              </w:rPr>
            </w:pPr>
          </w:p>
        </w:tc>
      </w:tr>
      <w:tr w:rsidR="00F753E8" w:rsidRPr="004D3513" w14:paraId="422EA1A3" w14:textId="77777777" w:rsidTr="006E1769">
        <w:trPr>
          <w:trHeight w:val="57"/>
          <w:jc w:val="center"/>
        </w:trPr>
        <w:tc>
          <w:tcPr>
            <w:tcW w:w="2410" w:type="dxa"/>
            <w:tcBorders>
              <w:top w:val="nil"/>
              <w:left w:val="nil"/>
              <w:bottom w:val="nil"/>
              <w:right w:val="nil"/>
            </w:tcBorders>
            <w:shd w:val="clear" w:color="auto" w:fill="auto"/>
            <w:vAlign w:val="bottom"/>
            <w:hideMark/>
          </w:tcPr>
          <w:p w14:paraId="29A24815"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 xml:space="preserve">Other investments </w:t>
            </w:r>
          </w:p>
        </w:tc>
        <w:tc>
          <w:tcPr>
            <w:tcW w:w="1334" w:type="dxa"/>
            <w:tcBorders>
              <w:top w:val="nil"/>
              <w:left w:val="nil"/>
              <w:bottom w:val="nil"/>
              <w:right w:val="nil"/>
            </w:tcBorders>
            <w:shd w:val="clear" w:color="auto" w:fill="auto"/>
            <w:vAlign w:val="center"/>
          </w:tcPr>
          <w:p w14:paraId="51B4290A"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373,642</w:t>
            </w:r>
          </w:p>
        </w:tc>
        <w:tc>
          <w:tcPr>
            <w:tcW w:w="980" w:type="dxa"/>
            <w:tcBorders>
              <w:top w:val="nil"/>
              <w:left w:val="nil"/>
              <w:bottom w:val="nil"/>
              <w:right w:val="nil"/>
            </w:tcBorders>
            <w:shd w:val="clear" w:color="auto" w:fill="auto"/>
          </w:tcPr>
          <w:p w14:paraId="0797558E"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1247" w:type="dxa"/>
            <w:tcBorders>
              <w:top w:val="nil"/>
              <w:left w:val="nil"/>
              <w:bottom w:val="nil"/>
              <w:right w:val="nil"/>
            </w:tcBorders>
            <w:shd w:val="clear" w:color="auto" w:fill="auto"/>
          </w:tcPr>
          <w:p w14:paraId="53B9D1CC"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268" w:type="dxa"/>
            <w:vMerge/>
            <w:tcBorders>
              <w:left w:val="nil"/>
              <w:right w:val="nil"/>
            </w:tcBorders>
            <w:shd w:val="clear" w:color="auto" w:fill="auto"/>
            <w:vAlign w:val="bottom"/>
            <w:hideMark/>
          </w:tcPr>
          <w:p w14:paraId="1AB25534" w14:textId="77777777" w:rsidR="00F753E8" w:rsidRPr="004D3513" w:rsidRDefault="00F753E8" w:rsidP="006E1769">
            <w:pPr>
              <w:jc w:val="right"/>
              <w:rPr>
                <w:rFonts w:ascii="Arial" w:hAnsi="Arial" w:cs="Arial"/>
                <w:color w:val="000000"/>
                <w:sz w:val="20"/>
                <w:szCs w:val="20"/>
              </w:rPr>
            </w:pPr>
          </w:p>
        </w:tc>
        <w:tc>
          <w:tcPr>
            <w:tcW w:w="1409" w:type="dxa"/>
            <w:tcBorders>
              <w:top w:val="nil"/>
              <w:left w:val="nil"/>
              <w:bottom w:val="nil"/>
              <w:right w:val="nil"/>
            </w:tcBorders>
            <w:shd w:val="clear" w:color="auto" w:fill="auto"/>
            <w:vAlign w:val="center"/>
          </w:tcPr>
          <w:p w14:paraId="467B7A6A" w14:textId="77777777" w:rsidR="00F753E8" w:rsidRPr="00F22537" w:rsidRDefault="00F753E8" w:rsidP="006E1769">
            <w:pPr>
              <w:jc w:val="right"/>
              <w:rPr>
                <w:rFonts w:ascii="Arial" w:hAnsi="Arial" w:cs="Arial"/>
                <w:b/>
                <w:sz w:val="20"/>
                <w:szCs w:val="20"/>
              </w:rPr>
            </w:pPr>
            <w:r w:rsidRPr="00F22537">
              <w:rPr>
                <w:rFonts w:ascii="Arial" w:hAnsi="Arial" w:cs="Arial"/>
                <w:b/>
                <w:sz w:val="20"/>
                <w:szCs w:val="20"/>
              </w:rPr>
              <w:t>418,777</w:t>
            </w:r>
          </w:p>
        </w:tc>
        <w:tc>
          <w:tcPr>
            <w:tcW w:w="965" w:type="dxa"/>
            <w:tcBorders>
              <w:top w:val="nil"/>
              <w:left w:val="nil"/>
              <w:bottom w:val="nil"/>
              <w:right w:val="nil"/>
            </w:tcBorders>
            <w:shd w:val="clear" w:color="auto" w:fill="auto"/>
          </w:tcPr>
          <w:p w14:paraId="0A141C23" w14:textId="77777777" w:rsidR="00F753E8" w:rsidRPr="004D3513" w:rsidRDefault="00F753E8" w:rsidP="006E1769">
            <w:pPr>
              <w:jc w:val="right"/>
              <w:rPr>
                <w:rFonts w:ascii="Arial" w:hAnsi="Arial" w:cs="Arial"/>
                <w:b/>
                <w:sz w:val="20"/>
                <w:szCs w:val="20"/>
              </w:rPr>
            </w:pPr>
          </w:p>
        </w:tc>
        <w:tc>
          <w:tcPr>
            <w:tcW w:w="1474" w:type="dxa"/>
            <w:tcBorders>
              <w:top w:val="nil"/>
              <w:left w:val="nil"/>
              <w:bottom w:val="nil"/>
              <w:right w:val="nil"/>
            </w:tcBorders>
            <w:shd w:val="clear" w:color="auto" w:fill="auto"/>
          </w:tcPr>
          <w:p w14:paraId="40882635" w14:textId="77777777" w:rsidR="00F753E8" w:rsidRPr="004D3513" w:rsidRDefault="00F753E8" w:rsidP="006E1769">
            <w:pPr>
              <w:jc w:val="right"/>
              <w:rPr>
                <w:rFonts w:ascii="Arial" w:hAnsi="Arial" w:cs="Arial"/>
                <w:b/>
                <w:sz w:val="20"/>
                <w:szCs w:val="20"/>
              </w:rPr>
            </w:pPr>
          </w:p>
        </w:tc>
      </w:tr>
      <w:tr w:rsidR="00F753E8" w:rsidRPr="004D3513" w14:paraId="707AE967" w14:textId="77777777" w:rsidTr="006E1769">
        <w:trPr>
          <w:trHeight w:val="57"/>
          <w:jc w:val="center"/>
        </w:trPr>
        <w:tc>
          <w:tcPr>
            <w:tcW w:w="2410" w:type="dxa"/>
            <w:tcBorders>
              <w:top w:val="nil"/>
              <w:left w:val="nil"/>
              <w:bottom w:val="nil"/>
              <w:right w:val="nil"/>
            </w:tcBorders>
            <w:shd w:val="clear" w:color="auto" w:fill="auto"/>
            <w:vAlign w:val="bottom"/>
          </w:tcPr>
          <w:p w14:paraId="11FBB0A7" w14:textId="77777777" w:rsidR="00F753E8" w:rsidRPr="004D3513" w:rsidRDefault="00F753E8" w:rsidP="006E1769">
            <w:pPr>
              <w:rPr>
                <w:rFonts w:ascii="Arial" w:hAnsi="Arial" w:cs="Arial"/>
                <w:color w:val="000000"/>
                <w:sz w:val="20"/>
                <w:szCs w:val="20"/>
              </w:rPr>
            </w:pPr>
            <w:r w:rsidRPr="004D3513">
              <w:rPr>
                <w:rFonts w:ascii="Arial" w:hAnsi="Arial" w:cs="Arial"/>
                <w:color w:val="000000"/>
                <w:sz w:val="20"/>
                <w:szCs w:val="20"/>
              </w:rPr>
              <w:t>Pending Trade Sales</w:t>
            </w:r>
          </w:p>
        </w:tc>
        <w:tc>
          <w:tcPr>
            <w:tcW w:w="1334" w:type="dxa"/>
            <w:tcBorders>
              <w:top w:val="nil"/>
              <w:left w:val="nil"/>
              <w:bottom w:val="nil"/>
              <w:right w:val="nil"/>
            </w:tcBorders>
            <w:shd w:val="clear" w:color="auto" w:fill="auto"/>
            <w:vAlign w:val="center"/>
          </w:tcPr>
          <w:p w14:paraId="7FB4A040" w14:textId="77777777" w:rsidR="00F753E8" w:rsidRPr="00942604" w:rsidRDefault="00F753E8" w:rsidP="006E1769">
            <w:pPr>
              <w:jc w:val="right"/>
              <w:rPr>
                <w:rFonts w:ascii="Arial" w:hAnsi="Arial" w:cs="Arial"/>
                <w:bCs/>
                <w:color w:val="000000"/>
                <w:sz w:val="20"/>
                <w:szCs w:val="20"/>
              </w:rPr>
            </w:pPr>
          </w:p>
        </w:tc>
        <w:tc>
          <w:tcPr>
            <w:tcW w:w="980" w:type="dxa"/>
            <w:tcBorders>
              <w:top w:val="nil"/>
              <w:left w:val="nil"/>
              <w:bottom w:val="nil"/>
              <w:right w:val="nil"/>
            </w:tcBorders>
            <w:shd w:val="clear" w:color="auto" w:fill="auto"/>
          </w:tcPr>
          <w:p w14:paraId="4F74B02F" w14:textId="77777777" w:rsidR="00F753E8" w:rsidRPr="00942604" w:rsidRDefault="00F753E8" w:rsidP="006E1769">
            <w:pPr>
              <w:jc w:val="right"/>
              <w:rPr>
                <w:rFonts w:ascii="Arial" w:hAnsi="Arial" w:cs="Arial"/>
                <w:bCs/>
                <w:sz w:val="20"/>
                <w:szCs w:val="20"/>
              </w:rPr>
            </w:pPr>
            <w:r w:rsidRPr="00942604">
              <w:rPr>
                <w:rFonts w:ascii="Arial" w:hAnsi="Arial" w:cs="Arial"/>
                <w:bCs/>
                <w:sz w:val="20"/>
                <w:szCs w:val="20"/>
              </w:rPr>
              <w:t>-</w:t>
            </w:r>
          </w:p>
        </w:tc>
        <w:tc>
          <w:tcPr>
            <w:tcW w:w="1247" w:type="dxa"/>
            <w:tcBorders>
              <w:top w:val="nil"/>
              <w:left w:val="nil"/>
              <w:bottom w:val="nil"/>
              <w:right w:val="nil"/>
            </w:tcBorders>
            <w:shd w:val="clear" w:color="auto" w:fill="auto"/>
          </w:tcPr>
          <w:p w14:paraId="4A97DB82" w14:textId="77777777" w:rsidR="00F753E8" w:rsidRPr="00942604" w:rsidRDefault="00F753E8" w:rsidP="006E1769">
            <w:pPr>
              <w:jc w:val="right"/>
              <w:rPr>
                <w:rFonts w:ascii="Arial" w:hAnsi="Arial" w:cs="Arial"/>
                <w:bCs/>
                <w:sz w:val="20"/>
                <w:szCs w:val="20"/>
              </w:rPr>
            </w:pPr>
            <w:r w:rsidRPr="00942604">
              <w:rPr>
                <w:rFonts w:ascii="Arial" w:hAnsi="Arial" w:cs="Arial"/>
                <w:bCs/>
                <w:sz w:val="20"/>
                <w:szCs w:val="20"/>
              </w:rPr>
              <w:t>-</w:t>
            </w:r>
          </w:p>
        </w:tc>
        <w:tc>
          <w:tcPr>
            <w:tcW w:w="268" w:type="dxa"/>
            <w:vMerge/>
            <w:tcBorders>
              <w:left w:val="nil"/>
              <w:right w:val="nil"/>
            </w:tcBorders>
            <w:shd w:val="clear" w:color="auto" w:fill="auto"/>
            <w:vAlign w:val="bottom"/>
          </w:tcPr>
          <w:p w14:paraId="3ECCDB4D" w14:textId="77777777" w:rsidR="00F753E8" w:rsidRPr="004D3513" w:rsidRDefault="00F753E8" w:rsidP="006E1769">
            <w:pPr>
              <w:jc w:val="right"/>
              <w:rPr>
                <w:rFonts w:ascii="Arial" w:hAnsi="Arial" w:cs="Arial"/>
                <w:color w:val="000000"/>
                <w:sz w:val="20"/>
                <w:szCs w:val="20"/>
              </w:rPr>
            </w:pPr>
          </w:p>
        </w:tc>
        <w:tc>
          <w:tcPr>
            <w:tcW w:w="1409" w:type="dxa"/>
            <w:tcBorders>
              <w:top w:val="nil"/>
              <w:left w:val="nil"/>
              <w:bottom w:val="nil"/>
              <w:right w:val="nil"/>
            </w:tcBorders>
            <w:shd w:val="clear" w:color="auto" w:fill="auto"/>
            <w:vAlign w:val="center"/>
          </w:tcPr>
          <w:p w14:paraId="5405E0FA" w14:textId="77777777" w:rsidR="00F753E8" w:rsidRPr="004D3513" w:rsidRDefault="00F753E8" w:rsidP="006E1769">
            <w:pPr>
              <w:jc w:val="right"/>
              <w:rPr>
                <w:rFonts w:ascii="Arial" w:hAnsi="Arial" w:cs="Arial"/>
                <w:b/>
                <w:color w:val="000000"/>
                <w:sz w:val="20"/>
                <w:szCs w:val="20"/>
              </w:rPr>
            </w:pPr>
          </w:p>
        </w:tc>
        <w:tc>
          <w:tcPr>
            <w:tcW w:w="965" w:type="dxa"/>
            <w:tcBorders>
              <w:top w:val="nil"/>
              <w:left w:val="nil"/>
              <w:bottom w:val="nil"/>
              <w:right w:val="nil"/>
            </w:tcBorders>
            <w:shd w:val="clear" w:color="auto" w:fill="auto"/>
          </w:tcPr>
          <w:p w14:paraId="0094C605" w14:textId="77777777" w:rsidR="00F753E8" w:rsidRPr="004D3513" w:rsidRDefault="00F753E8" w:rsidP="006E1769">
            <w:pPr>
              <w:jc w:val="right"/>
              <w:rPr>
                <w:rFonts w:ascii="Arial" w:hAnsi="Arial" w:cs="Arial"/>
                <w:b/>
                <w:sz w:val="20"/>
                <w:szCs w:val="20"/>
              </w:rPr>
            </w:pPr>
            <w:r w:rsidRPr="00FF1117">
              <w:rPr>
                <w:rFonts w:ascii="Arial" w:hAnsi="Arial" w:cs="Arial"/>
                <w:b/>
                <w:sz w:val="20"/>
                <w:szCs w:val="20"/>
              </w:rPr>
              <w:t>3,527</w:t>
            </w:r>
          </w:p>
        </w:tc>
        <w:tc>
          <w:tcPr>
            <w:tcW w:w="1474" w:type="dxa"/>
            <w:tcBorders>
              <w:top w:val="nil"/>
              <w:left w:val="nil"/>
              <w:bottom w:val="nil"/>
              <w:right w:val="nil"/>
            </w:tcBorders>
            <w:shd w:val="clear" w:color="auto" w:fill="auto"/>
          </w:tcPr>
          <w:p w14:paraId="667D5035" w14:textId="77777777" w:rsidR="00F753E8" w:rsidRPr="004D3513" w:rsidRDefault="00F753E8" w:rsidP="006E1769">
            <w:pPr>
              <w:jc w:val="right"/>
              <w:rPr>
                <w:rFonts w:ascii="Arial" w:hAnsi="Arial" w:cs="Arial"/>
                <w:b/>
                <w:sz w:val="20"/>
                <w:szCs w:val="20"/>
              </w:rPr>
            </w:pPr>
          </w:p>
        </w:tc>
      </w:tr>
      <w:tr w:rsidR="00F753E8" w:rsidRPr="004D3513" w14:paraId="06DBCF1E" w14:textId="77777777" w:rsidTr="006E1769">
        <w:trPr>
          <w:trHeight w:val="60"/>
          <w:jc w:val="center"/>
        </w:trPr>
        <w:tc>
          <w:tcPr>
            <w:tcW w:w="2410" w:type="dxa"/>
            <w:tcBorders>
              <w:top w:val="nil"/>
              <w:left w:val="nil"/>
              <w:bottom w:val="nil"/>
              <w:right w:val="nil"/>
            </w:tcBorders>
            <w:shd w:val="clear" w:color="auto" w:fill="auto"/>
            <w:vAlign w:val="bottom"/>
            <w:hideMark/>
          </w:tcPr>
          <w:p w14:paraId="36590C28" w14:textId="77777777" w:rsidR="00F753E8" w:rsidRPr="004D3513" w:rsidRDefault="00F753E8" w:rsidP="006E1769">
            <w:pPr>
              <w:rPr>
                <w:rFonts w:ascii="Arial" w:hAnsi="Arial" w:cs="Arial"/>
                <w:b/>
                <w:bCs/>
                <w:color w:val="000000"/>
                <w:sz w:val="20"/>
                <w:szCs w:val="20"/>
              </w:rPr>
            </w:pPr>
            <w:r w:rsidRPr="004D3513">
              <w:rPr>
                <w:rFonts w:ascii="Arial" w:hAnsi="Arial" w:cs="Arial"/>
                <w:b/>
                <w:bCs/>
                <w:color w:val="000000"/>
                <w:sz w:val="20"/>
                <w:szCs w:val="20"/>
              </w:rPr>
              <w:t> Total Financial Assets</w:t>
            </w:r>
          </w:p>
        </w:tc>
        <w:tc>
          <w:tcPr>
            <w:tcW w:w="1334" w:type="dxa"/>
            <w:tcBorders>
              <w:top w:val="single" w:sz="8" w:space="0" w:color="auto"/>
              <w:left w:val="nil"/>
              <w:bottom w:val="single" w:sz="8" w:space="0" w:color="auto"/>
              <w:right w:val="nil"/>
            </w:tcBorders>
            <w:shd w:val="clear" w:color="auto" w:fill="auto"/>
            <w:vAlign w:val="center"/>
          </w:tcPr>
          <w:p w14:paraId="11341833"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1,297,624</w:t>
            </w:r>
          </w:p>
        </w:tc>
        <w:tc>
          <w:tcPr>
            <w:tcW w:w="980" w:type="dxa"/>
            <w:tcBorders>
              <w:top w:val="single" w:sz="8" w:space="0" w:color="auto"/>
              <w:left w:val="nil"/>
              <w:bottom w:val="single" w:sz="8" w:space="0" w:color="auto"/>
              <w:right w:val="nil"/>
            </w:tcBorders>
            <w:shd w:val="clear" w:color="auto" w:fill="auto"/>
            <w:vAlign w:val="center"/>
          </w:tcPr>
          <w:p w14:paraId="169122D0"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14,365</w:t>
            </w:r>
          </w:p>
        </w:tc>
        <w:tc>
          <w:tcPr>
            <w:tcW w:w="1247" w:type="dxa"/>
            <w:tcBorders>
              <w:top w:val="single" w:sz="4" w:space="0" w:color="auto"/>
              <w:left w:val="nil"/>
              <w:bottom w:val="single" w:sz="4" w:space="0" w:color="auto"/>
              <w:right w:val="nil"/>
            </w:tcBorders>
            <w:shd w:val="clear" w:color="auto" w:fill="auto"/>
          </w:tcPr>
          <w:p w14:paraId="58F14793"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w:t>
            </w:r>
          </w:p>
        </w:tc>
        <w:tc>
          <w:tcPr>
            <w:tcW w:w="268" w:type="dxa"/>
            <w:vMerge/>
            <w:tcBorders>
              <w:left w:val="nil"/>
              <w:right w:val="nil"/>
            </w:tcBorders>
            <w:shd w:val="clear" w:color="auto" w:fill="auto"/>
            <w:vAlign w:val="bottom"/>
            <w:hideMark/>
          </w:tcPr>
          <w:p w14:paraId="3B53AD37" w14:textId="77777777" w:rsidR="00F753E8" w:rsidRPr="004D3513" w:rsidRDefault="00F753E8" w:rsidP="006E1769">
            <w:pPr>
              <w:jc w:val="right"/>
              <w:rPr>
                <w:rFonts w:ascii="Arial" w:hAnsi="Arial" w:cs="Arial"/>
                <w:color w:val="000000"/>
                <w:sz w:val="20"/>
                <w:szCs w:val="20"/>
              </w:rPr>
            </w:pPr>
          </w:p>
        </w:tc>
        <w:tc>
          <w:tcPr>
            <w:tcW w:w="1409" w:type="dxa"/>
            <w:tcBorders>
              <w:top w:val="single" w:sz="8" w:space="0" w:color="auto"/>
              <w:left w:val="nil"/>
              <w:bottom w:val="single" w:sz="8" w:space="0" w:color="auto"/>
              <w:right w:val="nil"/>
            </w:tcBorders>
            <w:shd w:val="clear" w:color="000000" w:fill="FFFFFF"/>
            <w:vAlign w:val="center"/>
          </w:tcPr>
          <w:p w14:paraId="1428F684" w14:textId="77777777" w:rsidR="00F753E8" w:rsidRPr="00FF1117" w:rsidRDefault="00F753E8" w:rsidP="006E1769">
            <w:pPr>
              <w:jc w:val="right"/>
              <w:rPr>
                <w:rFonts w:ascii="Arial" w:hAnsi="Arial" w:cs="Arial"/>
                <w:b/>
                <w:sz w:val="20"/>
                <w:szCs w:val="20"/>
              </w:rPr>
            </w:pPr>
            <w:r w:rsidRPr="00FF1117">
              <w:rPr>
                <w:rFonts w:ascii="Arial" w:hAnsi="Arial" w:cs="Arial"/>
                <w:b/>
                <w:bCs/>
                <w:color w:val="000000"/>
                <w:sz w:val="20"/>
                <w:szCs w:val="20"/>
              </w:rPr>
              <w:t>1,367,700</w:t>
            </w:r>
          </w:p>
        </w:tc>
        <w:tc>
          <w:tcPr>
            <w:tcW w:w="965" w:type="dxa"/>
            <w:tcBorders>
              <w:top w:val="single" w:sz="8" w:space="0" w:color="auto"/>
              <w:left w:val="nil"/>
              <w:bottom w:val="single" w:sz="8" w:space="0" w:color="auto"/>
              <w:right w:val="nil"/>
            </w:tcBorders>
            <w:shd w:val="clear" w:color="000000" w:fill="FFFFFF"/>
            <w:vAlign w:val="center"/>
          </w:tcPr>
          <w:p w14:paraId="0285F023" w14:textId="77777777" w:rsidR="00F753E8" w:rsidRPr="00FF1117" w:rsidRDefault="00F753E8" w:rsidP="006E1769">
            <w:pPr>
              <w:jc w:val="right"/>
              <w:rPr>
                <w:rFonts w:ascii="Arial" w:hAnsi="Arial" w:cs="Arial"/>
                <w:b/>
                <w:sz w:val="20"/>
                <w:szCs w:val="20"/>
              </w:rPr>
            </w:pPr>
            <w:r w:rsidRPr="00FF1117">
              <w:rPr>
                <w:rFonts w:ascii="Arial" w:hAnsi="Arial" w:cs="Arial"/>
                <w:b/>
                <w:bCs/>
                <w:color w:val="000000"/>
                <w:sz w:val="20"/>
                <w:szCs w:val="20"/>
              </w:rPr>
              <w:t>17,342</w:t>
            </w:r>
          </w:p>
        </w:tc>
        <w:tc>
          <w:tcPr>
            <w:tcW w:w="1474" w:type="dxa"/>
            <w:tcBorders>
              <w:top w:val="single" w:sz="4" w:space="0" w:color="auto"/>
              <w:left w:val="nil"/>
              <w:bottom w:val="single" w:sz="4" w:space="0" w:color="auto"/>
              <w:right w:val="nil"/>
            </w:tcBorders>
            <w:shd w:val="clear" w:color="auto" w:fill="auto"/>
          </w:tcPr>
          <w:p w14:paraId="675A1B72" w14:textId="77777777" w:rsidR="00F753E8" w:rsidRPr="004D3513" w:rsidRDefault="00F753E8" w:rsidP="006E1769">
            <w:pPr>
              <w:jc w:val="right"/>
              <w:rPr>
                <w:rFonts w:ascii="Arial" w:hAnsi="Arial" w:cs="Arial"/>
                <w:b/>
                <w:sz w:val="20"/>
                <w:szCs w:val="20"/>
              </w:rPr>
            </w:pPr>
          </w:p>
        </w:tc>
      </w:tr>
      <w:tr w:rsidR="00F753E8" w:rsidRPr="008E4871" w14:paraId="0761279D" w14:textId="77777777" w:rsidTr="006E1769">
        <w:trPr>
          <w:trHeight w:val="57"/>
          <w:jc w:val="center"/>
        </w:trPr>
        <w:tc>
          <w:tcPr>
            <w:tcW w:w="2410" w:type="dxa"/>
            <w:tcBorders>
              <w:top w:val="nil"/>
              <w:left w:val="nil"/>
              <w:bottom w:val="nil"/>
              <w:right w:val="nil"/>
            </w:tcBorders>
            <w:shd w:val="clear" w:color="auto" w:fill="auto"/>
            <w:vAlign w:val="bottom"/>
            <w:hideMark/>
          </w:tcPr>
          <w:p w14:paraId="39A56F31" w14:textId="77777777" w:rsidR="00F753E8" w:rsidRPr="004D3513" w:rsidRDefault="00F753E8" w:rsidP="006E1769">
            <w:pPr>
              <w:rPr>
                <w:rFonts w:ascii="Arial" w:hAnsi="Arial" w:cs="Arial"/>
                <w:color w:val="000000"/>
                <w:sz w:val="20"/>
                <w:szCs w:val="20"/>
              </w:rPr>
            </w:pPr>
            <w:r w:rsidRPr="004D3513">
              <w:rPr>
                <w:rFonts w:ascii="Arial" w:hAnsi="Arial" w:cs="Arial"/>
                <w:b/>
                <w:bCs/>
                <w:color w:val="000000"/>
                <w:sz w:val="20"/>
                <w:szCs w:val="20"/>
              </w:rPr>
              <w:t>Financial Assets</w:t>
            </w:r>
            <w:r w:rsidRPr="004D3513">
              <w:rPr>
                <w:rFonts w:ascii="Arial" w:hAnsi="Arial" w:cs="Arial"/>
                <w:color w:val="000000"/>
                <w:sz w:val="20"/>
                <w:szCs w:val="20"/>
              </w:rPr>
              <w:t xml:space="preserve"> - Debtors</w:t>
            </w:r>
          </w:p>
        </w:tc>
        <w:tc>
          <w:tcPr>
            <w:tcW w:w="1334" w:type="dxa"/>
            <w:tcBorders>
              <w:top w:val="nil"/>
              <w:left w:val="nil"/>
              <w:bottom w:val="nil"/>
              <w:right w:val="nil"/>
            </w:tcBorders>
            <w:shd w:val="clear" w:color="auto" w:fill="auto"/>
            <w:vAlign w:val="bottom"/>
          </w:tcPr>
          <w:p w14:paraId="1AA7749C" w14:textId="77777777" w:rsidR="00F753E8" w:rsidRPr="00942604" w:rsidRDefault="00F753E8" w:rsidP="006E1769">
            <w:pPr>
              <w:jc w:val="right"/>
              <w:rPr>
                <w:rFonts w:ascii="Arial" w:hAnsi="Arial" w:cs="Arial"/>
                <w:bCs/>
                <w:color w:val="000000"/>
                <w:sz w:val="20"/>
                <w:szCs w:val="20"/>
              </w:rPr>
            </w:pPr>
          </w:p>
        </w:tc>
        <w:tc>
          <w:tcPr>
            <w:tcW w:w="980" w:type="dxa"/>
            <w:tcBorders>
              <w:top w:val="nil"/>
              <w:left w:val="nil"/>
              <w:bottom w:val="nil"/>
              <w:right w:val="nil"/>
            </w:tcBorders>
            <w:shd w:val="clear" w:color="auto" w:fill="auto"/>
          </w:tcPr>
          <w:p w14:paraId="253134ED" w14:textId="77777777" w:rsidR="00F753E8" w:rsidRPr="00942604" w:rsidRDefault="00F753E8" w:rsidP="006E1769">
            <w:pPr>
              <w:jc w:val="right"/>
              <w:rPr>
                <w:rFonts w:ascii="Arial" w:hAnsi="Arial" w:cs="Arial"/>
                <w:bCs/>
                <w:color w:val="000000"/>
                <w:sz w:val="20"/>
                <w:szCs w:val="20"/>
              </w:rPr>
            </w:pPr>
          </w:p>
        </w:tc>
        <w:tc>
          <w:tcPr>
            <w:tcW w:w="1247" w:type="dxa"/>
            <w:tcBorders>
              <w:top w:val="nil"/>
              <w:left w:val="nil"/>
              <w:bottom w:val="nil"/>
              <w:right w:val="nil"/>
            </w:tcBorders>
            <w:shd w:val="clear" w:color="auto" w:fill="auto"/>
          </w:tcPr>
          <w:p w14:paraId="6BC84109"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1,067</w:t>
            </w:r>
          </w:p>
        </w:tc>
        <w:tc>
          <w:tcPr>
            <w:tcW w:w="268" w:type="dxa"/>
            <w:vMerge/>
            <w:tcBorders>
              <w:left w:val="nil"/>
              <w:right w:val="nil"/>
            </w:tcBorders>
            <w:shd w:val="clear" w:color="auto" w:fill="auto"/>
            <w:hideMark/>
          </w:tcPr>
          <w:p w14:paraId="7C73E768" w14:textId="77777777" w:rsidR="00F753E8" w:rsidRPr="004D3513" w:rsidRDefault="00F753E8" w:rsidP="006E1769">
            <w:pPr>
              <w:jc w:val="right"/>
              <w:rPr>
                <w:rFonts w:ascii="Arial" w:hAnsi="Arial" w:cs="Arial"/>
                <w:color w:val="000000"/>
                <w:sz w:val="20"/>
                <w:szCs w:val="20"/>
              </w:rPr>
            </w:pPr>
          </w:p>
        </w:tc>
        <w:tc>
          <w:tcPr>
            <w:tcW w:w="1409" w:type="dxa"/>
            <w:tcBorders>
              <w:top w:val="nil"/>
              <w:left w:val="nil"/>
              <w:bottom w:val="nil"/>
              <w:right w:val="nil"/>
            </w:tcBorders>
            <w:shd w:val="clear" w:color="auto" w:fill="auto"/>
            <w:vAlign w:val="bottom"/>
          </w:tcPr>
          <w:p w14:paraId="05818BC7" w14:textId="77777777" w:rsidR="00F753E8" w:rsidRPr="004D3513" w:rsidRDefault="00F753E8" w:rsidP="006E1769">
            <w:pPr>
              <w:jc w:val="right"/>
              <w:rPr>
                <w:rFonts w:ascii="Arial" w:hAnsi="Arial" w:cs="Arial"/>
                <w:b/>
                <w:sz w:val="20"/>
                <w:szCs w:val="20"/>
              </w:rPr>
            </w:pPr>
          </w:p>
        </w:tc>
        <w:tc>
          <w:tcPr>
            <w:tcW w:w="965" w:type="dxa"/>
            <w:tcBorders>
              <w:top w:val="nil"/>
              <w:left w:val="nil"/>
              <w:bottom w:val="nil"/>
              <w:right w:val="nil"/>
            </w:tcBorders>
            <w:shd w:val="clear" w:color="auto" w:fill="auto"/>
          </w:tcPr>
          <w:p w14:paraId="55DC02AB" w14:textId="77777777" w:rsidR="00F753E8" w:rsidRPr="004D3513" w:rsidRDefault="00F753E8" w:rsidP="006E1769">
            <w:pPr>
              <w:jc w:val="right"/>
              <w:rPr>
                <w:rFonts w:ascii="Arial" w:hAnsi="Arial" w:cs="Arial"/>
                <w:b/>
                <w:sz w:val="20"/>
                <w:szCs w:val="20"/>
              </w:rPr>
            </w:pPr>
          </w:p>
        </w:tc>
        <w:tc>
          <w:tcPr>
            <w:tcW w:w="1474" w:type="dxa"/>
            <w:tcBorders>
              <w:top w:val="nil"/>
              <w:left w:val="nil"/>
              <w:bottom w:val="nil"/>
              <w:right w:val="nil"/>
            </w:tcBorders>
            <w:shd w:val="clear" w:color="000000" w:fill="FFFFFF"/>
            <w:vAlign w:val="center"/>
          </w:tcPr>
          <w:p w14:paraId="745F4EDB" w14:textId="77777777" w:rsidR="00F753E8" w:rsidRPr="008E4871" w:rsidRDefault="00F753E8" w:rsidP="006E1769">
            <w:pPr>
              <w:jc w:val="right"/>
              <w:rPr>
                <w:rFonts w:ascii="Arial" w:hAnsi="Arial" w:cs="Arial"/>
                <w:b/>
                <w:sz w:val="20"/>
                <w:szCs w:val="20"/>
              </w:rPr>
            </w:pPr>
            <w:r w:rsidRPr="008E4871">
              <w:rPr>
                <w:rFonts w:ascii="Arial" w:hAnsi="Arial" w:cs="Arial"/>
                <w:b/>
                <w:bCs/>
                <w:color w:val="000000"/>
                <w:sz w:val="20"/>
                <w:szCs w:val="20"/>
              </w:rPr>
              <w:t>1,229</w:t>
            </w:r>
          </w:p>
        </w:tc>
      </w:tr>
      <w:tr w:rsidR="00F753E8" w:rsidRPr="008E4871" w14:paraId="03D716B9" w14:textId="77777777" w:rsidTr="006E1769">
        <w:trPr>
          <w:trHeight w:val="57"/>
          <w:jc w:val="center"/>
        </w:trPr>
        <w:tc>
          <w:tcPr>
            <w:tcW w:w="2410" w:type="dxa"/>
            <w:tcBorders>
              <w:top w:val="nil"/>
              <w:left w:val="nil"/>
              <w:bottom w:val="nil"/>
              <w:right w:val="nil"/>
            </w:tcBorders>
            <w:shd w:val="clear" w:color="auto" w:fill="auto"/>
            <w:vAlign w:val="bottom"/>
            <w:hideMark/>
          </w:tcPr>
          <w:p w14:paraId="353975D9" w14:textId="77777777" w:rsidR="00F753E8" w:rsidRPr="004D3513" w:rsidRDefault="00F753E8" w:rsidP="006E1769">
            <w:pPr>
              <w:rPr>
                <w:rFonts w:ascii="Arial" w:hAnsi="Arial" w:cs="Arial"/>
                <w:color w:val="000000"/>
                <w:sz w:val="20"/>
                <w:szCs w:val="20"/>
              </w:rPr>
            </w:pPr>
            <w:r w:rsidRPr="004D3513">
              <w:rPr>
                <w:rFonts w:ascii="Arial" w:hAnsi="Arial" w:cs="Arial"/>
                <w:b/>
                <w:bCs/>
                <w:color w:val="000000"/>
                <w:sz w:val="20"/>
                <w:szCs w:val="20"/>
              </w:rPr>
              <w:t xml:space="preserve">Financial liabilities - </w:t>
            </w:r>
            <w:r w:rsidRPr="004D3513">
              <w:rPr>
                <w:rFonts w:ascii="Arial" w:hAnsi="Arial" w:cs="Arial"/>
                <w:color w:val="000000"/>
                <w:sz w:val="20"/>
                <w:szCs w:val="20"/>
              </w:rPr>
              <w:t>Creditors</w:t>
            </w:r>
          </w:p>
        </w:tc>
        <w:tc>
          <w:tcPr>
            <w:tcW w:w="1334" w:type="dxa"/>
            <w:tcBorders>
              <w:top w:val="nil"/>
              <w:left w:val="nil"/>
              <w:bottom w:val="nil"/>
              <w:right w:val="nil"/>
            </w:tcBorders>
            <w:shd w:val="clear" w:color="auto" w:fill="auto"/>
          </w:tcPr>
          <w:p w14:paraId="786AC811" w14:textId="77777777" w:rsidR="00F753E8" w:rsidRPr="00942604" w:rsidRDefault="00F753E8" w:rsidP="006E1769">
            <w:pPr>
              <w:jc w:val="right"/>
              <w:rPr>
                <w:rFonts w:ascii="Arial" w:hAnsi="Arial" w:cs="Arial"/>
                <w:bCs/>
                <w:color w:val="000000"/>
                <w:sz w:val="20"/>
                <w:szCs w:val="20"/>
              </w:rPr>
            </w:pPr>
          </w:p>
        </w:tc>
        <w:tc>
          <w:tcPr>
            <w:tcW w:w="980" w:type="dxa"/>
            <w:tcBorders>
              <w:top w:val="nil"/>
              <w:left w:val="nil"/>
              <w:bottom w:val="nil"/>
              <w:right w:val="nil"/>
            </w:tcBorders>
            <w:shd w:val="clear" w:color="auto" w:fill="auto"/>
          </w:tcPr>
          <w:p w14:paraId="338A23E5" w14:textId="77777777" w:rsidR="00F753E8" w:rsidRPr="00942604" w:rsidRDefault="00F753E8" w:rsidP="006E1769">
            <w:pPr>
              <w:jc w:val="right"/>
              <w:rPr>
                <w:rFonts w:ascii="Arial" w:hAnsi="Arial" w:cs="Arial"/>
                <w:bCs/>
                <w:color w:val="000000"/>
                <w:sz w:val="20"/>
                <w:szCs w:val="20"/>
              </w:rPr>
            </w:pPr>
          </w:p>
        </w:tc>
        <w:tc>
          <w:tcPr>
            <w:tcW w:w="1247" w:type="dxa"/>
            <w:tcBorders>
              <w:top w:val="nil"/>
              <w:left w:val="nil"/>
              <w:bottom w:val="nil"/>
              <w:right w:val="nil"/>
            </w:tcBorders>
            <w:shd w:val="clear" w:color="auto" w:fill="auto"/>
          </w:tcPr>
          <w:p w14:paraId="558FDB70"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(49,962)</w:t>
            </w:r>
          </w:p>
        </w:tc>
        <w:tc>
          <w:tcPr>
            <w:tcW w:w="268" w:type="dxa"/>
            <w:vMerge/>
            <w:tcBorders>
              <w:left w:val="nil"/>
              <w:bottom w:val="nil"/>
              <w:right w:val="nil"/>
            </w:tcBorders>
            <w:shd w:val="clear" w:color="auto" w:fill="auto"/>
            <w:vAlign w:val="bottom"/>
            <w:hideMark/>
          </w:tcPr>
          <w:p w14:paraId="0AE229F6" w14:textId="77777777" w:rsidR="00F753E8" w:rsidRPr="004D3513" w:rsidRDefault="00F753E8" w:rsidP="006E1769">
            <w:pPr>
              <w:jc w:val="right"/>
              <w:rPr>
                <w:rFonts w:ascii="Arial" w:hAnsi="Arial" w:cs="Arial"/>
                <w:color w:val="000000"/>
                <w:sz w:val="20"/>
                <w:szCs w:val="20"/>
              </w:rPr>
            </w:pPr>
          </w:p>
        </w:tc>
        <w:tc>
          <w:tcPr>
            <w:tcW w:w="1409" w:type="dxa"/>
            <w:tcBorders>
              <w:top w:val="nil"/>
              <w:left w:val="nil"/>
              <w:bottom w:val="nil"/>
              <w:right w:val="nil"/>
            </w:tcBorders>
            <w:shd w:val="clear" w:color="auto" w:fill="auto"/>
          </w:tcPr>
          <w:p w14:paraId="217086C7" w14:textId="77777777" w:rsidR="00F753E8" w:rsidRPr="004D3513" w:rsidRDefault="00F753E8" w:rsidP="006E1769">
            <w:pPr>
              <w:jc w:val="right"/>
              <w:rPr>
                <w:rFonts w:ascii="Arial" w:hAnsi="Arial" w:cs="Arial"/>
                <w:b/>
                <w:sz w:val="20"/>
                <w:szCs w:val="20"/>
              </w:rPr>
            </w:pPr>
          </w:p>
        </w:tc>
        <w:tc>
          <w:tcPr>
            <w:tcW w:w="965" w:type="dxa"/>
            <w:tcBorders>
              <w:top w:val="nil"/>
              <w:left w:val="nil"/>
              <w:bottom w:val="nil"/>
              <w:right w:val="nil"/>
            </w:tcBorders>
            <w:shd w:val="clear" w:color="auto" w:fill="auto"/>
          </w:tcPr>
          <w:p w14:paraId="74EF53E9" w14:textId="77777777" w:rsidR="00F753E8" w:rsidRPr="004D3513" w:rsidRDefault="00F753E8" w:rsidP="006E1769">
            <w:pPr>
              <w:jc w:val="right"/>
              <w:rPr>
                <w:rFonts w:ascii="Arial" w:hAnsi="Arial" w:cs="Arial"/>
                <w:b/>
                <w:sz w:val="20"/>
                <w:szCs w:val="20"/>
              </w:rPr>
            </w:pPr>
          </w:p>
        </w:tc>
        <w:tc>
          <w:tcPr>
            <w:tcW w:w="1474" w:type="dxa"/>
            <w:tcBorders>
              <w:top w:val="nil"/>
              <w:left w:val="nil"/>
              <w:bottom w:val="nil"/>
              <w:right w:val="nil"/>
            </w:tcBorders>
            <w:shd w:val="clear" w:color="000000" w:fill="FFFFFF"/>
            <w:vAlign w:val="bottom"/>
          </w:tcPr>
          <w:p w14:paraId="1C7306C3" w14:textId="77777777" w:rsidR="00F753E8" w:rsidRPr="00B80DC7" w:rsidRDefault="00F753E8" w:rsidP="006E1769">
            <w:pPr>
              <w:jc w:val="right"/>
              <w:rPr>
                <w:rFonts w:ascii="Arial" w:hAnsi="Arial" w:cs="Arial"/>
                <w:b/>
                <w:sz w:val="20"/>
                <w:szCs w:val="20"/>
              </w:rPr>
            </w:pPr>
            <w:r w:rsidRPr="00B80DC7">
              <w:rPr>
                <w:rFonts w:ascii="Arial" w:hAnsi="Arial" w:cs="Arial"/>
                <w:b/>
                <w:bCs/>
                <w:sz w:val="20"/>
                <w:szCs w:val="20"/>
              </w:rPr>
              <w:t>(44,847)</w:t>
            </w:r>
          </w:p>
        </w:tc>
      </w:tr>
      <w:tr w:rsidR="00F753E8" w:rsidRPr="004D3513" w14:paraId="6EE28F6E" w14:textId="77777777" w:rsidTr="006E1769">
        <w:trPr>
          <w:trHeight w:val="297"/>
          <w:jc w:val="center"/>
        </w:trPr>
        <w:tc>
          <w:tcPr>
            <w:tcW w:w="2410" w:type="dxa"/>
            <w:tcBorders>
              <w:top w:val="nil"/>
              <w:left w:val="nil"/>
              <w:bottom w:val="nil"/>
              <w:right w:val="nil"/>
            </w:tcBorders>
            <w:shd w:val="clear" w:color="auto" w:fill="auto"/>
            <w:vAlign w:val="bottom"/>
            <w:hideMark/>
          </w:tcPr>
          <w:p w14:paraId="6D8F6D4E" w14:textId="77777777" w:rsidR="00F753E8" w:rsidRPr="004D3513" w:rsidRDefault="00F753E8" w:rsidP="006E1769">
            <w:pPr>
              <w:rPr>
                <w:rFonts w:ascii="Arial" w:hAnsi="Arial" w:cs="Arial"/>
                <w:b/>
                <w:bCs/>
                <w:color w:val="000000"/>
                <w:sz w:val="20"/>
                <w:szCs w:val="20"/>
              </w:rPr>
            </w:pPr>
            <w:r w:rsidRPr="004D3513">
              <w:rPr>
                <w:rFonts w:ascii="Arial" w:hAnsi="Arial" w:cs="Arial"/>
                <w:b/>
                <w:bCs/>
                <w:color w:val="000000"/>
                <w:sz w:val="20"/>
                <w:szCs w:val="20"/>
              </w:rPr>
              <w:t>Total Net Assets</w:t>
            </w:r>
          </w:p>
        </w:tc>
        <w:tc>
          <w:tcPr>
            <w:tcW w:w="1334" w:type="dxa"/>
            <w:tcBorders>
              <w:top w:val="single" w:sz="8" w:space="0" w:color="auto"/>
              <w:left w:val="nil"/>
              <w:bottom w:val="double" w:sz="6" w:space="0" w:color="auto"/>
              <w:right w:val="nil"/>
            </w:tcBorders>
            <w:shd w:val="clear" w:color="auto" w:fill="auto"/>
            <w:vAlign w:val="center"/>
          </w:tcPr>
          <w:p w14:paraId="326128B9"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1,297,624</w:t>
            </w:r>
          </w:p>
        </w:tc>
        <w:tc>
          <w:tcPr>
            <w:tcW w:w="980" w:type="dxa"/>
            <w:tcBorders>
              <w:top w:val="single" w:sz="8" w:space="0" w:color="auto"/>
              <w:left w:val="nil"/>
              <w:bottom w:val="double" w:sz="6" w:space="0" w:color="auto"/>
              <w:right w:val="nil"/>
            </w:tcBorders>
            <w:shd w:val="clear" w:color="auto" w:fill="auto"/>
            <w:vAlign w:val="center"/>
          </w:tcPr>
          <w:p w14:paraId="5463FD86"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14,365</w:t>
            </w:r>
          </w:p>
        </w:tc>
        <w:tc>
          <w:tcPr>
            <w:tcW w:w="1247" w:type="dxa"/>
            <w:tcBorders>
              <w:top w:val="single" w:sz="4" w:space="0" w:color="auto"/>
              <w:left w:val="nil"/>
              <w:bottom w:val="double" w:sz="6" w:space="0" w:color="auto"/>
              <w:right w:val="nil"/>
            </w:tcBorders>
            <w:shd w:val="clear" w:color="auto" w:fill="auto"/>
            <w:vAlign w:val="bottom"/>
          </w:tcPr>
          <w:p w14:paraId="1B01DFFD" w14:textId="77777777" w:rsidR="00F753E8" w:rsidRPr="00942604" w:rsidRDefault="00F753E8" w:rsidP="006E1769">
            <w:pPr>
              <w:jc w:val="right"/>
              <w:rPr>
                <w:rFonts w:ascii="Arial" w:hAnsi="Arial" w:cs="Arial"/>
                <w:bCs/>
                <w:color w:val="000000"/>
                <w:sz w:val="20"/>
                <w:szCs w:val="20"/>
              </w:rPr>
            </w:pPr>
            <w:r w:rsidRPr="00942604">
              <w:rPr>
                <w:rFonts w:ascii="Arial" w:hAnsi="Arial" w:cs="Arial"/>
                <w:bCs/>
                <w:sz w:val="20"/>
                <w:szCs w:val="20"/>
              </w:rPr>
              <w:t>(48,895)</w:t>
            </w:r>
          </w:p>
        </w:tc>
        <w:tc>
          <w:tcPr>
            <w:tcW w:w="268" w:type="dxa"/>
            <w:tcBorders>
              <w:top w:val="nil"/>
              <w:left w:val="nil"/>
              <w:bottom w:val="nil"/>
              <w:right w:val="nil"/>
            </w:tcBorders>
            <w:shd w:val="clear" w:color="auto" w:fill="auto"/>
            <w:vAlign w:val="bottom"/>
            <w:hideMark/>
          </w:tcPr>
          <w:p w14:paraId="31FAAC60" w14:textId="77777777" w:rsidR="00F753E8" w:rsidRPr="004D3513" w:rsidRDefault="00F753E8" w:rsidP="006E1769">
            <w:pPr>
              <w:jc w:val="right"/>
              <w:rPr>
                <w:rFonts w:ascii="Arial" w:hAnsi="Arial" w:cs="Arial"/>
                <w:b/>
                <w:bCs/>
                <w:color w:val="000000"/>
                <w:sz w:val="20"/>
                <w:szCs w:val="20"/>
              </w:rPr>
            </w:pPr>
          </w:p>
        </w:tc>
        <w:tc>
          <w:tcPr>
            <w:tcW w:w="1409" w:type="dxa"/>
            <w:tcBorders>
              <w:top w:val="single" w:sz="8" w:space="0" w:color="auto"/>
              <w:left w:val="nil"/>
              <w:bottom w:val="double" w:sz="6" w:space="0" w:color="auto"/>
              <w:right w:val="nil"/>
            </w:tcBorders>
            <w:shd w:val="clear" w:color="000000" w:fill="FFFFFF"/>
            <w:vAlign w:val="center"/>
          </w:tcPr>
          <w:p w14:paraId="78B3B2F1" w14:textId="77777777" w:rsidR="00F753E8" w:rsidRPr="008E4871" w:rsidRDefault="00F753E8" w:rsidP="006E1769">
            <w:pPr>
              <w:jc w:val="right"/>
              <w:rPr>
                <w:rFonts w:ascii="Arial" w:hAnsi="Arial" w:cs="Arial"/>
                <w:b/>
                <w:sz w:val="20"/>
                <w:szCs w:val="20"/>
              </w:rPr>
            </w:pPr>
            <w:r w:rsidRPr="008E4871">
              <w:rPr>
                <w:rFonts w:ascii="Arial" w:hAnsi="Arial" w:cs="Arial"/>
                <w:b/>
                <w:bCs/>
                <w:color w:val="000000"/>
                <w:sz w:val="20"/>
                <w:szCs w:val="20"/>
              </w:rPr>
              <w:t>1,367,700</w:t>
            </w:r>
          </w:p>
        </w:tc>
        <w:tc>
          <w:tcPr>
            <w:tcW w:w="965" w:type="dxa"/>
            <w:tcBorders>
              <w:top w:val="single" w:sz="4" w:space="0" w:color="auto"/>
              <w:left w:val="nil"/>
              <w:bottom w:val="double" w:sz="6" w:space="0" w:color="auto"/>
              <w:right w:val="nil"/>
            </w:tcBorders>
            <w:shd w:val="clear" w:color="000000" w:fill="FFFFFF"/>
            <w:vAlign w:val="bottom"/>
          </w:tcPr>
          <w:p w14:paraId="20E4C01D" w14:textId="77777777" w:rsidR="00F753E8" w:rsidRPr="004D3513" w:rsidRDefault="00F753E8" w:rsidP="006E1769">
            <w:pPr>
              <w:jc w:val="right"/>
              <w:rPr>
                <w:rFonts w:ascii="Arial" w:hAnsi="Arial" w:cs="Arial"/>
                <w:b/>
                <w:sz w:val="20"/>
                <w:szCs w:val="20"/>
              </w:rPr>
            </w:pPr>
            <w:r>
              <w:rPr>
                <w:rFonts w:ascii="Arial" w:hAnsi="Arial" w:cs="Arial"/>
                <w:b/>
                <w:bCs/>
                <w:color w:val="000000"/>
                <w:sz w:val="22"/>
                <w:szCs w:val="22"/>
              </w:rPr>
              <w:t>17,342</w:t>
            </w:r>
          </w:p>
        </w:tc>
        <w:tc>
          <w:tcPr>
            <w:tcW w:w="1474" w:type="dxa"/>
            <w:tcBorders>
              <w:top w:val="single" w:sz="4" w:space="0" w:color="auto"/>
              <w:left w:val="nil"/>
              <w:bottom w:val="double" w:sz="6" w:space="0" w:color="auto"/>
              <w:right w:val="nil"/>
            </w:tcBorders>
            <w:shd w:val="clear" w:color="000000" w:fill="FFFFFF"/>
            <w:vAlign w:val="bottom"/>
          </w:tcPr>
          <w:p w14:paraId="02AAD60E" w14:textId="77777777" w:rsidR="00F753E8" w:rsidRPr="00B80DC7" w:rsidRDefault="00F753E8" w:rsidP="006E1769">
            <w:pPr>
              <w:jc w:val="right"/>
              <w:rPr>
                <w:rFonts w:ascii="Arial" w:hAnsi="Arial" w:cs="Arial"/>
                <w:b/>
                <w:sz w:val="20"/>
                <w:szCs w:val="20"/>
              </w:rPr>
            </w:pPr>
            <w:r w:rsidRPr="00B80DC7">
              <w:rPr>
                <w:rFonts w:ascii="Arial" w:hAnsi="Arial" w:cs="Arial"/>
                <w:b/>
                <w:bCs/>
                <w:sz w:val="22"/>
                <w:szCs w:val="22"/>
              </w:rPr>
              <w:t xml:space="preserve">      (43,617)</w:t>
            </w:r>
          </w:p>
        </w:tc>
      </w:tr>
    </w:tbl>
    <w:p w14:paraId="04A55F96" w14:textId="77777777" w:rsidR="00F753E8" w:rsidRPr="008A0A4E" w:rsidRDefault="00F753E8" w:rsidP="007337FE">
      <w:pPr>
        <w:pStyle w:val="BodyTextIndent2"/>
        <w:numPr>
          <w:ilvl w:val="0"/>
          <w:numId w:val="90"/>
        </w:numPr>
        <w:spacing w:after="0" w:line="240" w:lineRule="auto"/>
        <w:ind w:left="502"/>
        <w:rPr>
          <w:rFonts w:ascii="Arial" w:hAnsi="Arial" w:cs="Arial"/>
          <w:b/>
          <w:sz w:val="22"/>
          <w:szCs w:val="22"/>
        </w:rPr>
      </w:pPr>
      <w:r w:rsidRPr="008A0A4E">
        <w:rPr>
          <w:rFonts w:ascii="Arial" w:hAnsi="Arial" w:cs="Arial"/>
          <w:b/>
          <w:sz w:val="22"/>
          <w:szCs w:val="22"/>
        </w:rPr>
        <w:t>Nature and extent of risks arising from Financial Instruments.</w:t>
      </w:r>
    </w:p>
    <w:p w14:paraId="5750A1D5" w14:textId="77777777" w:rsidR="00F753E8" w:rsidRPr="008A0A4E" w:rsidRDefault="00F753E8" w:rsidP="00F753E8">
      <w:pPr>
        <w:ind w:left="709" w:hanging="709"/>
        <w:rPr>
          <w:rFonts w:ascii="Arial" w:hAnsi="Arial" w:cs="Arial"/>
          <w:sz w:val="22"/>
          <w:szCs w:val="22"/>
        </w:rPr>
      </w:pPr>
      <w:r w:rsidRPr="008A0A4E">
        <w:rPr>
          <w:rFonts w:ascii="Arial" w:hAnsi="Arial" w:cs="Arial"/>
          <w:sz w:val="22"/>
          <w:szCs w:val="22"/>
        </w:rPr>
        <w:tab/>
      </w:r>
    </w:p>
    <w:p w14:paraId="4B5D45E4" w14:textId="77777777" w:rsidR="00F753E8" w:rsidRPr="008A0A4E" w:rsidRDefault="00F753E8" w:rsidP="00F753E8">
      <w:pPr>
        <w:ind w:left="360"/>
        <w:jc w:val="both"/>
        <w:rPr>
          <w:rFonts w:ascii="Arial" w:hAnsi="Arial" w:cs="Arial"/>
          <w:sz w:val="22"/>
          <w:szCs w:val="22"/>
        </w:rPr>
      </w:pPr>
      <w:r w:rsidRPr="008A0A4E">
        <w:rPr>
          <w:rFonts w:ascii="Arial" w:hAnsi="Arial" w:cs="Arial"/>
          <w:sz w:val="22"/>
          <w:szCs w:val="22"/>
        </w:rPr>
        <w:t>The Fund activities expose it to a variety of financial risks, including:</w:t>
      </w:r>
    </w:p>
    <w:p w14:paraId="544F09AD" w14:textId="77777777" w:rsidR="00F753E8" w:rsidRPr="008A0A4E" w:rsidRDefault="00F753E8" w:rsidP="00F753E8">
      <w:pPr>
        <w:ind w:left="720"/>
        <w:jc w:val="both"/>
        <w:rPr>
          <w:rFonts w:ascii="Arial" w:hAnsi="Arial" w:cs="Arial"/>
          <w:sz w:val="22"/>
          <w:szCs w:val="22"/>
        </w:rPr>
      </w:pPr>
    </w:p>
    <w:p w14:paraId="7733277B" w14:textId="77777777" w:rsidR="00F753E8" w:rsidRPr="008A0A4E" w:rsidRDefault="00F753E8" w:rsidP="00F753E8">
      <w:pPr>
        <w:numPr>
          <w:ilvl w:val="0"/>
          <w:numId w:val="3"/>
        </w:numPr>
        <w:ind w:left="714" w:hanging="289"/>
        <w:jc w:val="both"/>
        <w:rPr>
          <w:rFonts w:ascii="Arial" w:hAnsi="Arial" w:cs="Arial"/>
          <w:sz w:val="22"/>
          <w:szCs w:val="22"/>
        </w:rPr>
      </w:pPr>
      <w:r w:rsidRPr="008A0A4E">
        <w:rPr>
          <w:rFonts w:ascii="Arial" w:hAnsi="Arial" w:cs="Arial"/>
          <w:b/>
          <w:sz w:val="22"/>
          <w:szCs w:val="22"/>
        </w:rPr>
        <w:t>Market risk</w:t>
      </w:r>
      <w:r w:rsidRPr="008A0A4E">
        <w:rPr>
          <w:rFonts w:ascii="Arial" w:hAnsi="Arial" w:cs="Arial"/>
          <w:sz w:val="22"/>
          <w:szCs w:val="22"/>
        </w:rPr>
        <w:t xml:space="preserve"> – the possibility that financial loss might arise from the Fund’s as a result of changes in such measures as interest rates or stock market </w:t>
      </w:r>
      <w:proofErr w:type="gramStart"/>
      <w:r w:rsidRPr="008A0A4E">
        <w:rPr>
          <w:rFonts w:ascii="Arial" w:hAnsi="Arial" w:cs="Arial"/>
          <w:sz w:val="22"/>
          <w:szCs w:val="22"/>
        </w:rPr>
        <w:t>movements;</w:t>
      </w:r>
      <w:proofErr w:type="gramEnd"/>
    </w:p>
    <w:p w14:paraId="007EA0A2" w14:textId="77777777" w:rsidR="00F753E8" w:rsidRPr="008A0A4E" w:rsidRDefault="00F753E8" w:rsidP="00F753E8">
      <w:pPr>
        <w:numPr>
          <w:ilvl w:val="0"/>
          <w:numId w:val="3"/>
        </w:numPr>
        <w:ind w:left="714" w:hanging="289"/>
        <w:jc w:val="both"/>
        <w:rPr>
          <w:rFonts w:ascii="Arial" w:hAnsi="Arial" w:cs="Arial"/>
          <w:sz w:val="22"/>
          <w:szCs w:val="22"/>
        </w:rPr>
      </w:pPr>
      <w:r w:rsidRPr="008A0A4E">
        <w:rPr>
          <w:rFonts w:ascii="Arial" w:hAnsi="Arial" w:cs="Arial"/>
          <w:b/>
          <w:sz w:val="22"/>
          <w:szCs w:val="22"/>
        </w:rPr>
        <w:t>Interest rate risk</w:t>
      </w:r>
      <w:r w:rsidRPr="008A0A4E">
        <w:rPr>
          <w:rFonts w:ascii="Arial" w:hAnsi="Arial" w:cs="Arial"/>
          <w:sz w:val="22"/>
          <w:szCs w:val="22"/>
        </w:rPr>
        <w:t xml:space="preserve"> – the risk that interest rates may rise/fall above </w:t>
      </w:r>
      <w:proofErr w:type="gramStart"/>
      <w:r w:rsidRPr="008A0A4E">
        <w:rPr>
          <w:rFonts w:ascii="Arial" w:hAnsi="Arial" w:cs="Arial"/>
          <w:sz w:val="22"/>
          <w:szCs w:val="22"/>
        </w:rPr>
        <w:t>expectations;</w:t>
      </w:r>
      <w:proofErr w:type="gramEnd"/>
    </w:p>
    <w:p w14:paraId="14E51F93" w14:textId="77777777" w:rsidR="00F753E8" w:rsidRPr="008A0A4E" w:rsidRDefault="00F753E8" w:rsidP="00F753E8">
      <w:pPr>
        <w:numPr>
          <w:ilvl w:val="0"/>
          <w:numId w:val="3"/>
        </w:numPr>
        <w:ind w:left="714" w:hanging="289"/>
        <w:jc w:val="both"/>
        <w:rPr>
          <w:rFonts w:ascii="Arial" w:hAnsi="Arial" w:cs="Arial"/>
          <w:sz w:val="22"/>
          <w:szCs w:val="22"/>
        </w:rPr>
      </w:pPr>
      <w:r w:rsidRPr="008A0A4E">
        <w:rPr>
          <w:rFonts w:ascii="Arial" w:hAnsi="Arial" w:cs="Arial"/>
          <w:b/>
          <w:sz w:val="22"/>
          <w:szCs w:val="22"/>
        </w:rPr>
        <w:t>Credit risk</w:t>
      </w:r>
      <w:r w:rsidRPr="008A0A4E">
        <w:rPr>
          <w:rFonts w:ascii="Arial" w:hAnsi="Arial" w:cs="Arial"/>
          <w:sz w:val="22"/>
          <w:szCs w:val="22"/>
        </w:rPr>
        <w:t xml:space="preserve"> - the risk that other parties may fail to pay amounts </w:t>
      </w:r>
      <w:proofErr w:type="gramStart"/>
      <w:r w:rsidRPr="008A0A4E">
        <w:rPr>
          <w:rFonts w:ascii="Arial" w:hAnsi="Arial" w:cs="Arial"/>
          <w:sz w:val="22"/>
          <w:szCs w:val="22"/>
        </w:rPr>
        <w:t>due;</w:t>
      </w:r>
      <w:proofErr w:type="gramEnd"/>
    </w:p>
    <w:p w14:paraId="34F91123" w14:textId="77777777" w:rsidR="00F753E8" w:rsidRPr="008A0A4E" w:rsidRDefault="00F753E8" w:rsidP="00F753E8">
      <w:pPr>
        <w:numPr>
          <w:ilvl w:val="0"/>
          <w:numId w:val="3"/>
        </w:numPr>
        <w:ind w:left="714" w:hanging="289"/>
        <w:jc w:val="both"/>
        <w:rPr>
          <w:rFonts w:ascii="Arial" w:hAnsi="Arial" w:cs="Arial"/>
          <w:sz w:val="22"/>
          <w:szCs w:val="22"/>
        </w:rPr>
      </w:pPr>
      <w:r w:rsidRPr="008A0A4E">
        <w:rPr>
          <w:rFonts w:ascii="Arial" w:hAnsi="Arial" w:cs="Arial"/>
          <w:b/>
          <w:sz w:val="22"/>
          <w:szCs w:val="22"/>
        </w:rPr>
        <w:t>Liquidity risk</w:t>
      </w:r>
      <w:r w:rsidRPr="008A0A4E">
        <w:rPr>
          <w:rFonts w:ascii="Arial" w:hAnsi="Arial" w:cs="Arial"/>
          <w:sz w:val="22"/>
          <w:szCs w:val="22"/>
        </w:rPr>
        <w:t xml:space="preserve"> – the risk that the Fund may not have funds available to meets its commitments to make payment; and</w:t>
      </w:r>
    </w:p>
    <w:p w14:paraId="52133CAD" w14:textId="77777777" w:rsidR="00F753E8" w:rsidRPr="008A0A4E" w:rsidRDefault="00F753E8" w:rsidP="00F753E8">
      <w:pPr>
        <w:numPr>
          <w:ilvl w:val="0"/>
          <w:numId w:val="3"/>
        </w:numPr>
        <w:ind w:left="714" w:hanging="289"/>
        <w:jc w:val="both"/>
        <w:rPr>
          <w:rFonts w:ascii="Arial" w:hAnsi="Arial" w:cs="Arial"/>
          <w:sz w:val="22"/>
          <w:szCs w:val="22"/>
        </w:rPr>
      </w:pPr>
      <w:r w:rsidRPr="008A0A4E">
        <w:rPr>
          <w:rFonts w:ascii="Arial" w:hAnsi="Arial" w:cs="Arial"/>
          <w:b/>
          <w:sz w:val="22"/>
          <w:szCs w:val="22"/>
        </w:rPr>
        <w:t>Refinancing risk</w:t>
      </w:r>
      <w:r w:rsidRPr="008A0A4E">
        <w:rPr>
          <w:rFonts w:ascii="Arial" w:hAnsi="Arial" w:cs="Arial"/>
          <w:sz w:val="22"/>
          <w:szCs w:val="22"/>
        </w:rPr>
        <w:t xml:space="preserve"> – the risk that the Fund might be required to renew a financial instrument on maturity at disadvantageous interest rates or terms. </w:t>
      </w:r>
    </w:p>
    <w:p w14:paraId="470B8995" w14:textId="77777777" w:rsidR="00F753E8" w:rsidRPr="008A0A4E" w:rsidRDefault="00F753E8" w:rsidP="00F753E8">
      <w:pPr>
        <w:ind w:left="1080"/>
        <w:jc w:val="both"/>
        <w:rPr>
          <w:rFonts w:ascii="Arial" w:hAnsi="Arial" w:cs="Arial"/>
          <w:sz w:val="22"/>
          <w:szCs w:val="22"/>
        </w:rPr>
      </w:pPr>
    </w:p>
    <w:p w14:paraId="20A9FB4A" w14:textId="77777777" w:rsidR="00F753E8" w:rsidRPr="008A0A4E" w:rsidRDefault="00F753E8" w:rsidP="00F753E8">
      <w:pPr>
        <w:ind w:left="360"/>
        <w:jc w:val="both"/>
        <w:rPr>
          <w:rFonts w:ascii="Arial" w:hAnsi="Arial" w:cs="Arial"/>
          <w:sz w:val="22"/>
          <w:szCs w:val="22"/>
        </w:rPr>
      </w:pPr>
      <w:r w:rsidRPr="008A0A4E">
        <w:rPr>
          <w:rFonts w:ascii="Arial" w:hAnsi="Arial" w:cs="Arial"/>
          <w:sz w:val="22"/>
          <w:szCs w:val="22"/>
        </w:rPr>
        <w:t>The Fund’s primary long-term risk is that the Fund’s assets will fall short of its liabilities (</w:t>
      </w:r>
      <w:proofErr w:type="gramStart"/>
      <w:r w:rsidRPr="008A0A4E">
        <w:rPr>
          <w:rFonts w:ascii="Arial" w:hAnsi="Arial" w:cs="Arial"/>
          <w:sz w:val="22"/>
          <w:szCs w:val="22"/>
        </w:rPr>
        <w:t>i.e.</w:t>
      </w:r>
      <w:proofErr w:type="gramEnd"/>
      <w:r w:rsidRPr="008A0A4E">
        <w:rPr>
          <w:rFonts w:ascii="Arial" w:hAnsi="Arial" w:cs="Arial"/>
          <w:sz w:val="22"/>
          <w:szCs w:val="22"/>
        </w:rPr>
        <w:t xml:space="preserve"> promised benefits payable to members).  Therefore, the aim of investment risk management is to minimise the risk of an overall reduction in the value of the Fund and to maximise the opportunity for gains across the whole Fund portfolio.  The Fund achieves this through asset diversification to reduce exposure to market risk (price risk, currency risk and interest rate risk) and credit risk to an acceptable level. </w:t>
      </w:r>
    </w:p>
    <w:p w14:paraId="3419F769" w14:textId="77777777" w:rsidR="00F753E8" w:rsidRPr="008A0A4E" w:rsidRDefault="00F753E8" w:rsidP="00F753E8">
      <w:pPr>
        <w:ind w:left="360"/>
        <w:jc w:val="both"/>
        <w:rPr>
          <w:rFonts w:ascii="Arial" w:hAnsi="Arial" w:cs="Arial"/>
          <w:sz w:val="22"/>
          <w:szCs w:val="22"/>
        </w:rPr>
      </w:pPr>
    </w:p>
    <w:p w14:paraId="63355374" w14:textId="77777777" w:rsidR="00F753E8" w:rsidRPr="008A0A4E" w:rsidRDefault="00F753E8" w:rsidP="00F753E8">
      <w:pPr>
        <w:ind w:left="360"/>
        <w:jc w:val="both"/>
        <w:rPr>
          <w:rFonts w:ascii="Arial" w:hAnsi="Arial" w:cs="Arial"/>
          <w:sz w:val="22"/>
          <w:szCs w:val="22"/>
        </w:rPr>
      </w:pPr>
      <w:r w:rsidRPr="008A0A4E">
        <w:rPr>
          <w:rFonts w:ascii="Arial" w:hAnsi="Arial" w:cs="Arial"/>
          <w:sz w:val="22"/>
          <w:szCs w:val="22"/>
        </w:rPr>
        <w:t xml:space="preserve">In addition, the fund manages its liquidity risk to ensure there is sufficient liquidity to meet the Fund’s forecast cash flows. The Council manages these investment risks as part of its overall pension Fund risk management programme. </w:t>
      </w:r>
    </w:p>
    <w:p w14:paraId="0FCF80F4" w14:textId="77777777" w:rsidR="00F753E8" w:rsidRPr="008A0A4E" w:rsidRDefault="00F753E8" w:rsidP="00F753E8">
      <w:pPr>
        <w:ind w:left="360"/>
        <w:jc w:val="both"/>
        <w:rPr>
          <w:rFonts w:ascii="Arial" w:hAnsi="Arial" w:cs="Arial"/>
          <w:sz w:val="22"/>
          <w:szCs w:val="22"/>
        </w:rPr>
      </w:pPr>
    </w:p>
    <w:p w14:paraId="2692D521" w14:textId="77777777" w:rsidR="00F753E8" w:rsidRPr="00333086" w:rsidRDefault="00F753E8" w:rsidP="00F753E8">
      <w:pPr>
        <w:ind w:left="360"/>
        <w:jc w:val="both"/>
        <w:rPr>
          <w:rFonts w:ascii="Arial" w:hAnsi="Arial" w:cs="Arial"/>
          <w:sz w:val="22"/>
          <w:szCs w:val="22"/>
        </w:rPr>
      </w:pPr>
      <w:r w:rsidRPr="008A0A4E">
        <w:rPr>
          <w:rFonts w:ascii="Arial" w:hAnsi="Arial" w:cs="Arial"/>
          <w:sz w:val="22"/>
          <w:szCs w:val="22"/>
        </w:rPr>
        <w:t xml:space="preserve">Responsibility for the Fund’s risk management strategy rests with the Fund’s Committee. Risk management policies have been established to identify and analyse the risks faced by the Council’s pensions operations. Policies are reviewed regularly to reflect changes in activity and in market conditions. </w:t>
      </w:r>
    </w:p>
    <w:p w14:paraId="6A070736" w14:textId="77777777" w:rsidR="00F753E8" w:rsidRDefault="00F753E8" w:rsidP="00F753E8">
      <w:pPr>
        <w:spacing w:line="20" w:lineRule="atLeast"/>
        <w:ind w:firstLine="360"/>
        <w:rPr>
          <w:rFonts w:ascii="Arial" w:hAnsi="Arial" w:cs="Arial"/>
          <w:b/>
          <w:sz w:val="22"/>
          <w:szCs w:val="22"/>
        </w:rPr>
      </w:pPr>
    </w:p>
    <w:p w14:paraId="2AAC939C" w14:textId="77777777" w:rsidR="00F753E8" w:rsidRPr="00F928FC" w:rsidRDefault="00F753E8" w:rsidP="00F753E8">
      <w:pPr>
        <w:spacing w:line="20" w:lineRule="atLeast"/>
        <w:ind w:firstLine="360"/>
        <w:rPr>
          <w:rFonts w:ascii="Arial" w:hAnsi="Arial" w:cs="Arial"/>
          <w:b/>
          <w:sz w:val="22"/>
          <w:szCs w:val="22"/>
        </w:rPr>
      </w:pPr>
      <w:r w:rsidRPr="00F928FC">
        <w:rPr>
          <w:rFonts w:ascii="Arial" w:hAnsi="Arial" w:cs="Arial"/>
          <w:b/>
          <w:sz w:val="22"/>
          <w:szCs w:val="22"/>
        </w:rPr>
        <w:t>Risk and risk management</w:t>
      </w:r>
    </w:p>
    <w:p w14:paraId="39A79E37" w14:textId="77777777" w:rsidR="00F753E8" w:rsidRPr="008A0A4E" w:rsidRDefault="00F753E8" w:rsidP="00F753E8">
      <w:pPr>
        <w:spacing w:line="20" w:lineRule="atLeast"/>
        <w:rPr>
          <w:rFonts w:ascii="Arial" w:hAnsi="Arial" w:cs="Arial"/>
          <w:b/>
          <w:sz w:val="22"/>
          <w:szCs w:val="22"/>
        </w:rPr>
      </w:pPr>
    </w:p>
    <w:p w14:paraId="6E6D75F3" w14:textId="77777777" w:rsidR="00F753E8" w:rsidRPr="008A0A4E" w:rsidRDefault="00F753E8" w:rsidP="00F753E8">
      <w:pPr>
        <w:spacing w:line="20" w:lineRule="atLeast"/>
        <w:ind w:firstLine="360"/>
        <w:rPr>
          <w:rFonts w:ascii="Arial" w:hAnsi="Arial" w:cs="Arial"/>
          <w:b/>
          <w:sz w:val="22"/>
          <w:szCs w:val="22"/>
        </w:rPr>
      </w:pPr>
      <w:r w:rsidRPr="008A0A4E">
        <w:rPr>
          <w:rFonts w:ascii="Arial" w:hAnsi="Arial" w:cs="Arial"/>
          <w:b/>
          <w:sz w:val="22"/>
          <w:szCs w:val="22"/>
        </w:rPr>
        <w:t>Market risk</w:t>
      </w:r>
    </w:p>
    <w:p w14:paraId="7852E089" w14:textId="77777777" w:rsidR="00F753E8" w:rsidRPr="008A0A4E" w:rsidRDefault="00F753E8" w:rsidP="00F753E8">
      <w:pPr>
        <w:spacing w:line="20" w:lineRule="atLeast"/>
        <w:ind w:firstLine="360"/>
        <w:rPr>
          <w:rFonts w:ascii="Arial" w:hAnsi="Arial" w:cs="Arial"/>
          <w:b/>
          <w:sz w:val="22"/>
          <w:szCs w:val="22"/>
        </w:rPr>
      </w:pPr>
    </w:p>
    <w:p w14:paraId="1E7CF250" w14:textId="77777777" w:rsidR="00F753E8" w:rsidRPr="008A0A4E" w:rsidRDefault="00F753E8" w:rsidP="00F753E8">
      <w:pPr>
        <w:spacing w:line="20" w:lineRule="atLeast"/>
        <w:ind w:left="360"/>
        <w:jc w:val="both"/>
        <w:rPr>
          <w:rFonts w:ascii="Arial" w:hAnsi="Arial" w:cs="Arial"/>
          <w:sz w:val="22"/>
          <w:szCs w:val="22"/>
        </w:rPr>
      </w:pPr>
      <w:r w:rsidRPr="008A0A4E">
        <w:rPr>
          <w:rFonts w:ascii="Arial" w:hAnsi="Arial" w:cs="Arial"/>
          <w:sz w:val="22"/>
          <w:szCs w:val="22"/>
        </w:rPr>
        <w:t>Market risk is the risk of loss from fluctuations in equity prices, from interest and foreign exchange rates and from credit spreads. The Fund is exposed to market risk predominantly from its equity holdings. The level of risk exposure depends on market conditions, expectations of future price and yield movements and the asset mix. The objective of the Fund’s risk management strategy is to identify, manage and control market risk exposure within acceptable parameters, whilst optimising the return on risk.</w:t>
      </w:r>
    </w:p>
    <w:p w14:paraId="3A68BB5C" w14:textId="77777777" w:rsidR="00F753E8" w:rsidRPr="008A0A4E" w:rsidRDefault="00F753E8" w:rsidP="00F753E8">
      <w:pPr>
        <w:spacing w:line="20" w:lineRule="atLeast"/>
        <w:ind w:left="360"/>
        <w:jc w:val="both"/>
        <w:rPr>
          <w:rFonts w:ascii="Arial" w:hAnsi="Arial" w:cs="Arial"/>
          <w:sz w:val="22"/>
          <w:szCs w:val="22"/>
        </w:rPr>
      </w:pPr>
    </w:p>
    <w:p w14:paraId="5EE87929" w14:textId="77777777" w:rsidR="00F753E8" w:rsidRPr="008A0A4E" w:rsidRDefault="00F753E8" w:rsidP="00F753E8">
      <w:pPr>
        <w:spacing w:line="20" w:lineRule="atLeast"/>
        <w:ind w:left="360"/>
        <w:jc w:val="both"/>
        <w:rPr>
          <w:rFonts w:ascii="Arial" w:hAnsi="Arial" w:cs="Arial"/>
          <w:sz w:val="22"/>
          <w:szCs w:val="22"/>
        </w:rPr>
      </w:pPr>
      <w:r w:rsidRPr="008A0A4E">
        <w:rPr>
          <w:rFonts w:ascii="Arial" w:hAnsi="Arial" w:cs="Arial"/>
          <w:sz w:val="22"/>
          <w:szCs w:val="22"/>
        </w:rPr>
        <w:t>In general, excessive volatility in market risk is managed through the diversification of the portfolio in terms of geographical and industry sectors and individual securities. To mitigate market risk, the Council and its investment advisors undertake appropriate monitoring of market conditions and benchmark analysis.  The Fund manages these risks in two ways:</w:t>
      </w:r>
    </w:p>
    <w:p w14:paraId="177CF157" w14:textId="77777777" w:rsidR="00F753E8" w:rsidRPr="008A0A4E" w:rsidRDefault="00F753E8" w:rsidP="00F753E8">
      <w:pPr>
        <w:spacing w:line="20" w:lineRule="atLeast"/>
        <w:ind w:firstLine="360"/>
        <w:jc w:val="both"/>
        <w:rPr>
          <w:rFonts w:ascii="Arial" w:hAnsi="Arial" w:cs="Arial"/>
          <w:sz w:val="22"/>
          <w:szCs w:val="22"/>
        </w:rPr>
      </w:pPr>
    </w:p>
    <w:p w14:paraId="2F43491C" w14:textId="77777777" w:rsidR="00F753E8" w:rsidRPr="008A0A4E" w:rsidRDefault="00F753E8" w:rsidP="00F753E8">
      <w:pPr>
        <w:numPr>
          <w:ilvl w:val="0"/>
          <w:numId w:val="6"/>
        </w:numPr>
        <w:spacing w:line="20" w:lineRule="atLeast"/>
        <w:ind w:left="709" w:hanging="283"/>
        <w:jc w:val="both"/>
        <w:rPr>
          <w:rFonts w:ascii="Arial" w:hAnsi="Arial" w:cs="Arial"/>
          <w:sz w:val="22"/>
          <w:szCs w:val="22"/>
        </w:rPr>
      </w:pPr>
      <w:r w:rsidRPr="008A0A4E">
        <w:rPr>
          <w:rFonts w:ascii="Arial" w:hAnsi="Arial" w:cs="Arial"/>
          <w:sz w:val="22"/>
          <w:szCs w:val="22"/>
        </w:rPr>
        <w:t>Fund’s exposure to market risk monitored by reviewing the Fund’s asset allocation</w:t>
      </w:r>
      <w:r>
        <w:rPr>
          <w:rFonts w:ascii="Arial" w:hAnsi="Arial" w:cs="Arial"/>
          <w:sz w:val="22"/>
          <w:szCs w:val="22"/>
        </w:rPr>
        <w:t>.</w:t>
      </w:r>
    </w:p>
    <w:p w14:paraId="43587AFB" w14:textId="77777777" w:rsidR="00F753E8" w:rsidRDefault="00F753E8" w:rsidP="00F753E8">
      <w:pPr>
        <w:numPr>
          <w:ilvl w:val="0"/>
          <w:numId w:val="6"/>
        </w:numPr>
        <w:spacing w:line="20" w:lineRule="atLeast"/>
        <w:ind w:left="709" w:hanging="283"/>
        <w:jc w:val="both"/>
        <w:rPr>
          <w:rFonts w:ascii="Arial" w:hAnsi="Arial" w:cs="Arial"/>
          <w:sz w:val="22"/>
          <w:szCs w:val="22"/>
        </w:rPr>
      </w:pPr>
      <w:r w:rsidRPr="008A0A4E">
        <w:rPr>
          <w:rFonts w:ascii="Arial" w:hAnsi="Arial" w:cs="Arial"/>
          <w:sz w:val="22"/>
          <w:szCs w:val="22"/>
        </w:rPr>
        <w:t>Specific risk exposure limited by applying maximum exposure to individual investment.</w:t>
      </w:r>
    </w:p>
    <w:p w14:paraId="3472D7C9" w14:textId="77777777" w:rsidR="00F753E8" w:rsidRPr="008A0A4E" w:rsidRDefault="00F753E8" w:rsidP="00F753E8">
      <w:pPr>
        <w:spacing w:line="20" w:lineRule="atLeast"/>
        <w:jc w:val="both"/>
        <w:rPr>
          <w:rFonts w:ascii="Arial" w:hAnsi="Arial" w:cs="Arial"/>
          <w:sz w:val="22"/>
          <w:szCs w:val="22"/>
        </w:rPr>
      </w:pPr>
    </w:p>
    <w:p w14:paraId="34CD0360" w14:textId="77777777" w:rsidR="00F753E8" w:rsidRPr="00F928FC" w:rsidRDefault="00F753E8" w:rsidP="00F753E8">
      <w:pPr>
        <w:spacing w:line="20" w:lineRule="atLeast"/>
        <w:ind w:firstLine="360"/>
        <w:rPr>
          <w:rFonts w:ascii="Arial" w:hAnsi="Arial" w:cs="Arial"/>
          <w:b/>
          <w:sz w:val="22"/>
          <w:szCs w:val="22"/>
        </w:rPr>
      </w:pPr>
      <w:r w:rsidRPr="00F928FC">
        <w:rPr>
          <w:rFonts w:ascii="Arial" w:hAnsi="Arial" w:cs="Arial"/>
          <w:b/>
          <w:sz w:val="22"/>
          <w:szCs w:val="22"/>
        </w:rPr>
        <w:t>Other price risk</w:t>
      </w:r>
    </w:p>
    <w:p w14:paraId="38074D0C" w14:textId="77777777" w:rsidR="00F753E8" w:rsidRPr="008A0A4E" w:rsidRDefault="00F753E8" w:rsidP="00F753E8">
      <w:pPr>
        <w:spacing w:line="20" w:lineRule="atLeast"/>
        <w:jc w:val="both"/>
        <w:rPr>
          <w:rFonts w:ascii="Arial" w:hAnsi="Arial" w:cs="Arial"/>
          <w:b/>
          <w:sz w:val="22"/>
          <w:szCs w:val="22"/>
        </w:rPr>
      </w:pPr>
    </w:p>
    <w:p w14:paraId="0B2390AA" w14:textId="77777777" w:rsidR="00F753E8" w:rsidRPr="008A0A4E" w:rsidRDefault="00F753E8" w:rsidP="00F753E8">
      <w:pPr>
        <w:spacing w:line="20" w:lineRule="atLeast"/>
        <w:ind w:left="360"/>
        <w:jc w:val="both"/>
        <w:rPr>
          <w:rFonts w:ascii="Arial" w:hAnsi="Arial" w:cs="Arial"/>
          <w:sz w:val="22"/>
          <w:szCs w:val="22"/>
        </w:rPr>
      </w:pPr>
      <w:r w:rsidRPr="008A0A4E">
        <w:rPr>
          <w:rFonts w:ascii="Arial" w:hAnsi="Arial" w:cs="Arial"/>
          <w:sz w:val="22"/>
          <w:szCs w:val="22"/>
        </w:rPr>
        <w:t xml:space="preserve">Other price risk represents the risk that the value of a financial instrument will fluctuate </w:t>
      </w:r>
      <w:proofErr w:type="gramStart"/>
      <w:r w:rsidRPr="008A0A4E">
        <w:rPr>
          <w:rFonts w:ascii="Arial" w:hAnsi="Arial" w:cs="Arial"/>
          <w:sz w:val="22"/>
          <w:szCs w:val="22"/>
        </w:rPr>
        <w:t>as a result of</w:t>
      </w:r>
      <w:proofErr w:type="gramEnd"/>
      <w:r w:rsidRPr="008A0A4E">
        <w:rPr>
          <w:rFonts w:ascii="Arial" w:hAnsi="Arial" w:cs="Arial"/>
          <w:sz w:val="22"/>
          <w:szCs w:val="22"/>
        </w:rPr>
        <w:t xml:space="preserve"> changes in market prices (other than those arising from interest rate risk or foreign exchange risk), whether those changes are caused by factors specific to the individual instrument or its issuer or factors affecting all such instruments in the market.</w:t>
      </w:r>
    </w:p>
    <w:p w14:paraId="6E719249" w14:textId="77777777" w:rsidR="00F753E8" w:rsidRPr="008A0A4E" w:rsidRDefault="00F753E8" w:rsidP="00F753E8">
      <w:pPr>
        <w:spacing w:line="20" w:lineRule="atLeast"/>
        <w:jc w:val="both"/>
        <w:rPr>
          <w:rFonts w:ascii="Arial" w:hAnsi="Arial" w:cs="Arial"/>
          <w:sz w:val="22"/>
          <w:szCs w:val="22"/>
        </w:rPr>
      </w:pPr>
    </w:p>
    <w:p w14:paraId="1605F422" w14:textId="77777777" w:rsidR="00F753E8" w:rsidRPr="008A0A4E" w:rsidRDefault="00F753E8" w:rsidP="00F753E8">
      <w:pPr>
        <w:spacing w:line="20" w:lineRule="atLeast"/>
        <w:ind w:left="360"/>
        <w:jc w:val="both"/>
        <w:rPr>
          <w:rFonts w:ascii="Arial" w:hAnsi="Arial" w:cs="Arial"/>
          <w:sz w:val="22"/>
          <w:szCs w:val="22"/>
        </w:rPr>
      </w:pPr>
      <w:r w:rsidRPr="008A0A4E">
        <w:rPr>
          <w:rFonts w:ascii="Arial" w:hAnsi="Arial" w:cs="Arial"/>
          <w:sz w:val="22"/>
          <w:szCs w:val="22"/>
        </w:rPr>
        <w:t xml:space="preserve">The Fund is exposed to share and derivative price risk.  This arises from investments held by the Fund for which the future price is uncertain.  All securities investments present a risk of loss of capital.  The maximum risk resulting from financial instruments is determined by the fair value of the financial instruments. </w:t>
      </w:r>
    </w:p>
    <w:p w14:paraId="7D736855" w14:textId="77777777" w:rsidR="00F753E8" w:rsidRPr="008A0A4E" w:rsidRDefault="00F753E8" w:rsidP="00F753E8">
      <w:pPr>
        <w:spacing w:line="20" w:lineRule="atLeast"/>
        <w:jc w:val="both"/>
        <w:rPr>
          <w:rFonts w:ascii="Arial" w:hAnsi="Arial" w:cs="Arial"/>
          <w:sz w:val="22"/>
          <w:szCs w:val="22"/>
        </w:rPr>
      </w:pPr>
    </w:p>
    <w:p w14:paraId="4F76769F" w14:textId="77777777" w:rsidR="00F753E8" w:rsidRPr="008A0A4E" w:rsidRDefault="00F753E8" w:rsidP="00F753E8">
      <w:pPr>
        <w:spacing w:line="20" w:lineRule="atLeast"/>
        <w:ind w:left="360"/>
        <w:jc w:val="both"/>
        <w:rPr>
          <w:rFonts w:ascii="Arial" w:hAnsi="Arial" w:cs="Arial"/>
          <w:sz w:val="22"/>
          <w:szCs w:val="22"/>
        </w:rPr>
      </w:pPr>
      <w:r w:rsidRPr="008A0A4E">
        <w:rPr>
          <w:rFonts w:ascii="Arial" w:hAnsi="Arial" w:cs="Arial"/>
          <w:sz w:val="22"/>
          <w:szCs w:val="22"/>
        </w:rPr>
        <w:t>The Fund’s investment managers mitigate this price risk through diversification and the selection of securities and other financial instruments is monitored by the Council to ensure it is within limits specified in the Fund investment strategy.</w:t>
      </w:r>
    </w:p>
    <w:p w14:paraId="0EB1816A" w14:textId="77777777" w:rsidR="00F753E8" w:rsidRPr="008A0A4E" w:rsidRDefault="00F753E8" w:rsidP="00F753E8">
      <w:pPr>
        <w:spacing w:line="20" w:lineRule="atLeast"/>
        <w:ind w:firstLine="360"/>
        <w:jc w:val="both"/>
        <w:rPr>
          <w:rFonts w:ascii="Arial" w:hAnsi="Arial" w:cs="Arial"/>
          <w:b/>
          <w:sz w:val="22"/>
          <w:szCs w:val="22"/>
        </w:rPr>
      </w:pPr>
    </w:p>
    <w:p w14:paraId="4ABE7635" w14:textId="77777777" w:rsidR="00F753E8" w:rsidRPr="008A0A4E" w:rsidRDefault="00F753E8" w:rsidP="00F753E8">
      <w:pPr>
        <w:spacing w:line="20" w:lineRule="atLeast"/>
        <w:ind w:firstLine="360"/>
        <w:jc w:val="both"/>
        <w:rPr>
          <w:rFonts w:ascii="Arial" w:hAnsi="Arial" w:cs="Arial"/>
          <w:b/>
          <w:sz w:val="22"/>
          <w:szCs w:val="22"/>
        </w:rPr>
      </w:pPr>
      <w:r w:rsidRPr="008A0A4E">
        <w:rPr>
          <w:rFonts w:ascii="Arial" w:hAnsi="Arial" w:cs="Arial"/>
          <w:b/>
          <w:sz w:val="22"/>
          <w:szCs w:val="22"/>
        </w:rPr>
        <w:t>Other price risk - sensitivity analysis</w:t>
      </w:r>
    </w:p>
    <w:p w14:paraId="07C999A9" w14:textId="77777777" w:rsidR="00F753E8" w:rsidRPr="008A0A4E" w:rsidRDefault="00F753E8" w:rsidP="00F753E8">
      <w:pPr>
        <w:spacing w:line="20" w:lineRule="atLeast"/>
        <w:ind w:firstLine="360"/>
        <w:jc w:val="both"/>
        <w:rPr>
          <w:rFonts w:ascii="Arial" w:hAnsi="Arial" w:cs="Arial"/>
          <w:b/>
          <w:sz w:val="22"/>
          <w:szCs w:val="22"/>
        </w:rPr>
      </w:pPr>
    </w:p>
    <w:p w14:paraId="5C18AA08" w14:textId="77777777" w:rsidR="00F753E8" w:rsidRPr="008A0A4E" w:rsidRDefault="00F753E8" w:rsidP="00F753E8">
      <w:pPr>
        <w:spacing w:line="20" w:lineRule="atLeast"/>
        <w:ind w:left="360"/>
        <w:jc w:val="both"/>
        <w:rPr>
          <w:rFonts w:ascii="Arial" w:hAnsi="Arial" w:cs="Arial"/>
          <w:sz w:val="22"/>
          <w:szCs w:val="22"/>
        </w:rPr>
      </w:pPr>
      <w:r w:rsidRPr="008A0A4E">
        <w:rPr>
          <w:rFonts w:ascii="Arial" w:hAnsi="Arial" w:cs="Arial"/>
          <w:sz w:val="22"/>
          <w:szCs w:val="22"/>
        </w:rPr>
        <w:t>Potential price changes are determined based on the observed historical volatility of asset class returns. Ris</w:t>
      </w:r>
      <w:r>
        <w:rPr>
          <w:rFonts w:ascii="Arial" w:hAnsi="Arial" w:cs="Arial"/>
          <w:sz w:val="22"/>
          <w:szCs w:val="22"/>
        </w:rPr>
        <w:t>k</w:t>
      </w:r>
      <w:r>
        <w:rPr>
          <w:rFonts w:ascii="Arial" w:hAnsi="Arial" w:cs="Arial"/>
          <w:sz w:val="22"/>
          <w:szCs w:val="22"/>
        </w:rPr>
        <w:tab/>
      </w:r>
      <w:r w:rsidRPr="008A0A4E">
        <w:rPr>
          <w:rFonts w:ascii="Arial" w:hAnsi="Arial" w:cs="Arial"/>
          <w:sz w:val="22"/>
          <w:szCs w:val="22"/>
        </w:rPr>
        <w:t xml:space="preserve"> assets such as equities will display greater potential volatility than bonds as an example, so the overall outcome depends largely on Funds’ asset allocations. </w:t>
      </w:r>
    </w:p>
    <w:p w14:paraId="393FD33E" w14:textId="77777777" w:rsidR="00F753E8" w:rsidRPr="008A0A4E" w:rsidRDefault="00F753E8" w:rsidP="00F753E8">
      <w:pPr>
        <w:jc w:val="both"/>
        <w:rPr>
          <w:rFonts w:ascii="Arial" w:hAnsi="Arial" w:cs="Arial"/>
          <w:sz w:val="22"/>
          <w:szCs w:val="22"/>
        </w:rPr>
      </w:pPr>
    </w:p>
    <w:p w14:paraId="6097BF4C" w14:textId="77777777" w:rsidR="00F753E8" w:rsidRPr="008A0A4E" w:rsidRDefault="00F753E8" w:rsidP="00F753E8">
      <w:pPr>
        <w:ind w:left="360"/>
        <w:jc w:val="both"/>
        <w:rPr>
          <w:rFonts w:ascii="Arial" w:hAnsi="Arial" w:cs="Arial"/>
          <w:sz w:val="22"/>
          <w:szCs w:val="22"/>
        </w:rPr>
      </w:pPr>
      <w:r w:rsidRPr="008A0A4E">
        <w:rPr>
          <w:rFonts w:ascii="Arial" w:hAnsi="Arial" w:cs="Arial"/>
          <w:sz w:val="22"/>
          <w:szCs w:val="22"/>
        </w:rPr>
        <w:t>The potential volatilities are consistent with a one standard deviation movement in the change in value of the assets over the latest three years. This can then be applied to the period end asset mix.  The Council has determined that the following movements in market price risk are reasonably possible for the 20</w:t>
      </w:r>
      <w:r>
        <w:rPr>
          <w:rFonts w:ascii="Arial" w:hAnsi="Arial" w:cs="Arial"/>
          <w:sz w:val="22"/>
          <w:szCs w:val="22"/>
        </w:rPr>
        <w:t>20/21</w:t>
      </w:r>
      <w:r w:rsidRPr="008A0A4E">
        <w:rPr>
          <w:rFonts w:ascii="Arial" w:hAnsi="Arial" w:cs="Arial"/>
          <w:sz w:val="22"/>
          <w:szCs w:val="22"/>
        </w:rPr>
        <w:t xml:space="preserve"> reporting period.</w:t>
      </w:r>
    </w:p>
    <w:p w14:paraId="3892B547" w14:textId="77777777" w:rsidR="00F753E8" w:rsidRPr="008A0A4E" w:rsidRDefault="00F753E8" w:rsidP="00F753E8">
      <w:pPr>
        <w:ind w:left="360"/>
        <w:jc w:val="both"/>
        <w:rPr>
          <w:rFonts w:ascii="Arial" w:hAnsi="Arial" w:cs="Arial"/>
          <w:sz w:val="22"/>
          <w:szCs w:val="22"/>
        </w:rPr>
      </w:pPr>
    </w:p>
    <w:tbl>
      <w:tblPr>
        <w:tblW w:w="8633" w:type="dxa"/>
        <w:tblInd w:w="392" w:type="dxa"/>
        <w:tblLook w:val="00A0" w:firstRow="1" w:lastRow="0" w:firstColumn="1" w:lastColumn="0" w:noHBand="0" w:noVBand="0"/>
      </w:tblPr>
      <w:tblGrid>
        <w:gridCol w:w="2354"/>
        <w:gridCol w:w="2642"/>
        <w:gridCol w:w="1411"/>
        <w:gridCol w:w="2226"/>
      </w:tblGrid>
      <w:tr w:rsidR="00F753E8" w:rsidRPr="00B64150" w14:paraId="396C055A" w14:textId="77777777" w:rsidTr="006E1769">
        <w:trPr>
          <w:trHeight w:val="190"/>
        </w:trPr>
        <w:tc>
          <w:tcPr>
            <w:tcW w:w="2354" w:type="dxa"/>
            <w:shd w:val="clear" w:color="000000" w:fill="FFFFFF"/>
            <w:vAlign w:val="bottom"/>
          </w:tcPr>
          <w:p w14:paraId="6F41497E"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Asset Class</w:t>
            </w:r>
          </w:p>
        </w:tc>
        <w:tc>
          <w:tcPr>
            <w:tcW w:w="2642" w:type="dxa"/>
            <w:shd w:val="clear" w:color="000000" w:fill="FFFFFF"/>
            <w:vAlign w:val="bottom"/>
          </w:tcPr>
          <w:p w14:paraId="36AD6BC6"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One Year Expected Volatility (%)</w:t>
            </w:r>
          </w:p>
        </w:tc>
        <w:tc>
          <w:tcPr>
            <w:tcW w:w="1411" w:type="dxa"/>
            <w:vAlign w:val="bottom"/>
          </w:tcPr>
          <w:p w14:paraId="360C4E4B"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Asset Class</w:t>
            </w:r>
          </w:p>
        </w:tc>
        <w:tc>
          <w:tcPr>
            <w:tcW w:w="2226" w:type="dxa"/>
            <w:vAlign w:val="bottom"/>
          </w:tcPr>
          <w:p w14:paraId="1124520A"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One Year Expected Volatility (%)</w:t>
            </w:r>
          </w:p>
        </w:tc>
      </w:tr>
      <w:tr w:rsidR="00F753E8" w:rsidRPr="00B64150" w14:paraId="173F7FD8" w14:textId="77777777" w:rsidTr="006E1769">
        <w:trPr>
          <w:trHeight w:val="173"/>
        </w:trPr>
        <w:tc>
          <w:tcPr>
            <w:tcW w:w="2354" w:type="dxa"/>
            <w:noWrap/>
            <w:vAlign w:val="bottom"/>
          </w:tcPr>
          <w:p w14:paraId="00161E9F"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Global Pooled Inc UK</w:t>
            </w:r>
          </w:p>
        </w:tc>
        <w:tc>
          <w:tcPr>
            <w:tcW w:w="2642" w:type="dxa"/>
            <w:noWrap/>
          </w:tcPr>
          <w:p w14:paraId="6BA173D4" w14:textId="77777777" w:rsidR="00F753E8" w:rsidRPr="008A0A4E" w:rsidRDefault="00F753E8" w:rsidP="006E1769">
            <w:pPr>
              <w:ind w:left="-108"/>
              <w:jc w:val="center"/>
              <w:rPr>
                <w:rFonts w:ascii="Arial" w:hAnsi="Arial" w:cs="Arial"/>
                <w:sz w:val="22"/>
                <w:szCs w:val="22"/>
              </w:rPr>
            </w:pPr>
            <w:r w:rsidRPr="008A0A4E">
              <w:rPr>
                <w:rFonts w:ascii="Arial" w:hAnsi="Arial" w:cs="Arial"/>
                <w:sz w:val="22"/>
                <w:szCs w:val="22"/>
              </w:rPr>
              <w:t>1</w:t>
            </w:r>
            <w:r>
              <w:rPr>
                <w:rFonts w:ascii="Arial" w:hAnsi="Arial" w:cs="Arial"/>
                <w:sz w:val="22"/>
                <w:szCs w:val="22"/>
              </w:rPr>
              <w:t>5.2</w:t>
            </w:r>
          </w:p>
        </w:tc>
        <w:tc>
          <w:tcPr>
            <w:tcW w:w="1411" w:type="dxa"/>
          </w:tcPr>
          <w:p w14:paraId="2BE58374" w14:textId="77777777" w:rsidR="00F753E8" w:rsidRPr="008A0A4E" w:rsidRDefault="00F753E8" w:rsidP="006E1769">
            <w:pPr>
              <w:rPr>
                <w:rFonts w:ascii="Arial" w:hAnsi="Arial" w:cs="Arial"/>
                <w:sz w:val="22"/>
                <w:szCs w:val="22"/>
              </w:rPr>
            </w:pPr>
            <w:r w:rsidRPr="008A0A4E">
              <w:rPr>
                <w:rFonts w:ascii="Arial" w:hAnsi="Arial" w:cs="Arial"/>
                <w:sz w:val="22"/>
                <w:szCs w:val="22"/>
              </w:rPr>
              <w:t>Alternatives</w:t>
            </w:r>
          </w:p>
        </w:tc>
        <w:tc>
          <w:tcPr>
            <w:tcW w:w="2226" w:type="dxa"/>
          </w:tcPr>
          <w:p w14:paraId="1EF0CEF0" w14:textId="77777777" w:rsidR="00F753E8" w:rsidRPr="008A0A4E" w:rsidRDefault="00F753E8" w:rsidP="006E1769">
            <w:pPr>
              <w:ind w:left="-108"/>
              <w:jc w:val="center"/>
              <w:rPr>
                <w:rFonts w:ascii="Arial" w:hAnsi="Arial" w:cs="Arial"/>
                <w:sz w:val="22"/>
                <w:szCs w:val="22"/>
              </w:rPr>
            </w:pPr>
            <w:r>
              <w:rPr>
                <w:rFonts w:ascii="Arial" w:hAnsi="Arial" w:cs="Arial"/>
                <w:sz w:val="22"/>
                <w:szCs w:val="22"/>
              </w:rPr>
              <w:t>5.0</w:t>
            </w:r>
          </w:p>
        </w:tc>
      </w:tr>
      <w:tr w:rsidR="00F753E8" w:rsidRPr="00B64150" w14:paraId="6356DE32" w14:textId="77777777" w:rsidTr="006E1769">
        <w:trPr>
          <w:trHeight w:val="173"/>
        </w:trPr>
        <w:tc>
          <w:tcPr>
            <w:tcW w:w="2354" w:type="dxa"/>
            <w:noWrap/>
            <w:vAlign w:val="bottom"/>
          </w:tcPr>
          <w:p w14:paraId="7A182CD9"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Total Bonds</w:t>
            </w:r>
          </w:p>
        </w:tc>
        <w:tc>
          <w:tcPr>
            <w:tcW w:w="2642" w:type="dxa"/>
            <w:noWrap/>
          </w:tcPr>
          <w:p w14:paraId="0C7D878E" w14:textId="77777777" w:rsidR="00F753E8" w:rsidRPr="008A0A4E" w:rsidRDefault="00F753E8" w:rsidP="006E1769">
            <w:pPr>
              <w:ind w:left="-108"/>
              <w:jc w:val="center"/>
              <w:rPr>
                <w:rFonts w:ascii="Arial" w:hAnsi="Arial" w:cs="Arial"/>
                <w:sz w:val="22"/>
                <w:szCs w:val="22"/>
              </w:rPr>
            </w:pPr>
            <w:r w:rsidRPr="008A0A4E">
              <w:rPr>
                <w:rFonts w:ascii="Arial" w:hAnsi="Arial" w:cs="Arial"/>
                <w:sz w:val="22"/>
                <w:szCs w:val="22"/>
              </w:rPr>
              <w:t>5.</w:t>
            </w:r>
            <w:r>
              <w:rPr>
                <w:rFonts w:ascii="Arial" w:hAnsi="Arial" w:cs="Arial"/>
                <w:sz w:val="22"/>
                <w:szCs w:val="22"/>
              </w:rPr>
              <w:t>1</w:t>
            </w:r>
          </w:p>
        </w:tc>
        <w:tc>
          <w:tcPr>
            <w:tcW w:w="1411" w:type="dxa"/>
          </w:tcPr>
          <w:p w14:paraId="46C61CD7"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Cash</w:t>
            </w:r>
          </w:p>
        </w:tc>
        <w:tc>
          <w:tcPr>
            <w:tcW w:w="2226" w:type="dxa"/>
          </w:tcPr>
          <w:p w14:paraId="394D3E2C" w14:textId="77777777" w:rsidR="00F753E8" w:rsidRPr="008A0A4E" w:rsidRDefault="00F753E8" w:rsidP="006E1769">
            <w:pPr>
              <w:ind w:left="-108"/>
              <w:jc w:val="center"/>
              <w:rPr>
                <w:rFonts w:ascii="Arial" w:hAnsi="Arial" w:cs="Arial"/>
                <w:sz w:val="22"/>
                <w:szCs w:val="22"/>
              </w:rPr>
            </w:pPr>
            <w:r>
              <w:rPr>
                <w:rFonts w:ascii="Arial" w:hAnsi="Arial" w:cs="Arial"/>
                <w:sz w:val="22"/>
                <w:szCs w:val="22"/>
              </w:rPr>
              <w:t>1.2</w:t>
            </w:r>
          </w:p>
        </w:tc>
      </w:tr>
      <w:tr w:rsidR="00F753E8" w:rsidRPr="00B64150" w14:paraId="7EAAF56A" w14:textId="77777777" w:rsidTr="006E1769">
        <w:trPr>
          <w:trHeight w:val="173"/>
        </w:trPr>
        <w:tc>
          <w:tcPr>
            <w:tcW w:w="2354" w:type="dxa"/>
            <w:noWrap/>
          </w:tcPr>
          <w:p w14:paraId="1697178E" w14:textId="77777777" w:rsidR="00F753E8" w:rsidRPr="008A0A4E" w:rsidRDefault="00F753E8" w:rsidP="006E1769">
            <w:pPr>
              <w:rPr>
                <w:rFonts w:ascii="Arial" w:hAnsi="Arial" w:cs="Arial"/>
                <w:color w:val="000000"/>
                <w:sz w:val="22"/>
                <w:szCs w:val="22"/>
              </w:rPr>
            </w:pPr>
            <w:r w:rsidRPr="008A0A4E">
              <w:rPr>
                <w:rFonts w:ascii="Arial" w:hAnsi="Arial" w:cs="Arial"/>
                <w:color w:val="000000"/>
                <w:sz w:val="22"/>
                <w:szCs w:val="22"/>
              </w:rPr>
              <w:t>Property</w:t>
            </w:r>
          </w:p>
        </w:tc>
        <w:tc>
          <w:tcPr>
            <w:tcW w:w="2642" w:type="dxa"/>
            <w:noWrap/>
          </w:tcPr>
          <w:p w14:paraId="3D6F71EF" w14:textId="77777777" w:rsidR="00F753E8" w:rsidRPr="008A0A4E" w:rsidRDefault="00F753E8" w:rsidP="006E1769">
            <w:pPr>
              <w:ind w:left="-108"/>
              <w:jc w:val="center"/>
              <w:rPr>
                <w:rFonts w:ascii="Arial" w:hAnsi="Arial" w:cs="Arial"/>
                <w:sz w:val="22"/>
                <w:szCs w:val="22"/>
              </w:rPr>
            </w:pPr>
            <w:r>
              <w:rPr>
                <w:rFonts w:ascii="Arial" w:hAnsi="Arial" w:cs="Arial"/>
                <w:sz w:val="22"/>
                <w:szCs w:val="22"/>
              </w:rPr>
              <w:t>4.4</w:t>
            </w:r>
          </w:p>
        </w:tc>
        <w:tc>
          <w:tcPr>
            <w:tcW w:w="1411" w:type="dxa"/>
          </w:tcPr>
          <w:p w14:paraId="7772C55F" w14:textId="77777777" w:rsidR="00F753E8" w:rsidRPr="008A0A4E" w:rsidRDefault="00F753E8" w:rsidP="006E1769">
            <w:pPr>
              <w:rPr>
                <w:rFonts w:ascii="Arial" w:hAnsi="Arial" w:cs="Arial"/>
                <w:color w:val="000000"/>
                <w:sz w:val="22"/>
                <w:szCs w:val="22"/>
              </w:rPr>
            </w:pPr>
          </w:p>
        </w:tc>
        <w:tc>
          <w:tcPr>
            <w:tcW w:w="2226" w:type="dxa"/>
          </w:tcPr>
          <w:p w14:paraId="090ACEC4" w14:textId="77777777" w:rsidR="00F753E8" w:rsidRPr="008A0A4E" w:rsidRDefault="00F753E8" w:rsidP="006E1769">
            <w:pPr>
              <w:ind w:left="-108"/>
              <w:jc w:val="right"/>
              <w:rPr>
                <w:rFonts w:ascii="Arial" w:hAnsi="Arial" w:cs="Arial"/>
                <w:sz w:val="22"/>
                <w:szCs w:val="22"/>
              </w:rPr>
            </w:pPr>
          </w:p>
        </w:tc>
      </w:tr>
    </w:tbl>
    <w:p w14:paraId="7F95D6E5" w14:textId="77777777" w:rsidR="00F753E8" w:rsidRPr="008A0A4E" w:rsidRDefault="00F753E8" w:rsidP="00F753E8">
      <w:pPr>
        <w:ind w:left="426"/>
        <w:jc w:val="both"/>
        <w:rPr>
          <w:rFonts w:ascii="Arial" w:hAnsi="Arial" w:cs="Arial"/>
          <w:sz w:val="22"/>
          <w:szCs w:val="22"/>
        </w:rPr>
      </w:pPr>
    </w:p>
    <w:p w14:paraId="326204E8"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The sum of the monetary impact for each asset class will equal the total Fund impact as no allowance has been made for diversification of the one-year standard deviation for a single currency. Had the market price of the Fund investments increased or decreased in line with the above, the change in the net assets available to pay benefits in the market price would have been as follows (the prior year comparator is shown below):</w:t>
      </w:r>
    </w:p>
    <w:p w14:paraId="7562F98A" w14:textId="77777777" w:rsidR="00F753E8" w:rsidRPr="008A0A4E" w:rsidRDefault="00F753E8" w:rsidP="00F753E8">
      <w:pPr>
        <w:ind w:left="426"/>
        <w:jc w:val="both"/>
        <w:rPr>
          <w:rFonts w:ascii="Arial" w:hAnsi="Arial" w:cs="Arial"/>
          <w:sz w:val="22"/>
          <w:szCs w:val="22"/>
        </w:rPr>
      </w:pPr>
    </w:p>
    <w:tbl>
      <w:tblPr>
        <w:tblW w:w="9166" w:type="dxa"/>
        <w:tblLook w:val="04A0" w:firstRow="1" w:lastRow="0" w:firstColumn="1" w:lastColumn="0" w:noHBand="0" w:noVBand="1"/>
      </w:tblPr>
      <w:tblGrid>
        <w:gridCol w:w="3644"/>
        <w:gridCol w:w="1510"/>
        <w:gridCol w:w="1140"/>
        <w:gridCol w:w="1669"/>
        <w:gridCol w:w="1203"/>
      </w:tblGrid>
      <w:tr w:rsidR="00F753E8" w:rsidRPr="00B64150" w14:paraId="02D2194D" w14:textId="77777777" w:rsidTr="006E1769">
        <w:trPr>
          <w:trHeight w:val="193"/>
        </w:trPr>
        <w:tc>
          <w:tcPr>
            <w:tcW w:w="3644" w:type="dxa"/>
            <w:vMerge w:val="restart"/>
            <w:tcBorders>
              <w:top w:val="nil"/>
              <w:left w:val="nil"/>
              <w:bottom w:val="nil"/>
              <w:right w:val="nil"/>
            </w:tcBorders>
            <w:shd w:val="clear" w:color="auto" w:fill="auto"/>
            <w:noWrap/>
            <w:hideMark/>
          </w:tcPr>
          <w:p w14:paraId="710C2B5A" w14:textId="77777777" w:rsidR="00F753E8" w:rsidRPr="008A0A4E" w:rsidRDefault="00F753E8" w:rsidP="006E1769">
            <w:pPr>
              <w:jc w:val="center"/>
              <w:rPr>
                <w:rFonts w:ascii="Arial" w:hAnsi="Arial" w:cs="Arial"/>
                <w:b/>
                <w:bCs/>
                <w:color w:val="000000"/>
                <w:sz w:val="22"/>
                <w:szCs w:val="22"/>
              </w:rPr>
            </w:pPr>
            <w:bookmarkStart w:id="7" w:name="_Hlk3452912"/>
            <w:r w:rsidRPr="008A0A4E">
              <w:rPr>
                <w:rFonts w:ascii="Arial" w:hAnsi="Arial" w:cs="Arial"/>
                <w:b/>
                <w:bCs/>
                <w:color w:val="000000"/>
                <w:sz w:val="22"/>
                <w:szCs w:val="22"/>
              </w:rPr>
              <w:t>Asset Type</w:t>
            </w:r>
          </w:p>
          <w:p w14:paraId="7AE7FE39" w14:textId="77777777" w:rsidR="00F753E8" w:rsidRPr="008A0A4E" w:rsidRDefault="00F753E8" w:rsidP="006E1769">
            <w:pPr>
              <w:jc w:val="center"/>
              <w:rPr>
                <w:rFonts w:ascii="Arial" w:hAnsi="Arial" w:cs="Arial"/>
                <w:b/>
                <w:bCs/>
                <w:color w:val="000000"/>
                <w:sz w:val="22"/>
                <w:szCs w:val="22"/>
              </w:rPr>
            </w:pPr>
          </w:p>
        </w:tc>
        <w:tc>
          <w:tcPr>
            <w:tcW w:w="1510" w:type="dxa"/>
            <w:tcBorders>
              <w:top w:val="nil"/>
              <w:left w:val="nil"/>
              <w:bottom w:val="nil"/>
              <w:right w:val="nil"/>
            </w:tcBorders>
            <w:shd w:val="clear" w:color="auto" w:fill="auto"/>
            <w:noWrap/>
            <w:hideMark/>
          </w:tcPr>
          <w:p w14:paraId="3110CB84" w14:textId="77777777" w:rsidR="00F753E8" w:rsidRPr="008A0A4E" w:rsidRDefault="00F753E8" w:rsidP="006E1769">
            <w:pPr>
              <w:ind w:left="-108" w:right="-108"/>
              <w:jc w:val="center"/>
              <w:rPr>
                <w:rFonts w:ascii="Arial" w:hAnsi="Arial" w:cs="Arial"/>
                <w:b/>
                <w:bCs/>
                <w:color w:val="000000"/>
                <w:sz w:val="22"/>
                <w:szCs w:val="22"/>
              </w:rPr>
            </w:pPr>
            <w:r w:rsidRPr="008A0A4E">
              <w:rPr>
                <w:rFonts w:ascii="Arial" w:hAnsi="Arial" w:cs="Arial"/>
                <w:b/>
                <w:bCs/>
                <w:color w:val="000000"/>
                <w:sz w:val="22"/>
                <w:szCs w:val="22"/>
              </w:rPr>
              <w:t xml:space="preserve">Value as </w:t>
            </w:r>
            <w:proofErr w:type="gramStart"/>
            <w:r w:rsidRPr="008A0A4E">
              <w:rPr>
                <w:rFonts w:ascii="Arial" w:hAnsi="Arial" w:cs="Arial"/>
                <w:b/>
                <w:bCs/>
                <w:color w:val="000000"/>
                <w:sz w:val="22"/>
                <w:szCs w:val="22"/>
              </w:rPr>
              <w:t>at</w:t>
            </w:r>
            <w:proofErr w:type="gramEnd"/>
            <w:r w:rsidRPr="008A0A4E">
              <w:rPr>
                <w:rFonts w:ascii="Arial" w:hAnsi="Arial" w:cs="Arial"/>
                <w:b/>
                <w:bCs/>
                <w:color w:val="000000"/>
                <w:sz w:val="22"/>
                <w:szCs w:val="22"/>
              </w:rPr>
              <w:t xml:space="preserve"> 31 March 202</w:t>
            </w:r>
            <w:r>
              <w:rPr>
                <w:rFonts w:ascii="Arial" w:hAnsi="Arial" w:cs="Arial"/>
                <w:b/>
                <w:bCs/>
                <w:color w:val="000000"/>
                <w:sz w:val="22"/>
                <w:szCs w:val="22"/>
              </w:rPr>
              <w:t>2</w:t>
            </w:r>
          </w:p>
        </w:tc>
        <w:tc>
          <w:tcPr>
            <w:tcW w:w="1140" w:type="dxa"/>
            <w:vMerge w:val="restart"/>
            <w:tcBorders>
              <w:top w:val="nil"/>
              <w:left w:val="nil"/>
              <w:bottom w:val="nil"/>
              <w:right w:val="nil"/>
            </w:tcBorders>
            <w:shd w:val="clear" w:color="auto" w:fill="auto"/>
            <w:noWrap/>
            <w:hideMark/>
          </w:tcPr>
          <w:p w14:paraId="6C5C55B3"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Change</w:t>
            </w:r>
          </w:p>
        </w:tc>
        <w:tc>
          <w:tcPr>
            <w:tcW w:w="1669" w:type="dxa"/>
            <w:tcBorders>
              <w:top w:val="nil"/>
              <w:left w:val="nil"/>
              <w:bottom w:val="nil"/>
              <w:right w:val="nil"/>
            </w:tcBorders>
            <w:shd w:val="clear" w:color="auto" w:fill="auto"/>
            <w:noWrap/>
            <w:hideMark/>
          </w:tcPr>
          <w:p w14:paraId="2D50B08F"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Value on Increase</w:t>
            </w:r>
          </w:p>
        </w:tc>
        <w:tc>
          <w:tcPr>
            <w:tcW w:w="1203" w:type="dxa"/>
            <w:tcBorders>
              <w:top w:val="nil"/>
              <w:left w:val="nil"/>
              <w:bottom w:val="nil"/>
              <w:right w:val="nil"/>
            </w:tcBorders>
            <w:shd w:val="clear" w:color="auto" w:fill="auto"/>
            <w:noWrap/>
            <w:hideMark/>
          </w:tcPr>
          <w:p w14:paraId="0B923399"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Value on Decrease</w:t>
            </w:r>
          </w:p>
        </w:tc>
      </w:tr>
      <w:tr w:rsidR="00F753E8" w:rsidRPr="00B64150" w14:paraId="343C7188" w14:textId="77777777" w:rsidTr="006E1769">
        <w:trPr>
          <w:trHeight w:val="131"/>
        </w:trPr>
        <w:tc>
          <w:tcPr>
            <w:tcW w:w="3644" w:type="dxa"/>
            <w:vMerge/>
            <w:tcBorders>
              <w:top w:val="nil"/>
              <w:left w:val="nil"/>
              <w:bottom w:val="nil"/>
              <w:right w:val="nil"/>
            </w:tcBorders>
            <w:vAlign w:val="center"/>
            <w:hideMark/>
          </w:tcPr>
          <w:p w14:paraId="51215299" w14:textId="77777777" w:rsidR="00F753E8" w:rsidRPr="008A0A4E" w:rsidRDefault="00F753E8" w:rsidP="006E1769">
            <w:pPr>
              <w:rPr>
                <w:rFonts w:ascii="Arial" w:hAnsi="Arial" w:cs="Arial"/>
                <w:b/>
                <w:bCs/>
                <w:color w:val="000000"/>
                <w:sz w:val="22"/>
                <w:szCs w:val="22"/>
              </w:rPr>
            </w:pPr>
          </w:p>
        </w:tc>
        <w:tc>
          <w:tcPr>
            <w:tcW w:w="1510" w:type="dxa"/>
            <w:tcBorders>
              <w:top w:val="nil"/>
              <w:left w:val="nil"/>
              <w:bottom w:val="nil"/>
              <w:right w:val="nil"/>
            </w:tcBorders>
            <w:shd w:val="clear" w:color="auto" w:fill="auto"/>
            <w:noWrap/>
            <w:hideMark/>
          </w:tcPr>
          <w:p w14:paraId="066A9732" w14:textId="77777777" w:rsidR="00F753E8" w:rsidRPr="008A0A4E" w:rsidRDefault="00F753E8" w:rsidP="006E1769">
            <w:pPr>
              <w:ind w:left="-108" w:right="-108"/>
              <w:jc w:val="center"/>
              <w:rPr>
                <w:rFonts w:ascii="Arial" w:hAnsi="Arial" w:cs="Arial"/>
                <w:b/>
                <w:bCs/>
                <w:color w:val="000000"/>
                <w:sz w:val="22"/>
                <w:szCs w:val="22"/>
              </w:rPr>
            </w:pPr>
            <w:r w:rsidRPr="008A0A4E">
              <w:rPr>
                <w:rFonts w:ascii="Arial" w:hAnsi="Arial" w:cs="Arial"/>
                <w:b/>
                <w:bCs/>
                <w:color w:val="000000"/>
                <w:sz w:val="22"/>
                <w:szCs w:val="22"/>
              </w:rPr>
              <w:t>£000</w:t>
            </w:r>
          </w:p>
        </w:tc>
        <w:tc>
          <w:tcPr>
            <w:tcW w:w="1140" w:type="dxa"/>
            <w:vMerge/>
            <w:tcBorders>
              <w:top w:val="nil"/>
              <w:left w:val="nil"/>
              <w:bottom w:val="nil"/>
              <w:right w:val="nil"/>
            </w:tcBorders>
            <w:vAlign w:val="center"/>
            <w:hideMark/>
          </w:tcPr>
          <w:p w14:paraId="42371AF4" w14:textId="77777777" w:rsidR="00F753E8" w:rsidRPr="008A0A4E" w:rsidRDefault="00F753E8" w:rsidP="006E1769">
            <w:pPr>
              <w:rPr>
                <w:rFonts w:ascii="Arial" w:hAnsi="Arial" w:cs="Arial"/>
                <w:b/>
                <w:bCs/>
                <w:color w:val="000000"/>
                <w:sz w:val="22"/>
                <w:szCs w:val="22"/>
              </w:rPr>
            </w:pPr>
          </w:p>
        </w:tc>
        <w:tc>
          <w:tcPr>
            <w:tcW w:w="1669" w:type="dxa"/>
            <w:tcBorders>
              <w:top w:val="nil"/>
              <w:left w:val="nil"/>
              <w:bottom w:val="nil"/>
              <w:right w:val="nil"/>
            </w:tcBorders>
            <w:shd w:val="clear" w:color="auto" w:fill="auto"/>
            <w:noWrap/>
            <w:hideMark/>
          </w:tcPr>
          <w:p w14:paraId="5711C88C"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w:t>
            </w:r>
          </w:p>
        </w:tc>
        <w:tc>
          <w:tcPr>
            <w:tcW w:w="1203" w:type="dxa"/>
            <w:tcBorders>
              <w:top w:val="nil"/>
              <w:left w:val="nil"/>
              <w:bottom w:val="nil"/>
              <w:right w:val="nil"/>
            </w:tcBorders>
            <w:shd w:val="clear" w:color="auto" w:fill="auto"/>
            <w:noWrap/>
            <w:hideMark/>
          </w:tcPr>
          <w:p w14:paraId="60478EC1"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£000</w:t>
            </w:r>
          </w:p>
        </w:tc>
      </w:tr>
      <w:tr w:rsidR="00F753E8" w:rsidRPr="00B64150" w14:paraId="7D8D4F6D" w14:textId="77777777" w:rsidTr="006E1769">
        <w:trPr>
          <w:trHeight w:val="74"/>
        </w:trPr>
        <w:tc>
          <w:tcPr>
            <w:tcW w:w="3644" w:type="dxa"/>
            <w:tcBorders>
              <w:top w:val="nil"/>
              <w:left w:val="nil"/>
              <w:bottom w:val="nil"/>
              <w:right w:val="nil"/>
            </w:tcBorders>
            <w:shd w:val="clear" w:color="auto" w:fill="auto"/>
            <w:noWrap/>
            <w:vAlign w:val="bottom"/>
            <w:hideMark/>
          </w:tcPr>
          <w:p w14:paraId="0DDC4C12"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Pooled Fixed Interest</w:t>
            </w:r>
            <w:r>
              <w:rPr>
                <w:rFonts w:ascii="Arial" w:hAnsi="Arial" w:cs="Arial"/>
                <w:b/>
                <w:bCs/>
                <w:color w:val="000000"/>
                <w:sz w:val="22"/>
                <w:szCs w:val="22"/>
              </w:rPr>
              <w:t xml:space="preserve"> </w:t>
            </w:r>
            <w:r w:rsidRPr="008A0A4E">
              <w:rPr>
                <w:rFonts w:ascii="Arial" w:hAnsi="Arial" w:cs="Arial"/>
                <w:b/>
                <w:bCs/>
                <w:color w:val="000000"/>
                <w:sz w:val="22"/>
                <w:szCs w:val="22"/>
              </w:rPr>
              <w:t>Securities</w:t>
            </w:r>
          </w:p>
        </w:tc>
        <w:tc>
          <w:tcPr>
            <w:tcW w:w="1510" w:type="dxa"/>
            <w:tcBorders>
              <w:top w:val="nil"/>
              <w:left w:val="nil"/>
              <w:bottom w:val="nil"/>
              <w:right w:val="nil"/>
            </w:tcBorders>
            <w:shd w:val="clear" w:color="auto" w:fill="auto"/>
            <w:noWrap/>
          </w:tcPr>
          <w:p w14:paraId="575F03F6"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113,364</w:t>
            </w:r>
          </w:p>
        </w:tc>
        <w:tc>
          <w:tcPr>
            <w:tcW w:w="1140" w:type="dxa"/>
            <w:tcBorders>
              <w:top w:val="nil"/>
              <w:left w:val="nil"/>
              <w:bottom w:val="nil"/>
              <w:right w:val="nil"/>
            </w:tcBorders>
            <w:shd w:val="clear" w:color="auto" w:fill="auto"/>
            <w:noWrap/>
          </w:tcPr>
          <w:p w14:paraId="7327E1C2"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5.1</w:t>
            </w:r>
          </w:p>
        </w:tc>
        <w:tc>
          <w:tcPr>
            <w:tcW w:w="1669" w:type="dxa"/>
            <w:tcBorders>
              <w:top w:val="nil"/>
              <w:left w:val="nil"/>
              <w:bottom w:val="nil"/>
              <w:right w:val="nil"/>
            </w:tcBorders>
            <w:shd w:val="clear" w:color="auto" w:fill="auto"/>
            <w:noWrap/>
          </w:tcPr>
          <w:p w14:paraId="5C0CD72C"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119,146 </w:t>
            </w:r>
          </w:p>
        </w:tc>
        <w:tc>
          <w:tcPr>
            <w:tcW w:w="1203" w:type="dxa"/>
            <w:tcBorders>
              <w:top w:val="nil"/>
              <w:left w:val="nil"/>
              <w:bottom w:val="nil"/>
              <w:right w:val="nil"/>
            </w:tcBorders>
            <w:shd w:val="clear" w:color="auto" w:fill="auto"/>
            <w:noWrap/>
          </w:tcPr>
          <w:p w14:paraId="73A78B06"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107,582 </w:t>
            </w:r>
          </w:p>
        </w:tc>
      </w:tr>
      <w:tr w:rsidR="00F753E8" w:rsidRPr="00B64150" w14:paraId="4D9BDEB0" w14:textId="77777777" w:rsidTr="006E1769">
        <w:trPr>
          <w:trHeight w:val="193"/>
        </w:trPr>
        <w:tc>
          <w:tcPr>
            <w:tcW w:w="3644" w:type="dxa"/>
            <w:tcBorders>
              <w:top w:val="nil"/>
              <w:left w:val="nil"/>
              <w:bottom w:val="nil"/>
              <w:right w:val="nil"/>
            </w:tcBorders>
            <w:shd w:val="clear" w:color="auto" w:fill="auto"/>
            <w:noWrap/>
            <w:vAlign w:val="bottom"/>
            <w:hideMark/>
          </w:tcPr>
          <w:p w14:paraId="312CF851"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Pooled Equity Investments</w:t>
            </w:r>
          </w:p>
        </w:tc>
        <w:tc>
          <w:tcPr>
            <w:tcW w:w="1510" w:type="dxa"/>
            <w:tcBorders>
              <w:top w:val="nil"/>
              <w:left w:val="nil"/>
              <w:bottom w:val="nil"/>
              <w:right w:val="nil"/>
            </w:tcBorders>
            <w:shd w:val="clear" w:color="auto" w:fill="auto"/>
            <w:noWrap/>
          </w:tcPr>
          <w:p w14:paraId="253F0EAC"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773,146</w:t>
            </w:r>
          </w:p>
        </w:tc>
        <w:tc>
          <w:tcPr>
            <w:tcW w:w="1140" w:type="dxa"/>
            <w:tcBorders>
              <w:top w:val="nil"/>
              <w:left w:val="nil"/>
              <w:bottom w:val="nil"/>
              <w:right w:val="nil"/>
            </w:tcBorders>
            <w:shd w:val="clear" w:color="auto" w:fill="auto"/>
            <w:noWrap/>
          </w:tcPr>
          <w:p w14:paraId="7F22AEC1"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15.2</w:t>
            </w:r>
          </w:p>
        </w:tc>
        <w:tc>
          <w:tcPr>
            <w:tcW w:w="1669" w:type="dxa"/>
            <w:tcBorders>
              <w:top w:val="nil"/>
              <w:left w:val="nil"/>
              <w:bottom w:val="nil"/>
              <w:right w:val="nil"/>
            </w:tcBorders>
            <w:shd w:val="clear" w:color="auto" w:fill="auto"/>
            <w:noWrap/>
          </w:tcPr>
          <w:p w14:paraId="70970CE2"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890,664 </w:t>
            </w:r>
          </w:p>
        </w:tc>
        <w:tc>
          <w:tcPr>
            <w:tcW w:w="1203" w:type="dxa"/>
            <w:tcBorders>
              <w:top w:val="nil"/>
              <w:left w:val="nil"/>
              <w:bottom w:val="nil"/>
              <w:right w:val="nil"/>
            </w:tcBorders>
            <w:shd w:val="clear" w:color="auto" w:fill="auto"/>
            <w:noWrap/>
          </w:tcPr>
          <w:p w14:paraId="6DD63428"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655,628 </w:t>
            </w:r>
          </w:p>
        </w:tc>
      </w:tr>
      <w:tr w:rsidR="00F753E8" w:rsidRPr="00B64150" w14:paraId="443D1110" w14:textId="77777777" w:rsidTr="006E1769">
        <w:trPr>
          <w:trHeight w:val="193"/>
        </w:trPr>
        <w:tc>
          <w:tcPr>
            <w:tcW w:w="3644" w:type="dxa"/>
            <w:tcBorders>
              <w:top w:val="nil"/>
              <w:left w:val="nil"/>
              <w:bottom w:val="nil"/>
              <w:right w:val="nil"/>
            </w:tcBorders>
            <w:shd w:val="clear" w:color="auto" w:fill="auto"/>
            <w:noWrap/>
            <w:vAlign w:val="bottom"/>
            <w:hideMark/>
          </w:tcPr>
          <w:p w14:paraId="6FBADF06"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Pooled Property</w:t>
            </w:r>
          </w:p>
        </w:tc>
        <w:tc>
          <w:tcPr>
            <w:tcW w:w="1510" w:type="dxa"/>
            <w:tcBorders>
              <w:top w:val="nil"/>
              <w:left w:val="nil"/>
              <w:bottom w:val="nil"/>
              <w:right w:val="nil"/>
            </w:tcBorders>
            <w:shd w:val="clear" w:color="auto" w:fill="auto"/>
            <w:noWrap/>
          </w:tcPr>
          <w:p w14:paraId="6F0AE841"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62,413</w:t>
            </w:r>
          </w:p>
        </w:tc>
        <w:tc>
          <w:tcPr>
            <w:tcW w:w="1140" w:type="dxa"/>
            <w:tcBorders>
              <w:top w:val="nil"/>
              <w:left w:val="nil"/>
              <w:bottom w:val="nil"/>
              <w:right w:val="nil"/>
            </w:tcBorders>
            <w:shd w:val="clear" w:color="auto" w:fill="auto"/>
            <w:noWrap/>
          </w:tcPr>
          <w:p w14:paraId="107D0837"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4.4</w:t>
            </w:r>
          </w:p>
        </w:tc>
        <w:tc>
          <w:tcPr>
            <w:tcW w:w="1669" w:type="dxa"/>
            <w:tcBorders>
              <w:top w:val="nil"/>
              <w:left w:val="nil"/>
              <w:bottom w:val="nil"/>
              <w:right w:val="nil"/>
            </w:tcBorders>
            <w:shd w:val="clear" w:color="auto" w:fill="auto"/>
            <w:noWrap/>
          </w:tcPr>
          <w:p w14:paraId="27B0F089"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65,159 </w:t>
            </w:r>
          </w:p>
        </w:tc>
        <w:tc>
          <w:tcPr>
            <w:tcW w:w="1203" w:type="dxa"/>
            <w:tcBorders>
              <w:top w:val="nil"/>
              <w:left w:val="nil"/>
              <w:bottom w:val="nil"/>
              <w:right w:val="nil"/>
            </w:tcBorders>
            <w:shd w:val="clear" w:color="auto" w:fill="auto"/>
            <w:noWrap/>
          </w:tcPr>
          <w:p w14:paraId="4A088758"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59,667 </w:t>
            </w:r>
          </w:p>
        </w:tc>
      </w:tr>
      <w:tr w:rsidR="00F753E8" w:rsidRPr="00B64150" w14:paraId="337C08F1" w14:textId="77777777" w:rsidTr="006E1769">
        <w:trPr>
          <w:trHeight w:val="193"/>
        </w:trPr>
        <w:tc>
          <w:tcPr>
            <w:tcW w:w="3644" w:type="dxa"/>
            <w:tcBorders>
              <w:top w:val="nil"/>
              <w:left w:val="nil"/>
              <w:bottom w:val="nil"/>
              <w:right w:val="nil"/>
            </w:tcBorders>
            <w:shd w:val="clear" w:color="auto" w:fill="auto"/>
            <w:noWrap/>
            <w:vAlign w:val="bottom"/>
            <w:hideMark/>
          </w:tcPr>
          <w:p w14:paraId="75C46156"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Pooled Absolute Return</w:t>
            </w:r>
          </w:p>
        </w:tc>
        <w:tc>
          <w:tcPr>
            <w:tcW w:w="1510" w:type="dxa"/>
            <w:tcBorders>
              <w:top w:val="nil"/>
              <w:left w:val="nil"/>
              <w:bottom w:val="nil"/>
              <w:right w:val="nil"/>
            </w:tcBorders>
            <w:shd w:val="clear" w:color="auto" w:fill="auto"/>
            <w:noWrap/>
          </w:tcPr>
          <w:p w14:paraId="09D707DF"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196,336</w:t>
            </w:r>
          </w:p>
        </w:tc>
        <w:tc>
          <w:tcPr>
            <w:tcW w:w="1140" w:type="dxa"/>
            <w:tcBorders>
              <w:top w:val="nil"/>
              <w:left w:val="nil"/>
              <w:bottom w:val="nil"/>
              <w:right w:val="nil"/>
            </w:tcBorders>
            <w:shd w:val="clear" w:color="auto" w:fill="auto"/>
            <w:noWrap/>
          </w:tcPr>
          <w:p w14:paraId="1955B195"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5.0</w:t>
            </w:r>
          </w:p>
        </w:tc>
        <w:tc>
          <w:tcPr>
            <w:tcW w:w="1669" w:type="dxa"/>
            <w:tcBorders>
              <w:top w:val="nil"/>
              <w:left w:val="nil"/>
              <w:bottom w:val="nil"/>
              <w:right w:val="nil"/>
            </w:tcBorders>
            <w:shd w:val="clear" w:color="auto" w:fill="auto"/>
            <w:noWrap/>
          </w:tcPr>
          <w:p w14:paraId="078A641E"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206,153 </w:t>
            </w:r>
          </w:p>
        </w:tc>
        <w:tc>
          <w:tcPr>
            <w:tcW w:w="1203" w:type="dxa"/>
            <w:tcBorders>
              <w:top w:val="nil"/>
              <w:left w:val="nil"/>
              <w:bottom w:val="nil"/>
              <w:right w:val="nil"/>
            </w:tcBorders>
            <w:shd w:val="clear" w:color="auto" w:fill="auto"/>
            <w:noWrap/>
          </w:tcPr>
          <w:p w14:paraId="632F9535"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186,519 </w:t>
            </w:r>
          </w:p>
        </w:tc>
      </w:tr>
      <w:tr w:rsidR="00F753E8" w:rsidRPr="00B64150" w14:paraId="456D920E" w14:textId="77777777" w:rsidTr="006E1769">
        <w:trPr>
          <w:trHeight w:val="193"/>
        </w:trPr>
        <w:tc>
          <w:tcPr>
            <w:tcW w:w="3644" w:type="dxa"/>
            <w:tcBorders>
              <w:top w:val="nil"/>
              <w:left w:val="nil"/>
              <w:bottom w:val="nil"/>
              <w:right w:val="nil"/>
            </w:tcBorders>
            <w:shd w:val="clear" w:color="auto" w:fill="auto"/>
            <w:noWrap/>
            <w:vAlign w:val="bottom"/>
            <w:hideMark/>
          </w:tcPr>
          <w:p w14:paraId="386FD49A"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Infrastructure</w:t>
            </w:r>
          </w:p>
        </w:tc>
        <w:tc>
          <w:tcPr>
            <w:tcW w:w="1510" w:type="dxa"/>
            <w:tcBorders>
              <w:top w:val="nil"/>
              <w:left w:val="nil"/>
              <w:bottom w:val="nil"/>
              <w:right w:val="nil"/>
            </w:tcBorders>
            <w:shd w:val="clear" w:color="auto" w:fill="auto"/>
            <w:noWrap/>
          </w:tcPr>
          <w:p w14:paraId="353BE3A0"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104,150 </w:t>
            </w:r>
          </w:p>
        </w:tc>
        <w:tc>
          <w:tcPr>
            <w:tcW w:w="1140" w:type="dxa"/>
            <w:tcBorders>
              <w:top w:val="nil"/>
              <w:left w:val="nil"/>
              <w:bottom w:val="nil"/>
              <w:right w:val="nil"/>
            </w:tcBorders>
            <w:shd w:val="clear" w:color="auto" w:fill="auto"/>
            <w:noWrap/>
          </w:tcPr>
          <w:p w14:paraId="55983622"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5.0</w:t>
            </w:r>
          </w:p>
        </w:tc>
        <w:tc>
          <w:tcPr>
            <w:tcW w:w="1669" w:type="dxa"/>
            <w:tcBorders>
              <w:top w:val="nil"/>
              <w:left w:val="nil"/>
              <w:bottom w:val="nil"/>
              <w:right w:val="nil"/>
            </w:tcBorders>
            <w:shd w:val="clear" w:color="auto" w:fill="auto"/>
            <w:noWrap/>
          </w:tcPr>
          <w:p w14:paraId="4B619B5B"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109,357 </w:t>
            </w:r>
          </w:p>
        </w:tc>
        <w:tc>
          <w:tcPr>
            <w:tcW w:w="1203" w:type="dxa"/>
            <w:tcBorders>
              <w:top w:val="nil"/>
              <w:left w:val="nil"/>
              <w:bottom w:val="nil"/>
              <w:right w:val="nil"/>
            </w:tcBorders>
            <w:shd w:val="clear" w:color="auto" w:fill="auto"/>
            <w:noWrap/>
          </w:tcPr>
          <w:p w14:paraId="7A91C633"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98,942 </w:t>
            </w:r>
          </w:p>
        </w:tc>
      </w:tr>
      <w:tr w:rsidR="00F753E8" w:rsidRPr="00B64150" w14:paraId="653D7AD2" w14:textId="77777777" w:rsidTr="006E1769">
        <w:trPr>
          <w:trHeight w:val="193"/>
        </w:trPr>
        <w:tc>
          <w:tcPr>
            <w:tcW w:w="3644" w:type="dxa"/>
            <w:tcBorders>
              <w:top w:val="nil"/>
              <w:left w:val="nil"/>
              <w:bottom w:val="nil"/>
              <w:right w:val="nil"/>
            </w:tcBorders>
            <w:shd w:val="clear" w:color="auto" w:fill="auto"/>
            <w:noWrap/>
            <w:vAlign w:val="bottom"/>
            <w:hideMark/>
          </w:tcPr>
          <w:p w14:paraId="178902EC"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Other Investments</w:t>
            </w:r>
          </w:p>
        </w:tc>
        <w:tc>
          <w:tcPr>
            <w:tcW w:w="1510" w:type="dxa"/>
            <w:tcBorders>
              <w:top w:val="nil"/>
              <w:left w:val="nil"/>
              <w:bottom w:val="nil"/>
              <w:right w:val="nil"/>
            </w:tcBorders>
            <w:shd w:val="clear" w:color="auto" w:fill="auto"/>
            <w:noWrap/>
          </w:tcPr>
          <w:p w14:paraId="7E41D76C"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121,818 </w:t>
            </w:r>
          </w:p>
        </w:tc>
        <w:tc>
          <w:tcPr>
            <w:tcW w:w="1140" w:type="dxa"/>
            <w:tcBorders>
              <w:top w:val="nil"/>
              <w:left w:val="nil"/>
              <w:bottom w:val="nil"/>
              <w:right w:val="nil"/>
            </w:tcBorders>
            <w:shd w:val="clear" w:color="auto" w:fill="auto"/>
            <w:noWrap/>
          </w:tcPr>
          <w:p w14:paraId="3EF23336"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5.0</w:t>
            </w:r>
          </w:p>
        </w:tc>
        <w:tc>
          <w:tcPr>
            <w:tcW w:w="1669" w:type="dxa"/>
            <w:tcBorders>
              <w:top w:val="nil"/>
              <w:left w:val="nil"/>
              <w:bottom w:val="nil"/>
              <w:right w:val="nil"/>
            </w:tcBorders>
            <w:shd w:val="clear" w:color="auto" w:fill="auto"/>
            <w:noWrap/>
          </w:tcPr>
          <w:p w14:paraId="6CA36486"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127,909 </w:t>
            </w:r>
          </w:p>
        </w:tc>
        <w:tc>
          <w:tcPr>
            <w:tcW w:w="1203" w:type="dxa"/>
            <w:tcBorders>
              <w:top w:val="nil"/>
              <w:left w:val="nil"/>
              <w:bottom w:val="nil"/>
              <w:right w:val="nil"/>
            </w:tcBorders>
            <w:shd w:val="clear" w:color="auto" w:fill="auto"/>
            <w:noWrap/>
          </w:tcPr>
          <w:p w14:paraId="53545493"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115,727 </w:t>
            </w:r>
          </w:p>
        </w:tc>
      </w:tr>
      <w:tr w:rsidR="00F753E8" w:rsidRPr="00B64150" w14:paraId="1659DE1C" w14:textId="77777777" w:rsidTr="006E1769">
        <w:trPr>
          <w:trHeight w:val="193"/>
        </w:trPr>
        <w:tc>
          <w:tcPr>
            <w:tcW w:w="3644" w:type="dxa"/>
            <w:tcBorders>
              <w:top w:val="nil"/>
              <w:left w:val="nil"/>
              <w:bottom w:val="nil"/>
              <w:right w:val="nil"/>
            </w:tcBorders>
            <w:shd w:val="clear" w:color="auto" w:fill="auto"/>
            <w:noWrap/>
            <w:vAlign w:val="bottom"/>
          </w:tcPr>
          <w:p w14:paraId="029DA7F4" w14:textId="77777777" w:rsidR="00F753E8" w:rsidRPr="008A0A4E" w:rsidRDefault="00F753E8" w:rsidP="006E1769">
            <w:pPr>
              <w:rPr>
                <w:rFonts w:ascii="Arial" w:hAnsi="Arial" w:cs="Arial"/>
                <w:b/>
                <w:bCs/>
                <w:color w:val="000000"/>
                <w:sz w:val="22"/>
                <w:szCs w:val="22"/>
              </w:rPr>
            </w:pPr>
            <w:r>
              <w:rPr>
                <w:rFonts w:ascii="Arial" w:hAnsi="Arial" w:cs="Arial"/>
                <w:b/>
                <w:bCs/>
                <w:color w:val="000000"/>
                <w:sz w:val="22"/>
                <w:szCs w:val="22"/>
              </w:rPr>
              <w:t>Cash</w:t>
            </w:r>
          </w:p>
        </w:tc>
        <w:tc>
          <w:tcPr>
            <w:tcW w:w="1510" w:type="dxa"/>
            <w:tcBorders>
              <w:top w:val="nil"/>
              <w:left w:val="nil"/>
              <w:bottom w:val="single" w:sz="8" w:space="0" w:color="auto"/>
              <w:right w:val="nil"/>
            </w:tcBorders>
            <w:shd w:val="clear" w:color="auto" w:fill="auto"/>
            <w:noWrap/>
          </w:tcPr>
          <w:p w14:paraId="7540F110"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13,816</w:t>
            </w:r>
          </w:p>
        </w:tc>
        <w:tc>
          <w:tcPr>
            <w:tcW w:w="1140" w:type="dxa"/>
            <w:tcBorders>
              <w:top w:val="nil"/>
              <w:left w:val="nil"/>
              <w:bottom w:val="single" w:sz="8" w:space="0" w:color="auto"/>
              <w:right w:val="nil"/>
            </w:tcBorders>
            <w:shd w:val="clear" w:color="auto" w:fill="auto"/>
            <w:noWrap/>
          </w:tcPr>
          <w:p w14:paraId="576CE036"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1.2</w:t>
            </w:r>
          </w:p>
        </w:tc>
        <w:tc>
          <w:tcPr>
            <w:tcW w:w="1669" w:type="dxa"/>
            <w:tcBorders>
              <w:top w:val="nil"/>
              <w:left w:val="nil"/>
              <w:bottom w:val="single" w:sz="8" w:space="0" w:color="auto"/>
              <w:right w:val="nil"/>
            </w:tcBorders>
            <w:shd w:val="clear" w:color="auto" w:fill="auto"/>
            <w:noWrap/>
          </w:tcPr>
          <w:p w14:paraId="06E249AB"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13,981 </w:t>
            </w:r>
          </w:p>
        </w:tc>
        <w:tc>
          <w:tcPr>
            <w:tcW w:w="1203" w:type="dxa"/>
            <w:tcBorders>
              <w:top w:val="nil"/>
              <w:left w:val="nil"/>
              <w:bottom w:val="single" w:sz="4" w:space="0" w:color="auto"/>
              <w:right w:val="nil"/>
            </w:tcBorders>
            <w:shd w:val="clear" w:color="auto" w:fill="auto"/>
            <w:noWrap/>
          </w:tcPr>
          <w:p w14:paraId="3230D4A0"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 xml:space="preserve"> 13,650 </w:t>
            </w:r>
          </w:p>
        </w:tc>
      </w:tr>
      <w:tr w:rsidR="00F753E8" w:rsidRPr="00B64150" w14:paraId="2A972FD1" w14:textId="77777777" w:rsidTr="006E1769">
        <w:trPr>
          <w:trHeight w:val="213"/>
        </w:trPr>
        <w:tc>
          <w:tcPr>
            <w:tcW w:w="3644" w:type="dxa"/>
            <w:tcBorders>
              <w:top w:val="nil"/>
              <w:left w:val="nil"/>
              <w:bottom w:val="nil"/>
              <w:right w:val="nil"/>
            </w:tcBorders>
            <w:shd w:val="clear" w:color="auto" w:fill="auto"/>
            <w:noWrap/>
            <w:vAlign w:val="bottom"/>
            <w:hideMark/>
          </w:tcPr>
          <w:p w14:paraId="10AAA5CD" w14:textId="77777777" w:rsidR="00F753E8" w:rsidRPr="008A0A4E" w:rsidRDefault="00F753E8" w:rsidP="006E1769">
            <w:pPr>
              <w:rPr>
                <w:rFonts w:ascii="Arial" w:hAnsi="Arial" w:cs="Arial"/>
                <w:b/>
                <w:bCs/>
                <w:color w:val="000000"/>
                <w:sz w:val="22"/>
                <w:szCs w:val="22"/>
              </w:rPr>
            </w:pPr>
            <w:r w:rsidRPr="008A0A4E">
              <w:rPr>
                <w:rFonts w:ascii="Arial" w:hAnsi="Arial" w:cs="Arial"/>
                <w:b/>
                <w:color w:val="000000"/>
                <w:sz w:val="22"/>
                <w:szCs w:val="22"/>
              </w:rPr>
              <w:t>Total</w:t>
            </w:r>
          </w:p>
        </w:tc>
        <w:tc>
          <w:tcPr>
            <w:tcW w:w="1510" w:type="dxa"/>
            <w:tcBorders>
              <w:top w:val="nil"/>
              <w:left w:val="nil"/>
              <w:bottom w:val="double" w:sz="6" w:space="0" w:color="auto"/>
              <w:right w:val="nil"/>
            </w:tcBorders>
            <w:shd w:val="clear" w:color="auto" w:fill="auto"/>
            <w:noWrap/>
          </w:tcPr>
          <w:p w14:paraId="7DA763D7"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1,385,043</w:t>
            </w:r>
          </w:p>
        </w:tc>
        <w:tc>
          <w:tcPr>
            <w:tcW w:w="1140" w:type="dxa"/>
            <w:tcBorders>
              <w:top w:val="single" w:sz="4" w:space="0" w:color="auto"/>
              <w:left w:val="nil"/>
              <w:bottom w:val="double" w:sz="4" w:space="0" w:color="auto"/>
              <w:right w:val="nil"/>
            </w:tcBorders>
            <w:shd w:val="clear" w:color="auto" w:fill="auto"/>
            <w:noWrap/>
          </w:tcPr>
          <w:p w14:paraId="19AE1C0E" w14:textId="77777777" w:rsidR="00F753E8" w:rsidRPr="004A6AC5" w:rsidRDefault="00F753E8" w:rsidP="006E1769">
            <w:pPr>
              <w:jc w:val="right"/>
              <w:rPr>
                <w:rFonts w:ascii="Arial" w:hAnsi="Arial" w:cs="Arial"/>
                <w:b/>
                <w:sz w:val="22"/>
                <w:szCs w:val="22"/>
              </w:rPr>
            </w:pPr>
          </w:p>
        </w:tc>
        <w:tc>
          <w:tcPr>
            <w:tcW w:w="1669" w:type="dxa"/>
            <w:tcBorders>
              <w:top w:val="nil"/>
              <w:left w:val="nil"/>
              <w:bottom w:val="double" w:sz="6" w:space="0" w:color="auto"/>
              <w:right w:val="nil"/>
            </w:tcBorders>
            <w:shd w:val="clear" w:color="auto" w:fill="auto"/>
            <w:noWrap/>
          </w:tcPr>
          <w:p w14:paraId="4776FCC2"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1,532,370</w:t>
            </w:r>
          </w:p>
        </w:tc>
        <w:tc>
          <w:tcPr>
            <w:tcW w:w="1203" w:type="dxa"/>
            <w:tcBorders>
              <w:top w:val="single" w:sz="4" w:space="0" w:color="auto"/>
              <w:left w:val="nil"/>
              <w:bottom w:val="double" w:sz="4" w:space="0" w:color="auto"/>
              <w:right w:val="nil"/>
            </w:tcBorders>
            <w:shd w:val="clear" w:color="auto" w:fill="auto"/>
            <w:noWrap/>
          </w:tcPr>
          <w:p w14:paraId="3ACB76BE" w14:textId="77777777" w:rsidR="00F753E8" w:rsidRPr="004A6AC5" w:rsidRDefault="00F753E8" w:rsidP="006E1769">
            <w:pPr>
              <w:jc w:val="right"/>
              <w:rPr>
                <w:rFonts w:ascii="Arial" w:hAnsi="Arial" w:cs="Arial"/>
                <w:b/>
                <w:sz w:val="22"/>
                <w:szCs w:val="22"/>
              </w:rPr>
            </w:pPr>
            <w:r w:rsidRPr="004A6AC5">
              <w:rPr>
                <w:rFonts w:ascii="Arial" w:hAnsi="Arial" w:cs="Arial"/>
                <w:b/>
                <w:sz w:val="22"/>
                <w:szCs w:val="22"/>
              </w:rPr>
              <w:t>1,237,716</w:t>
            </w:r>
          </w:p>
        </w:tc>
      </w:tr>
      <w:bookmarkEnd w:id="7"/>
    </w:tbl>
    <w:p w14:paraId="051221C5" w14:textId="77777777" w:rsidR="00F753E8" w:rsidRDefault="00F753E8" w:rsidP="00F753E8">
      <w:pPr>
        <w:jc w:val="both"/>
        <w:rPr>
          <w:rFonts w:ascii="Arial" w:hAnsi="Arial" w:cs="Arial"/>
          <w:sz w:val="22"/>
          <w:szCs w:val="22"/>
        </w:rPr>
      </w:pPr>
    </w:p>
    <w:tbl>
      <w:tblPr>
        <w:tblW w:w="9183" w:type="dxa"/>
        <w:tblLook w:val="04A0" w:firstRow="1" w:lastRow="0" w:firstColumn="1" w:lastColumn="0" w:noHBand="0" w:noVBand="1"/>
      </w:tblPr>
      <w:tblGrid>
        <w:gridCol w:w="3603"/>
        <w:gridCol w:w="1527"/>
        <w:gridCol w:w="1151"/>
        <w:gridCol w:w="1687"/>
        <w:gridCol w:w="1215"/>
      </w:tblGrid>
      <w:tr w:rsidR="00F753E8" w:rsidRPr="00B64150" w14:paraId="331B6665" w14:textId="77777777" w:rsidTr="006E1769">
        <w:trPr>
          <w:trHeight w:val="301"/>
        </w:trPr>
        <w:tc>
          <w:tcPr>
            <w:tcW w:w="3603" w:type="dxa"/>
            <w:vMerge w:val="restart"/>
            <w:tcBorders>
              <w:top w:val="nil"/>
              <w:left w:val="nil"/>
              <w:bottom w:val="nil"/>
              <w:right w:val="nil"/>
            </w:tcBorders>
            <w:shd w:val="clear" w:color="auto" w:fill="auto"/>
            <w:noWrap/>
            <w:hideMark/>
          </w:tcPr>
          <w:p w14:paraId="23A648ED"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Asset Type</w:t>
            </w:r>
          </w:p>
          <w:p w14:paraId="3D487514" w14:textId="77777777" w:rsidR="00F753E8" w:rsidRPr="008A0A4E" w:rsidRDefault="00F753E8" w:rsidP="006E1769">
            <w:pPr>
              <w:jc w:val="center"/>
              <w:rPr>
                <w:rFonts w:ascii="Arial" w:hAnsi="Arial" w:cs="Arial"/>
                <w:bCs/>
                <w:color w:val="000000"/>
                <w:sz w:val="22"/>
                <w:szCs w:val="22"/>
              </w:rPr>
            </w:pPr>
          </w:p>
        </w:tc>
        <w:tc>
          <w:tcPr>
            <w:tcW w:w="1527" w:type="dxa"/>
            <w:tcBorders>
              <w:top w:val="nil"/>
              <w:left w:val="nil"/>
              <w:bottom w:val="nil"/>
              <w:right w:val="nil"/>
            </w:tcBorders>
            <w:shd w:val="clear" w:color="auto" w:fill="auto"/>
            <w:noWrap/>
            <w:hideMark/>
          </w:tcPr>
          <w:p w14:paraId="1FC056F6" w14:textId="77777777" w:rsidR="00F753E8" w:rsidRPr="008A0A4E" w:rsidRDefault="00F753E8" w:rsidP="006E1769">
            <w:pPr>
              <w:ind w:left="-108" w:right="-108"/>
              <w:jc w:val="center"/>
              <w:rPr>
                <w:rFonts w:ascii="Arial" w:hAnsi="Arial" w:cs="Arial"/>
                <w:bCs/>
                <w:color w:val="000000"/>
                <w:sz w:val="22"/>
                <w:szCs w:val="22"/>
              </w:rPr>
            </w:pPr>
            <w:r w:rsidRPr="008A0A4E">
              <w:rPr>
                <w:rFonts w:ascii="Arial" w:hAnsi="Arial" w:cs="Arial"/>
                <w:bCs/>
                <w:color w:val="000000"/>
                <w:sz w:val="22"/>
                <w:szCs w:val="22"/>
              </w:rPr>
              <w:t xml:space="preserve">Value as </w:t>
            </w:r>
            <w:proofErr w:type="gramStart"/>
            <w:r w:rsidRPr="008A0A4E">
              <w:rPr>
                <w:rFonts w:ascii="Arial" w:hAnsi="Arial" w:cs="Arial"/>
                <w:bCs/>
                <w:color w:val="000000"/>
                <w:sz w:val="22"/>
                <w:szCs w:val="22"/>
              </w:rPr>
              <w:t>at</w:t>
            </w:r>
            <w:proofErr w:type="gramEnd"/>
            <w:r w:rsidRPr="008A0A4E">
              <w:rPr>
                <w:rFonts w:ascii="Arial" w:hAnsi="Arial" w:cs="Arial"/>
                <w:bCs/>
                <w:color w:val="000000"/>
                <w:sz w:val="22"/>
                <w:szCs w:val="22"/>
              </w:rPr>
              <w:t xml:space="preserve"> 31 March 20</w:t>
            </w:r>
            <w:r>
              <w:rPr>
                <w:rFonts w:ascii="Arial" w:hAnsi="Arial" w:cs="Arial"/>
                <w:bCs/>
                <w:color w:val="000000"/>
                <w:sz w:val="22"/>
                <w:szCs w:val="22"/>
              </w:rPr>
              <w:t>21</w:t>
            </w:r>
          </w:p>
        </w:tc>
        <w:tc>
          <w:tcPr>
            <w:tcW w:w="1151" w:type="dxa"/>
            <w:vMerge w:val="restart"/>
            <w:tcBorders>
              <w:top w:val="nil"/>
              <w:left w:val="nil"/>
              <w:bottom w:val="nil"/>
              <w:right w:val="nil"/>
            </w:tcBorders>
            <w:shd w:val="clear" w:color="auto" w:fill="auto"/>
            <w:noWrap/>
            <w:hideMark/>
          </w:tcPr>
          <w:p w14:paraId="30D4D4EA"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 Change</w:t>
            </w:r>
          </w:p>
        </w:tc>
        <w:tc>
          <w:tcPr>
            <w:tcW w:w="1687" w:type="dxa"/>
            <w:tcBorders>
              <w:top w:val="nil"/>
              <w:left w:val="nil"/>
              <w:bottom w:val="nil"/>
              <w:right w:val="nil"/>
            </w:tcBorders>
            <w:shd w:val="clear" w:color="auto" w:fill="auto"/>
            <w:noWrap/>
            <w:hideMark/>
          </w:tcPr>
          <w:p w14:paraId="6FF8DBAA"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Value on Increase</w:t>
            </w:r>
          </w:p>
        </w:tc>
        <w:tc>
          <w:tcPr>
            <w:tcW w:w="1215" w:type="dxa"/>
            <w:tcBorders>
              <w:top w:val="nil"/>
              <w:left w:val="nil"/>
              <w:bottom w:val="nil"/>
              <w:right w:val="nil"/>
            </w:tcBorders>
            <w:shd w:val="clear" w:color="auto" w:fill="auto"/>
            <w:noWrap/>
            <w:hideMark/>
          </w:tcPr>
          <w:p w14:paraId="390FED9D"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Value on Decrease</w:t>
            </w:r>
          </w:p>
        </w:tc>
      </w:tr>
      <w:tr w:rsidR="00F753E8" w:rsidRPr="00B64150" w14:paraId="4CD4C6F6" w14:textId="77777777" w:rsidTr="006E1769">
        <w:trPr>
          <w:trHeight w:val="203"/>
        </w:trPr>
        <w:tc>
          <w:tcPr>
            <w:tcW w:w="3603" w:type="dxa"/>
            <w:vMerge/>
            <w:tcBorders>
              <w:top w:val="nil"/>
              <w:left w:val="nil"/>
              <w:bottom w:val="nil"/>
              <w:right w:val="nil"/>
            </w:tcBorders>
            <w:vAlign w:val="center"/>
            <w:hideMark/>
          </w:tcPr>
          <w:p w14:paraId="3D33F9AC" w14:textId="77777777" w:rsidR="00F753E8" w:rsidRPr="008A0A4E" w:rsidRDefault="00F753E8" w:rsidP="006E1769">
            <w:pPr>
              <w:rPr>
                <w:rFonts w:ascii="Arial" w:hAnsi="Arial" w:cs="Arial"/>
                <w:bCs/>
                <w:color w:val="000000"/>
                <w:sz w:val="22"/>
                <w:szCs w:val="22"/>
              </w:rPr>
            </w:pPr>
          </w:p>
        </w:tc>
        <w:tc>
          <w:tcPr>
            <w:tcW w:w="1527" w:type="dxa"/>
            <w:tcBorders>
              <w:top w:val="nil"/>
              <w:left w:val="nil"/>
              <w:bottom w:val="nil"/>
              <w:right w:val="nil"/>
            </w:tcBorders>
            <w:shd w:val="clear" w:color="auto" w:fill="auto"/>
            <w:noWrap/>
            <w:hideMark/>
          </w:tcPr>
          <w:p w14:paraId="0DFE122E" w14:textId="77777777" w:rsidR="00F753E8" w:rsidRPr="008A0A4E" w:rsidRDefault="00F753E8" w:rsidP="006E1769">
            <w:pPr>
              <w:ind w:left="-108" w:right="-108"/>
              <w:jc w:val="center"/>
              <w:rPr>
                <w:rFonts w:ascii="Arial" w:hAnsi="Arial" w:cs="Arial"/>
                <w:bCs/>
                <w:color w:val="000000"/>
                <w:sz w:val="22"/>
                <w:szCs w:val="22"/>
              </w:rPr>
            </w:pPr>
            <w:r w:rsidRPr="008A0A4E">
              <w:rPr>
                <w:rFonts w:ascii="Arial" w:hAnsi="Arial" w:cs="Arial"/>
                <w:bCs/>
                <w:color w:val="000000"/>
                <w:sz w:val="22"/>
                <w:szCs w:val="22"/>
              </w:rPr>
              <w:t>£000</w:t>
            </w:r>
          </w:p>
        </w:tc>
        <w:tc>
          <w:tcPr>
            <w:tcW w:w="1151" w:type="dxa"/>
            <w:vMerge/>
            <w:tcBorders>
              <w:top w:val="nil"/>
              <w:left w:val="nil"/>
              <w:bottom w:val="nil"/>
              <w:right w:val="nil"/>
            </w:tcBorders>
            <w:vAlign w:val="center"/>
            <w:hideMark/>
          </w:tcPr>
          <w:p w14:paraId="670C2841" w14:textId="77777777" w:rsidR="00F753E8" w:rsidRPr="008A0A4E" w:rsidRDefault="00F753E8" w:rsidP="006E1769">
            <w:pPr>
              <w:rPr>
                <w:rFonts w:ascii="Arial" w:hAnsi="Arial" w:cs="Arial"/>
                <w:bCs/>
                <w:color w:val="000000"/>
                <w:sz w:val="22"/>
                <w:szCs w:val="22"/>
              </w:rPr>
            </w:pPr>
          </w:p>
        </w:tc>
        <w:tc>
          <w:tcPr>
            <w:tcW w:w="1687" w:type="dxa"/>
            <w:tcBorders>
              <w:top w:val="nil"/>
              <w:left w:val="nil"/>
              <w:bottom w:val="nil"/>
              <w:right w:val="nil"/>
            </w:tcBorders>
            <w:shd w:val="clear" w:color="auto" w:fill="auto"/>
            <w:noWrap/>
            <w:hideMark/>
          </w:tcPr>
          <w:p w14:paraId="587132A2"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£000</w:t>
            </w:r>
          </w:p>
        </w:tc>
        <w:tc>
          <w:tcPr>
            <w:tcW w:w="1215" w:type="dxa"/>
            <w:tcBorders>
              <w:top w:val="nil"/>
              <w:left w:val="nil"/>
              <w:bottom w:val="nil"/>
              <w:right w:val="nil"/>
            </w:tcBorders>
            <w:shd w:val="clear" w:color="auto" w:fill="auto"/>
            <w:noWrap/>
            <w:hideMark/>
          </w:tcPr>
          <w:p w14:paraId="09B055B5"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£000</w:t>
            </w:r>
          </w:p>
        </w:tc>
      </w:tr>
      <w:tr w:rsidR="00F753E8" w:rsidRPr="00B64150" w14:paraId="5B6554F1" w14:textId="77777777" w:rsidTr="006E1769">
        <w:trPr>
          <w:trHeight w:val="62"/>
        </w:trPr>
        <w:tc>
          <w:tcPr>
            <w:tcW w:w="3603" w:type="dxa"/>
            <w:tcBorders>
              <w:top w:val="nil"/>
              <w:left w:val="nil"/>
              <w:bottom w:val="nil"/>
              <w:right w:val="nil"/>
            </w:tcBorders>
            <w:shd w:val="clear" w:color="auto" w:fill="auto"/>
            <w:noWrap/>
            <w:vAlign w:val="bottom"/>
            <w:hideMark/>
          </w:tcPr>
          <w:p w14:paraId="19E1ACC7" w14:textId="77777777" w:rsidR="00F753E8" w:rsidRPr="008A0A4E" w:rsidRDefault="00F753E8" w:rsidP="006E1769">
            <w:pPr>
              <w:rPr>
                <w:rFonts w:ascii="Arial" w:hAnsi="Arial" w:cs="Arial"/>
                <w:bCs/>
                <w:color w:val="000000"/>
                <w:sz w:val="22"/>
                <w:szCs w:val="22"/>
              </w:rPr>
            </w:pPr>
            <w:r w:rsidRPr="008A0A4E">
              <w:rPr>
                <w:rFonts w:ascii="Arial" w:hAnsi="Arial" w:cs="Arial"/>
                <w:bCs/>
                <w:color w:val="000000"/>
                <w:sz w:val="22"/>
                <w:szCs w:val="22"/>
              </w:rPr>
              <w:t>Pooled Fixed Interest Securities</w:t>
            </w:r>
          </w:p>
        </w:tc>
        <w:tc>
          <w:tcPr>
            <w:tcW w:w="1527" w:type="dxa"/>
            <w:tcBorders>
              <w:top w:val="nil"/>
              <w:left w:val="nil"/>
              <w:bottom w:val="nil"/>
              <w:right w:val="nil"/>
            </w:tcBorders>
            <w:shd w:val="clear" w:color="auto" w:fill="auto"/>
            <w:noWrap/>
          </w:tcPr>
          <w:p w14:paraId="01AE06DE"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110,643</w:t>
            </w:r>
          </w:p>
        </w:tc>
        <w:tc>
          <w:tcPr>
            <w:tcW w:w="1151" w:type="dxa"/>
            <w:tcBorders>
              <w:top w:val="nil"/>
              <w:left w:val="nil"/>
              <w:bottom w:val="nil"/>
              <w:right w:val="nil"/>
            </w:tcBorders>
            <w:shd w:val="clear" w:color="auto" w:fill="auto"/>
            <w:noWrap/>
            <w:vAlign w:val="center"/>
          </w:tcPr>
          <w:p w14:paraId="0C4A2B73"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5.0</w:t>
            </w:r>
          </w:p>
        </w:tc>
        <w:tc>
          <w:tcPr>
            <w:tcW w:w="1687" w:type="dxa"/>
            <w:tcBorders>
              <w:top w:val="nil"/>
              <w:left w:val="nil"/>
              <w:bottom w:val="nil"/>
              <w:right w:val="nil"/>
            </w:tcBorders>
            <w:shd w:val="clear" w:color="auto" w:fill="auto"/>
            <w:noWrap/>
          </w:tcPr>
          <w:p w14:paraId="1471821F"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116,164</w:t>
            </w:r>
          </w:p>
        </w:tc>
        <w:tc>
          <w:tcPr>
            <w:tcW w:w="1215" w:type="dxa"/>
            <w:tcBorders>
              <w:top w:val="nil"/>
              <w:left w:val="nil"/>
              <w:bottom w:val="nil"/>
              <w:right w:val="nil"/>
            </w:tcBorders>
            <w:shd w:val="clear" w:color="auto" w:fill="auto"/>
            <w:noWrap/>
          </w:tcPr>
          <w:p w14:paraId="6199913A"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105,122</w:t>
            </w:r>
          </w:p>
        </w:tc>
      </w:tr>
      <w:tr w:rsidR="00F753E8" w:rsidRPr="00B64150" w14:paraId="03BE439B" w14:textId="77777777" w:rsidTr="006E1769">
        <w:trPr>
          <w:trHeight w:val="62"/>
        </w:trPr>
        <w:tc>
          <w:tcPr>
            <w:tcW w:w="3603" w:type="dxa"/>
            <w:tcBorders>
              <w:top w:val="nil"/>
              <w:left w:val="nil"/>
              <w:bottom w:val="nil"/>
              <w:right w:val="nil"/>
            </w:tcBorders>
            <w:shd w:val="clear" w:color="auto" w:fill="auto"/>
            <w:noWrap/>
            <w:vAlign w:val="bottom"/>
            <w:hideMark/>
          </w:tcPr>
          <w:p w14:paraId="5978953D" w14:textId="77777777" w:rsidR="00F753E8" w:rsidRPr="008A0A4E" w:rsidRDefault="00F753E8" w:rsidP="006E1769">
            <w:pPr>
              <w:rPr>
                <w:rFonts w:ascii="Arial" w:hAnsi="Arial" w:cs="Arial"/>
                <w:bCs/>
                <w:color w:val="000000"/>
                <w:sz w:val="22"/>
                <w:szCs w:val="22"/>
              </w:rPr>
            </w:pPr>
            <w:r w:rsidRPr="008A0A4E">
              <w:rPr>
                <w:rFonts w:ascii="Arial" w:hAnsi="Arial" w:cs="Arial"/>
                <w:bCs/>
                <w:color w:val="000000"/>
                <w:sz w:val="22"/>
                <w:szCs w:val="22"/>
              </w:rPr>
              <w:t>Pooled Equity Investments</w:t>
            </w:r>
          </w:p>
        </w:tc>
        <w:tc>
          <w:tcPr>
            <w:tcW w:w="1527" w:type="dxa"/>
            <w:tcBorders>
              <w:top w:val="nil"/>
              <w:left w:val="nil"/>
              <w:bottom w:val="nil"/>
              <w:right w:val="nil"/>
            </w:tcBorders>
            <w:shd w:val="clear" w:color="auto" w:fill="auto"/>
            <w:noWrap/>
          </w:tcPr>
          <w:p w14:paraId="02023063"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753,089</w:t>
            </w:r>
          </w:p>
        </w:tc>
        <w:tc>
          <w:tcPr>
            <w:tcW w:w="1151" w:type="dxa"/>
            <w:tcBorders>
              <w:top w:val="nil"/>
              <w:left w:val="nil"/>
              <w:bottom w:val="nil"/>
              <w:right w:val="nil"/>
            </w:tcBorders>
            <w:shd w:val="clear" w:color="auto" w:fill="auto"/>
            <w:noWrap/>
            <w:vAlign w:val="center"/>
          </w:tcPr>
          <w:p w14:paraId="2906F6AC"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15.8</w:t>
            </w:r>
          </w:p>
        </w:tc>
        <w:tc>
          <w:tcPr>
            <w:tcW w:w="1687" w:type="dxa"/>
            <w:tcBorders>
              <w:top w:val="nil"/>
              <w:left w:val="nil"/>
              <w:bottom w:val="nil"/>
              <w:right w:val="nil"/>
            </w:tcBorders>
            <w:shd w:val="clear" w:color="auto" w:fill="auto"/>
            <w:noWrap/>
          </w:tcPr>
          <w:p w14:paraId="0B31DA83"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872,303</w:t>
            </w:r>
          </w:p>
        </w:tc>
        <w:tc>
          <w:tcPr>
            <w:tcW w:w="1215" w:type="dxa"/>
            <w:tcBorders>
              <w:top w:val="nil"/>
              <w:left w:val="nil"/>
              <w:bottom w:val="nil"/>
              <w:right w:val="nil"/>
            </w:tcBorders>
            <w:shd w:val="clear" w:color="auto" w:fill="auto"/>
            <w:noWrap/>
          </w:tcPr>
          <w:p w14:paraId="12989CA6"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633,875</w:t>
            </w:r>
          </w:p>
        </w:tc>
      </w:tr>
      <w:tr w:rsidR="00F753E8" w:rsidRPr="00B64150" w14:paraId="25440AA8" w14:textId="77777777" w:rsidTr="006E1769">
        <w:trPr>
          <w:trHeight w:val="62"/>
        </w:trPr>
        <w:tc>
          <w:tcPr>
            <w:tcW w:w="3603" w:type="dxa"/>
            <w:tcBorders>
              <w:top w:val="nil"/>
              <w:left w:val="nil"/>
              <w:bottom w:val="nil"/>
              <w:right w:val="nil"/>
            </w:tcBorders>
            <w:shd w:val="clear" w:color="auto" w:fill="auto"/>
            <w:noWrap/>
            <w:vAlign w:val="bottom"/>
            <w:hideMark/>
          </w:tcPr>
          <w:p w14:paraId="353446BC" w14:textId="77777777" w:rsidR="00F753E8" w:rsidRPr="008A0A4E" w:rsidRDefault="00F753E8" w:rsidP="006E1769">
            <w:pPr>
              <w:rPr>
                <w:rFonts w:ascii="Arial" w:hAnsi="Arial" w:cs="Arial"/>
                <w:bCs/>
                <w:color w:val="000000"/>
                <w:sz w:val="22"/>
                <w:szCs w:val="22"/>
              </w:rPr>
            </w:pPr>
            <w:r w:rsidRPr="008A0A4E">
              <w:rPr>
                <w:rFonts w:ascii="Arial" w:hAnsi="Arial" w:cs="Arial"/>
                <w:bCs/>
                <w:color w:val="000000"/>
                <w:sz w:val="22"/>
                <w:szCs w:val="22"/>
              </w:rPr>
              <w:t>Pooled Property</w:t>
            </w:r>
          </w:p>
        </w:tc>
        <w:tc>
          <w:tcPr>
            <w:tcW w:w="1527" w:type="dxa"/>
            <w:tcBorders>
              <w:top w:val="nil"/>
              <w:left w:val="nil"/>
              <w:bottom w:val="nil"/>
              <w:right w:val="nil"/>
            </w:tcBorders>
            <w:shd w:val="clear" w:color="auto" w:fill="auto"/>
            <w:noWrap/>
          </w:tcPr>
          <w:p w14:paraId="318A6155"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60,250</w:t>
            </w:r>
          </w:p>
        </w:tc>
        <w:tc>
          <w:tcPr>
            <w:tcW w:w="1151" w:type="dxa"/>
            <w:tcBorders>
              <w:top w:val="nil"/>
              <w:left w:val="nil"/>
              <w:bottom w:val="nil"/>
              <w:right w:val="nil"/>
            </w:tcBorders>
            <w:shd w:val="clear" w:color="auto" w:fill="auto"/>
            <w:noWrap/>
            <w:vAlign w:val="center"/>
          </w:tcPr>
          <w:p w14:paraId="24C4B4D9"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2.5</w:t>
            </w:r>
          </w:p>
        </w:tc>
        <w:tc>
          <w:tcPr>
            <w:tcW w:w="1687" w:type="dxa"/>
            <w:tcBorders>
              <w:top w:val="nil"/>
              <w:left w:val="nil"/>
              <w:bottom w:val="nil"/>
              <w:right w:val="nil"/>
            </w:tcBorders>
            <w:shd w:val="clear" w:color="auto" w:fill="auto"/>
            <w:noWrap/>
          </w:tcPr>
          <w:p w14:paraId="295AC0CD"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61,757</w:t>
            </w:r>
          </w:p>
        </w:tc>
        <w:tc>
          <w:tcPr>
            <w:tcW w:w="1215" w:type="dxa"/>
            <w:tcBorders>
              <w:top w:val="nil"/>
              <w:left w:val="nil"/>
              <w:bottom w:val="nil"/>
              <w:right w:val="nil"/>
            </w:tcBorders>
            <w:shd w:val="clear" w:color="auto" w:fill="auto"/>
            <w:noWrap/>
          </w:tcPr>
          <w:p w14:paraId="19A33564"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58,744</w:t>
            </w:r>
          </w:p>
        </w:tc>
      </w:tr>
      <w:tr w:rsidR="00F753E8" w:rsidRPr="00B64150" w14:paraId="2519E1A7" w14:textId="77777777" w:rsidTr="006E1769">
        <w:trPr>
          <w:trHeight w:val="66"/>
        </w:trPr>
        <w:tc>
          <w:tcPr>
            <w:tcW w:w="3603" w:type="dxa"/>
            <w:tcBorders>
              <w:top w:val="nil"/>
              <w:left w:val="nil"/>
              <w:bottom w:val="nil"/>
              <w:right w:val="nil"/>
            </w:tcBorders>
            <w:shd w:val="clear" w:color="auto" w:fill="auto"/>
            <w:noWrap/>
            <w:vAlign w:val="bottom"/>
            <w:hideMark/>
          </w:tcPr>
          <w:p w14:paraId="3E5993E4" w14:textId="77777777" w:rsidR="00F753E8" w:rsidRPr="008A0A4E" w:rsidRDefault="00F753E8" w:rsidP="006E1769">
            <w:pPr>
              <w:rPr>
                <w:rFonts w:ascii="Arial" w:hAnsi="Arial" w:cs="Arial"/>
                <w:bCs/>
                <w:color w:val="000000"/>
                <w:sz w:val="22"/>
                <w:szCs w:val="22"/>
              </w:rPr>
            </w:pPr>
            <w:r w:rsidRPr="008A0A4E">
              <w:rPr>
                <w:rFonts w:ascii="Arial" w:hAnsi="Arial" w:cs="Arial"/>
                <w:bCs/>
                <w:color w:val="000000"/>
                <w:sz w:val="22"/>
                <w:szCs w:val="22"/>
              </w:rPr>
              <w:t>Pooled Absolute Return</w:t>
            </w:r>
          </w:p>
        </w:tc>
        <w:tc>
          <w:tcPr>
            <w:tcW w:w="1527" w:type="dxa"/>
            <w:tcBorders>
              <w:top w:val="nil"/>
              <w:left w:val="nil"/>
              <w:bottom w:val="nil"/>
              <w:right w:val="nil"/>
            </w:tcBorders>
            <w:shd w:val="clear" w:color="auto" w:fill="auto"/>
            <w:noWrap/>
          </w:tcPr>
          <w:p w14:paraId="0D8B68E6"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190,449</w:t>
            </w:r>
          </w:p>
        </w:tc>
        <w:tc>
          <w:tcPr>
            <w:tcW w:w="1151" w:type="dxa"/>
            <w:tcBorders>
              <w:top w:val="nil"/>
              <w:left w:val="nil"/>
              <w:bottom w:val="nil"/>
              <w:right w:val="nil"/>
            </w:tcBorders>
            <w:shd w:val="clear" w:color="auto" w:fill="auto"/>
            <w:noWrap/>
            <w:vAlign w:val="center"/>
          </w:tcPr>
          <w:p w14:paraId="3843F594"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4.4</w:t>
            </w:r>
          </w:p>
        </w:tc>
        <w:tc>
          <w:tcPr>
            <w:tcW w:w="1687" w:type="dxa"/>
            <w:tcBorders>
              <w:top w:val="nil"/>
              <w:left w:val="nil"/>
              <w:bottom w:val="nil"/>
              <w:right w:val="nil"/>
            </w:tcBorders>
            <w:shd w:val="clear" w:color="auto" w:fill="auto"/>
            <w:noWrap/>
          </w:tcPr>
          <w:p w14:paraId="2231072F"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198,848</w:t>
            </w:r>
          </w:p>
        </w:tc>
        <w:tc>
          <w:tcPr>
            <w:tcW w:w="1215" w:type="dxa"/>
            <w:tcBorders>
              <w:top w:val="nil"/>
              <w:left w:val="nil"/>
              <w:bottom w:val="nil"/>
              <w:right w:val="nil"/>
            </w:tcBorders>
            <w:shd w:val="clear" w:color="auto" w:fill="auto"/>
            <w:noWrap/>
          </w:tcPr>
          <w:p w14:paraId="4DED5670"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182,051</w:t>
            </w:r>
          </w:p>
        </w:tc>
      </w:tr>
      <w:tr w:rsidR="00F753E8" w:rsidRPr="00B64150" w14:paraId="4221E7BF" w14:textId="77777777" w:rsidTr="006E1769">
        <w:trPr>
          <w:trHeight w:val="62"/>
        </w:trPr>
        <w:tc>
          <w:tcPr>
            <w:tcW w:w="3603" w:type="dxa"/>
            <w:tcBorders>
              <w:top w:val="nil"/>
              <w:left w:val="nil"/>
              <w:bottom w:val="nil"/>
              <w:right w:val="nil"/>
            </w:tcBorders>
            <w:shd w:val="clear" w:color="auto" w:fill="auto"/>
            <w:noWrap/>
            <w:vAlign w:val="bottom"/>
            <w:hideMark/>
          </w:tcPr>
          <w:p w14:paraId="6CF28AC6" w14:textId="77777777" w:rsidR="00F753E8" w:rsidRPr="008A0A4E" w:rsidRDefault="00F753E8" w:rsidP="006E1769">
            <w:pPr>
              <w:rPr>
                <w:rFonts w:ascii="Arial" w:hAnsi="Arial" w:cs="Arial"/>
                <w:bCs/>
                <w:color w:val="000000"/>
                <w:sz w:val="22"/>
                <w:szCs w:val="22"/>
              </w:rPr>
            </w:pPr>
            <w:r w:rsidRPr="008A0A4E">
              <w:rPr>
                <w:rFonts w:ascii="Arial" w:hAnsi="Arial" w:cs="Arial"/>
                <w:bCs/>
                <w:color w:val="000000"/>
                <w:sz w:val="22"/>
                <w:szCs w:val="22"/>
              </w:rPr>
              <w:t>Infrastructure</w:t>
            </w:r>
          </w:p>
        </w:tc>
        <w:tc>
          <w:tcPr>
            <w:tcW w:w="1527" w:type="dxa"/>
            <w:tcBorders>
              <w:top w:val="nil"/>
              <w:left w:val="nil"/>
              <w:bottom w:val="nil"/>
              <w:right w:val="nil"/>
            </w:tcBorders>
            <w:shd w:val="clear" w:color="auto" w:fill="auto"/>
            <w:noWrap/>
          </w:tcPr>
          <w:p w14:paraId="2FC2B63B"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99,190</w:t>
            </w:r>
          </w:p>
        </w:tc>
        <w:tc>
          <w:tcPr>
            <w:tcW w:w="1151" w:type="dxa"/>
            <w:tcBorders>
              <w:top w:val="nil"/>
              <w:left w:val="nil"/>
              <w:bottom w:val="nil"/>
              <w:right w:val="nil"/>
            </w:tcBorders>
            <w:shd w:val="clear" w:color="auto" w:fill="auto"/>
            <w:noWrap/>
            <w:vAlign w:val="center"/>
          </w:tcPr>
          <w:p w14:paraId="5BD5C947"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4.4</w:t>
            </w:r>
          </w:p>
        </w:tc>
        <w:tc>
          <w:tcPr>
            <w:tcW w:w="1687" w:type="dxa"/>
            <w:tcBorders>
              <w:top w:val="nil"/>
              <w:left w:val="nil"/>
              <w:bottom w:val="nil"/>
              <w:right w:val="nil"/>
            </w:tcBorders>
            <w:shd w:val="clear" w:color="auto" w:fill="auto"/>
            <w:noWrap/>
          </w:tcPr>
          <w:p w14:paraId="33978C73"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103,565</w:t>
            </w:r>
          </w:p>
        </w:tc>
        <w:tc>
          <w:tcPr>
            <w:tcW w:w="1215" w:type="dxa"/>
            <w:tcBorders>
              <w:top w:val="nil"/>
              <w:left w:val="nil"/>
              <w:bottom w:val="nil"/>
              <w:right w:val="nil"/>
            </w:tcBorders>
            <w:shd w:val="clear" w:color="auto" w:fill="auto"/>
            <w:noWrap/>
          </w:tcPr>
          <w:p w14:paraId="57F3E195"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94,816</w:t>
            </w:r>
          </w:p>
        </w:tc>
      </w:tr>
      <w:tr w:rsidR="00F753E8" w:rsidRPr="00B64150" w14:paraId="24AE9DB7" w14:textId="77777777" w:rsidTr="006E1769">
        <w:trPr>
          <w:trHeight w:val="62"/>
        </w:trPr>
        <w:tc>
          <w:tcPr>
            <w:tcW w:w="3603" w:type="dxa"/>
            <w:tcBorders>
              <w:top w:val="nil"/>
              <w:left w:val="nil"/>
              <w:bottom w:val="nil"/>
              <w:right w:val="nil"/>
            </w:tcBorders>
            <w:shd w:val="clear" w:color="auto" w:fill="auto"/>
            <w:noWrap/>
            <w:vAlign w:val="bottom"/>
            <w:hideMark/>
          </w:tcPr>
          <w:p w14:paraId="29C46354" w14:textId="77777777" w:rsidR="00F753E8" w:rsidRPr="008A0A4E" w:rsidRDefault="00F753E8" w:rsidP="006E1769">
            <w:pPr>
              <w:rPr>
                <w:rFonts w:ascii="Arial" w:hAnsi="Arial" w:cs="Arial"/>
                <w:bCs/>
                <w:color w:val="000000"/>
                <w:sz w:val="22"/>
                <w:szCs w:val="22"/>
              </w:rPr>
            </w:pPr>
            <w:r w:rsidRPr="008A0A4E">
              <w:rPr>
                <w:rFonts w:ascii="Arial" w:hAnsi="Arial" w:cs="Arial"/>
                <w:bCs/>
                <w:color w:val="000000"/>
                <w:sz w:val="22"/>
                <w:szCs w:val="22"/>
              </w:rPr>
              <w:t>Other Investments</w:t>
            </w:r>
          </w:p>
        </w:tc>
        <w:tc>
          <w:tcPr>
            <w:tcW w:w="1527" w:type="dxa"/>
            <w:tcBorders>
              <w:top w:val="nil"/>
              <w:left w:val="nil"/>
              <w:bottom w:val="nil"/>
              <w:right w:val="nil"/>
            </w:tcBorders>
            <w:shd w:val="clear" w:color="auto" w:fill="auto"/>
            <w:noWrap/>
          </w:tcPr>
          <w:p w14:paraId="6E23584B"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84,002</w:t>
            </w:r>
          </w:p>
        </w:tc>
        <w:tc>
          <w:tcPr>
            <w:tcW w:w="1151" w:type="dxa"/>
            <w:tcBorders>
              <w:top w:val="nil"/>
              <w:left w:val="nil"/>
              <w:bottom w:val="nil"/>
              <w:right w:val="nil"/>
            </w:tcBorders>
            <w:shd w:val="clear" w:color="auto" w:fill="auto"/>
            <w:noWrap/>
            <w:vAlign w:val="center"/>
          </w:tcPr>
          <w:p w14:paraId="5CFF19B9"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4.4</w:t>
            </w:r>
          </w:p>
        </w:tc>
        <w:tc>
          <w:tcPr>
            <w:tcW w:w="1687" w:type="dxa"/>
            <w:tcBorders>
              <w:top w:val="nil"/>
              <w:left w:val="nil"/>
              <w:bottom w:val="nil"/>
              <w:right w:val="nil"/>
            </w:tcBorders>
            <w:shd w:val="clear" w:color="auto" w:fill="auto"/>
            <w:noWrap/>
          </w:tcPr>
          <w:p w14:paraId="418ABE60"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87,707</w:t>
            </w:r>
          </w:p>
        </w:tc>
        <w:tc>
          <w:tcPr>
            <w:tcW w:w="1215" w:type="dxa"/>
            <w:tcBorders>
              <w:top w:val="nil"/>
              <w:left w:val="nil"/>
              <w:bottom w:val="nil"/>
              <w:right w:val="nil"/>
            </w:tcBorders>
            <w:shd w:val="clear" w:color="auto" w:fill="auto"/>
            <w:noWrap/>
          </w:tcPr>
          <w:p w14:paraId="02B63F7F"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80,298</w:t>
            </w:r>
          </w:p>
        </w:tc>
      </w:tr>
      <w:tr w:rsidR="00F753E8" w:rsidRPr="00B64150" w14:paraId="534019BF" w14:textId="77777777" w:rsidTr="006E1769">
        <w:trPr>
          <w:trHeight w:val="62"/>
        </w:trPr>
        <w:tc>
          <w:tcPr>
            <w:tcW w:w="3603" w:type="dxa"/>
            <w:tcBorders>
              <w:top w:val="nil"/>
              <w:left w:val="nil"/>
              <w:bottom w:val="nil"/>
              <w:right w:val="nil"/>
            </w:tcBorders>
            <w:shd w:val="clear" w:color="auto" w:fill="auto"/>
            <w:noWrap/>
            <w:vAlign w:val="bottom"/>
          </w:tcPr>
          <w:p w14:paraId="59E54043" w14:textId="77777777" w:rsidR="00F753E8" w:rsidRPr="008A0A4E" w:rsidRDefault="00F753E8" w:rsidP="006E1769">
            <w:pPr>
              <w:rPr>
                <w:rFonts w:ascii="Arial" w:hAnsi="Arial" w:cs="Arial"/>
                <w:bCs/>
                <w:color w:val="000000"/>
                <w:sz w:val="22"/>
                <w:szCs w:val="22"/>
              </w:rPr>
            </w:pPr>
            <w:r w:rsidRPr="008A0A4E">
              <w:rPr>
                <w:rFonts w:ascii="Arial" w:hAnsi="Arial" w:cs="Arial"/>
                <w:bCs/>
                <w:color w:val="000000"/>
                <w:sz w:val="22"/>
                <w:szCs w:val="22"/>
              </w:rPr>
              <w:t>Cash</w:t>
            </w:r>
          </w:p>
        </w:tc>
        <w:tc>
          <w:tcPr>
            <w:tcW w:w="1527" w:type="dxa"/>
            <w:tcBorders>
              <w:top w:val="nil"/>
              <w:left w:val="nil"/>
              <w:bottom w:val="nil"/>
              <w:right w:val="nil"/>
            </w:tcBorders>
            <w:shd w:val="clear" w:color="auto" w:fill="auto"/>
            <w:noWrap/>
          </w:tcPr>
          <w:p w14:paraId="4ADF1F75"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14,365</w:t>
            </w:r>
          </w:p>
        </w:tc>
        <w:tc>
          <w:tcPr>
            <w:tcW w:w="1151" w:type="dxa"/>
            <w:tcBorders>
              <w:top w:val="nil"/>
              <w:left w:val="nil"/>
              <w:bottom w:val="nil"/>
              <w:right w:val="nil"/>
            </w:tcBorders>
            <w:shd w:val="clear" w:color="auto" w:fill="auto"/>
            <w:noWrap/>
            <w:vAlign w:val="center"/>
          </w:tcPr>
          <w:p w14:paraId="6CC6B287"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0.8</w:t>
            </w:r>
          </w:p>
        </w:tc>
        <w:tc>
          <w:tcPr>
            <w:tcW w:w="1687" w:type="dxa"/>
            <w:tcBorders>
              <w:top w:val="nil"/>
              <w:left w:val="nil"/>
              <w:bottom w:val="nil"/>
              <w:right w:val="nil"/>
            </w:tcBorders>
            <w:shd w:val="clear" w:color="auto" w:fill="auto"/>
            <w:noWrap/>
          </w:tcPr>
          <w:p w14:paraId="1DBBDBE2"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14,485</w:t>
            </w:r>
          </w:p>
        </w:tc>
        <w:tc>
          <w:tcPr>
            <w:tcW w:w="1215" w:type="dxa"/>
            <w:tcBorders>
              <w:top w:val="nil"/>
              <w:left w:val="nil"/>
              <w:bottom w:val="nil"/>
              <w:right w:val="nil"/>
            </w:tcBorders>
            <w:shd w:val="clear" w:color="auto" w:fill="auto"/>
            <w:noWrap/>
          </w:tcPr>
          <w:p w14:paraId="4AEF23E0" w14:textId="77777777" w:rsidR="00F753E8" w:rsidRPr="00911CD9" w:rsidRDefault="00F753E8" w:rsidP="006E1769">
            <w:pPr>
              <w:jc w:val="right"/>
              <w:rPr>
                <w:rFonts w:ascii="Arial" w:hAnsi="Arial" w:cs="Arial"/>
                <w:bCs/>
                <w:sz w:val="22"/>
                <w:szCs w:val="22"/>
              </w:rPr>
            </w:pPr>
            <w:r w:rsidRPr="00911CD9">
              <w:rPr>
                <w:rFonts w:ascii="Arial" w:hAnsi="Arial" w:cs="Arial"/>
                <w:bCs/>
                <w:sz w:val="22"/>
                <w:szCs w:val="22"/>
              </w:rPr>
              <w:t>14,246</w:t>
            </w:r>
          </w:p>
        </w:tc>
      </w:tr>
      <w:tr w:rsidR="00F753E8" w:rsidRPr="00B64150" w14:paraId="1D93A80F" w14:textId="77777777" w:rsidTr="006E1769">
        <w:trPr>
          <w:trHeight w:val="52"/>
        </w:trPr>
        <w:tc>
          <w:tcPr>
            <w:tcW w:w="3603" w:type="dxa"/>
            <w:tcBorders>
              <w:top w:val="nil"/>
              <w:left w:val="nil"/>
              <w:bottom w:val="nil"/>
              <w:right w:val="nil"/>
            </w:tcBorders>
            <w:shd w:val="clear" w:color="auto" w:fill="auto"/>
            <w:noWrap/>
            <w:vAlign w:val="bottom"/>
            <w:hideMark/>
          </w:tcPr>
          <w:p w14:paraId="5D289844" w14:textId="77777777" w:rsidR="00F753E8" w:rsidRPr="008A0A4E" w:rsidRDefault="00F753E8" w:rsidP="006E1769">
            <w:pPr>
              <w:rPr>
                <w:rFonts w:ascii="Arial" w:hAnsi="Arial" w:cs="Arial"/>
                <w:bCs/>
                <w:color w:val="000000"/>
                <w:sz w:val="22"/>
                <w:szCs w:val="22"/>
              </w:rPr>
            </w:pPr>
            <w:r w:rsidRPr="008A0A4E">
              <w:rPr>
                <w:rFonts w:ascii="Arial" w:hAnsi="Arial" w:cs="Arial"/>
                <w:color w:val="000000"/>
                <w:sz w:val="22"/>
                <w:szCs w:val="22"/>
              </w:rPr>
              <w:t>Total</w:t>
            </w:r>
          </w:p>
        </w:tc>
        <w:tc>
          <w:tcPr>
            <w:tcW w:w="1527" w:type="dxa"/>
            <w:tcBorders>
              <w:top w:val="single" w:sz="4" w:space="0" w:color="auto"/>
              <w:left w:val="nil"/>
              <w:bottom w:val="double" w:sz="4" w:space="0" w:color="auto"/>
              <w:right w:val="nil"/>
            </w:tcBorders>
            <w:shd w:val="clear" w:color="auto" w:fill="auto"/>
            <w:noWrap/>
          </w:tcPr>
          <w:p w14:paraId="79664769" w14:textId="77777777" w:rsidR="00F753E8" w:rsidRPr="004A6AC5" w:rsidRDefault="00F753E8" w:rsidP="006E1769">
            <w:pPr>
              <w:jc w:val="right"/>
              <w:rPr>
                <w:rFonts w:ascii="Arial" w:hAnsi="Arial" w:cs="Arial"/>
                <w:bCs/>
                <w:sz w:val="22"/>
                <w:szCs w:val="22"/>
              </w:rPr>
            </w:pPr>
            <w:r w:rsidRPr="004A6AC5">
              <w:rPr>
                <w:rFonts w:ascii="Arial" w:hAnsi="Arial" w:cs="Arial"/>
                <w:bCs/>
                <w:sz w:val="22"/>
                <w:szCs w:val="22"/>
              </w:rPr>
              <w:t>1,311,990</w:t>
            </w:r>
          </w:p>
        </w:tc>
        <w:tc>
          <w:tcPr>
            <w:tcW w:w="1151" w:type="dxa"/>
            <w:tcBorders>
              <w:top w:val="single" w:sz="4" w:space="0" w:color="auto"/>
              <w:left w:val="nil"/>
              <w:bottom w:val="double" w:sz="4" w:space="0" w:color="auto"/>
              <w:right w:val="nil"/>
            </w:tcBorders>
            <w:shd w:val="clear" w:color="auto" w:fill="auto"/>
            <w:noWrap/>
          </w:tcPr>
          <w:p w14:paraId="63CE77C3" w14:textId="77777777" w:rsidR="00F753E8" w:rsidRPr="004A6AC5" w:rsidRDefault="00F753E8" w:rsidP="006E1769">
            <w:pPr>
              <w:jc w:val="right"/>
              <w:rPr>
                <w:rFonts w:ascii="Arial" w:hAnsi="Arial" w:cs="Arial"/>
                <w:bCs/>
                <w:sz w:val="22"/>
                <w:szCs w:val="22"/>
              </w:rPr>
            </w:pPr>
          </w:p>
        </w:tc>
        <w:tc>
          <w:tcPr>
            <w:tcW w:w="1687" w:type="dxa"/>
            <w:tcBorders>
              <w:top w:val="single" w:sz="4" w:space="0" w:color="auto"/>
              <w:left w:val="nil"/>
              <w:bottom w:val="double" w:sz="4" w:space="0" w:color="auto"/>
              <w:right w:val="nil"/>
            </w:tcBorders>
            <w:shd w:val="clear" w:color="auto" w:fill="auto"/>
            <w:noWrap/>
          </w:tcPr>
          <w:p w14:paraId="02D54DFC" w14:textId="77777777" w:rsidR="00F753E8" w:rsidRPr="004A6AC5" w:rsidRDefault="00F753E8" w:rsidP="006E1769">
            <w:pPr>
              <w:jc w:val="right"/>
              <w:rPr>
                <w:rFonts w:ascii="Arial" w:hAnsi="Arial" w:cs="Arial"/>
                <w:bCs/>
                <w:sz w:val="22"/>
                <w:szCs w:val="22"/>
              </w:rPr>
            </w:pPr>
            <w:r w:rsidRPr="004A6AC5">
              <w:rPr>
                <w:rFonts w:ascii="Arial" w:hAnsi="Arial" w:cs="Arial"/>
                <w:bCs/>
                <w:sz w:val="22"/>
                <w:szCs w:val="22"/>
              </w:rPr>
              <w:t>1,454,828</w:t>
            </w:r>
          </w:p>
        </w:tc>
        <w:tc>
          <w:tcPr>
            <w:tcW w:w="1215" w:type="dxa"/>
            <w:tcBorders>
              <w:top w:val="single" w:sz="4" w:space="0" w:color="auto"/>
              <w:left w:val="nil"/>
              <w:bottom w:val="double" w:sz="4" w:space="0" w:color="auto"/>
              <w:right w:val="nil"/>
            </w:tcBorders>
            <w:shd w:val="clear" w:color="auto" w:fill="auto"/>
            <w:noWrap/>
          </w:tcPr>
          <w:p w14:paraId="4C1D5D5D" w14:textId="77777777" w:rsidR="00F753E8" w:rsidRPr="004A6AC5" w:rsidRDefault="00F753E8" w:rsidP="006E1769">
            <w:pPr>
              <w:jc w:val="right"/>
              <w:rPr>
                <w:rFonts w:ascii="Arial" w:hAnsi="Arial" w:cs="Arial"/>
                <w:bCs/>
                <w:sz w:val="22"/>
                <w:szCs w:val="22"/>
              </w:rPr>
            </w:pPr>
            <w:r w:rsidRPr="004A6AC5">
              <w:rPr>
                <w:rFonts w:ascii="Arial" w:hAnsi="Arial" w:cs="Arial"/>
                <w:bCs/>
                <w:sz w:val="22"/>
                <w:szCs w:val="22"/>
              </w:rPr>
              <w:t>1,169,151</w:t>
            </w:r>
          </w:p>
        </w:tc>
      </w:tr>
    </w:tbl>
    <w:p w14:paraId="44A307D0" w14:textId="77777777" w:rsidR="00F753E8" w:rsidRDefault="00F753E8" w:rsidP="00F753E8">
      <w:pPr>
        <w:ind w:left="426"/>
        <w:rPr>
          <w:rFonts w:ascii="Arial" w:hAnsi="Arial" w:cs="Arial"/>
          <w:b/>
          <w:sz w:val="22"/>
          <w:szCs w:val="22"/>
        </w:rPr>
      </w:pPr>
    </w:p>
    <w:p w14:paraId="3D6F9187" w14:textId="77777777" w:rsidR="00F753E8" w:rsidRPr="008A0A4E" w:rsidRDefault="00F753E8" w:rsidP="00F753E8">
      <w:pPr>
        <w:ind w:left="426"/>
        <w:rPr>
          <w:rFonts w:ascii="Arial" w:hAnsi="Arial" w:cs="Arial"/>
          <w:b/>
          <w:sz w:val="22"/>
          <w:szCs w:val="22"/>
        </w:rPr>
      </w:pPr>
      <w:r w:rsidRPr="008A0A4E">
        <w:rPr>
          <w:rFonts w:ascii="Arial" w:hAnsi="Arial" w:cs="Arial"/>
          <w:b/>
          <w:sz w:val="22"/>
          <w:szCs w:val="22"/>
        </w:rPr>
        <w:t>Interest rate risk</w:t>
      </w:r>
    </w:p>
    <w:p w14:paraId="7C2EAF26" w14:textId="77777777" w:rsidR="00F753E8" w:rsidRPr="008A0A4E" w:rsidRDefault="00F753E8" w:rsidP="00F753E8">
      <w:pPr>
        <w:rPr>
          <w:rFonts w:ascii="Arial" w:hAnsi="Arial" w:cs="Arial"/>
          <w:sz w:val="22"/>
          <w:szCs w:val="22"/>
        </w:rPr>
      </w:pPr>
    </w:p>
    <w:p w14:paraId="26022D1B"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The Fund invests in financial assets for the primary purpose of obtaining a return on investments.  These investments are subject to interest rate risks, which represent the risk that the fair value or future cash flows of a financial instrument will fluctuate because of changes in market interest rates.</w:t>
      </w:r>
    </w:p>
    <w:p w14:paraId="3C8938A7" w14:textId="77777777" w:rsidR="00F753E8" w:rsidRPr="008A0A4E" w:rsidRDefault="00F753E8" w:rsidP="00F753E8">
      <w:pPr>
        <w:jc w:val="both"/>
        <w:rPr>
          <w:rFonts w:ascii="Arial" w:hAnsi="Arial" w:cs="Arial"/>
          <w:sz w:val="22"/>
          <w:szCs w:val="22"/>
        </w:rPr>
      </w:pPr>
    </w:p>
    <w:p w14:paraId="774F4252"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The Fund’s interest rate risk is monitored by the Council and its investment advisors in accordance with the Fund’s risk management strategy, including monitoring the exposure to interest rates and assessment of actual interest rates against the relevant benchmarks.</w:t>
      </w:r>
    </w:p>
    <w:p w14:paraId="36B033F5" w14:textId="77777777" w:rsidR="00F753E8" w:rsidRPr="008A0A4E" w:rsidRDefault="00F753E8" w:rsidP="00F753E8">
      <w:pPr>
        <w:jc w:val="both"/>
        <w:rPr>
          <w:rFonts w:ascii="Arial" w:hAnsi="Arial" w:cs="Arial"/>
          <w:sz w:val="22"/>
          <w:szCs w:val="22"/>
        </w:rPr>
      </w:pPr>
    </w:p>
    <w:p w14:paraId="20C614B3"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 xml:space="preserve">The Fund’s direct exposure to interest movements as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w:t>
      </w:r>
      <w:r>
        <w:rPr>
          <w:rFonts w:ascii="Arial" w:hAnsi="Arial" w:cs="Arial"/>
          <w:sz w:val="22"/>
          <w:szCs w:val="22"/>
        </w:rPr>
        <w:t>20</w:t>
      </w:r>
      <w:r w:rsidRPr="008A0A4E">
        <w:rPr>
          <w:rFonts w:ascii="Arial" w:hAnsi="Arial" w:cs="Arial"/>
          <w:sz w:val="22"/>
          <w:szCs w:val="22"/>
        </w:rPr>
        <w:t xml:space="preserve"> and 31 March 202</w:t>
      </w:r>
      <w:r>
        <w:rPr>
          <w:rFonts w:ascii="Arial" w:hAnsi="Arial" w:cs="Arial"/>
          <w:sz w:val="22"/>
          <w:szCs w:val="22"/>
        </w:rPr>
        <w:t>1</w:t>
      </w:r>
      <w:r w:rsidRPr="008A0A4E">
        <w:rPr>
          <w:rFonts w:ascii="Arial" w:hAnsi="Arial" w:cs="Arial"/>
          <w:sz w:val="22"/>
          <w:szCs w:val="22"/>
        </w:rPr>
        <w:t xml:space="preserve"> is set out below.  These disclosures present interest rate risk based on the underlying financial assets at fair value:</w:t>
      </w:r>
    </w:p>
    <w:p w14:paraId="6A14D092" w14:textId="77777777" w:rsidR="00F753E8" w:rsidRPr="008A0A4E" w:rsidRDefault="00F753E8" w:rsidP="00F753E8">
      <w:pPr>
        <w:jc w:val="both"/>
        <w:rPr>
          <w:rFonts w:ascii="Arial" w:hAnsi="Arial" w:cs="Arial"/>
          <w:sz w:val="22"/>
          <w:szCs w:val="22"/>
        </w:rPr>
      </w:pPr>
    </w:p>
    <w:tbl>
      <w:tblPr>
        <w:tblW w:w="8505" w:type="dxa"/>
        <w:tblInd w:w="534" w:type="dxa"/>
        <w:tblLook w:val="00A0" w:firstRow="1" w:lastRow="0" w:firstColumn="1" w:lastColumn="0" w:noHBand="0" w:noVBand="0"/>
      </w:tblPr>
      <w:tblGrid>
        <w:gridCol w:w="4323"/>
        <w:gridCol w:w="1745"/>
        <w:gridCol w:w="597"/>
        <w:gridCol w:w="1840"/>
      </w:tblGrid>
      <w:tr w:rsidR="00F753E8" w:rsidRPr="00B64150" w14:paraId="245E35BA" w14:textId="77777777" w:rsidTr="006E1769">
        <w:trPr>
          <w:trHeight w:val="352"/>
        </w:trPr>
        <w:tc>
          <w:tcPr>
            <w:tcW w:w="4323" w:type="dxa"/>
            <w:tcBorders>
              <w:top w:val="nil"/>
              <w:left w:val="nil"/>
              <w:bottom w:val="nil"/>
              <w:right w:val="nil"/>
            </w:tcBorders>
            <w:shd w:val="clear" w:color="000000" w:fill="FFFFFF"/>
            <w:noWrap/>
            <w:vAlign w:val="bottom"/>
          </w:tcPr>
          <w:p w14:paraId="3B925E0F" w14:textId="77777777" w:rsidR="00F753E8" w:rsidRPr="008A0A4E" w:rsidRDefault="00F753E8" w:rsidP="006E1769">
            <w:pPr>
              <w:ind w:left="-108"/>
              <w:rPr>
                <w:rFonts w:ascii="Arial" w:hAnsi="Arial" w:cs="Arial"/>
                <w:b/>
                <w:bCs/>
                <w:color w:val="000000"/>
                <w:sz w:val="22"/>
                <w:szCs w:val="22"/>
              </w:rPr>
            </w:pPr>
            <w:r w:rsidRPr="008A0A4E">
              <w:rPr>
                <w:rFonts w:ascii="Arial" w:hAnsi="Arial" w:cs="Arial"/>
                <w:b/>
                <w:bCs/>
                <w:color w:val="000000"/>
                <w:sz w:val="22"/>
                <w:szCs w:val="22"/>
              </w:rPr>
              <w:t>Asset type</w:t>
            </w:r>
          </w:p>
        </w:tc>
        <w:tc>
          <w:tcPr>
            <w:tcW w:w="1745" w:type="dxa"/>
            <w:tcBorders>
              <w:top w:val="nil"/>
              <w:left w:val="nil"/>
              <w:bottom w:val="nil"/>
              <w:right w:val="nil"/>
            </w:tcBorders>
            <w:shd w:val="clear" w:color="000000" w:fill="FFFFFF"/>
            <w:vAlign w:val="bottom"/>
          </w:tcPr>
          <w:p w14:paraId="792F4A4D" w14:textId="77777777" w:rsidR="00F753E8" w:rsidRPr="008A0A4E" w:rsidRDefault="00F753E8" w:rsidP="006E1769">
            <w:pPr>
              <w:jc w:val="center"/>
              <w:rPr>
                <w:rFonts w:ascii="Arial" w:hAnsi="Arial" w:cs="Arial"/>
                <w:bCs/>
                <w:color w:val="000000"/>
                <w:sz w:val="22"/>
                <w:szCs w:val="22"/>
              </w:rPr>
            </w:pPr>
            <w:r w:rsidRPr="008A0A4E">
              <w:rPr>
                <w:rFonts w:ascii="Arial" w:hAnsi="Arial" w:cs="Arial"/>
                <w:bCs/>
                <w:color w:val="000000"/>
                <w:sz w:val="22"/>
                <w:szCs w:val="22"/>
              </w:rPr>
              <w:t xml:space="preserve">As </w:t>
            </w:r>
            <w:proofErr w:type="gramStart"/>
            <w:r w:rsidRPr="008A0A4E">
              <w:rPr>
                <w:rFonts w:ascii="Arial" w:hAnsi="Arial" w:cs="Arial"/>
                <w:bCs/>
                <w:color w:val="000000"/>
                <w:sz w:val="22"/>
                <w:szCs w:val="22"/>
              </w:rPr>
              <w:t>at</w:t>
            </w:r>
            <w:proofErr w:type="gramEnd"/>
            <w:r w:rsidRPr="008A0A4E">
              <w:rPr>
                <w:rFonts w:ascii="Arial" w:hAnsi="Arial" w:cs="Arial"/>
                <w:bCs/>
                <w:color w:val="000000"/>
                <w:sz w:val="22"/>
                <w:szCs w:val="22"/>
              </w:rPr>
              <w:t xml:space="preserve"> 31 March 20</w:t>
            </w:r>
            <w:r>
              <w:rPr>
                <w:rFonts w:ascii="Arial" w:hAnsi="Arial" w:cs="Arial"/>
                <w:bCs/>
                <w:color w:val="000000"/>
                <w:sz w:val="22"/>
                <w:szCs w:val="22"/>
              </w:rPr>
              <w:t>21</w:t>
            </w:r>
          </w:p>
        </w:tc>
        <w:tc>
          <w:tcPr>
            <w:tcW w:w="597" w:type="dxa"/>
            <w:tcBorders>
              <w:top w:val="nil"/>
              <w:left w:val="nil"/>
              <w:bottom w:val="nil"/>
              <w:right w:val="nil"/>
            </w:tcBorders>
            <w:shd w:val="clear" w:color="000000" w:fill="FFFFFF"/>
            <w:noWrap/>
            <w:vAlign w:val="bottom"/>
          </w:tcPr>
          <w:p w14:paraId="2642588C" w14:textId="77777777" w:rsidR="00F753E8" w:rsidRPr="008A0A4E" w:rsidRDefault="00F753E8" w:rsidP="006E1769">
            <w:pPr>
              <w:jc w:val="center"/>
              <w:rPr>
                <w:rFonts w:ascii="Arial" w:hAnsi="Arial" w:cs="Arial"/>
                <w:color w:val="000000"/>
                <w:sz w:val="22"/>
                <w:szCs w:val="22"/>
              </w:rPr>
            </w:pPr>
          </w:p>
        </w:tc>
        <w:tc>
          <w:tcPr>
            <w:tcW w:w="1840" w:type="dxa"/>
            <w:tcBorders>
              <w:top w:val="nil"/>
              <w:left w:val="nil"/>
              <w:bottom w:val="nil"/>
              <w:right w:val="nil"/>
            </w:tcBorders>
            <w:shd w:val="clear" w:color="000000" w:fill="FFFFFF"/>
            <w:vAlign w:val="bottom"/>
          </w:tcPr>
          <w:p w14:paraId="5A4BADFA"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color w:val="000000"/>
                <w:sz w:val="22"/>
                <w:szCs w:val="22"/>
              </w:rPr>
              <w:t xml:space="preserve">As </w:t>
            </w:r>
            <w:proofErr w:type="gramStart"/>
            <w:r w:rsidRPr="008A0A4E">
              <w:rPr>
                <w:rFonts w:ascii="Arial" w:hAnsi="Arial" w:cs="Arial"/>
                <w:b/>
                <w:bCs/>
                <w:color w:val="000000"/>
                <w:sz w:val="22"/>
                <w:szCs w:val="22"/>
              </w:rPr>
              <w:t>at</w:t>
            </w:r>
            <w:proofErr w:type="gramEnd"/>
            <w:r w:rsidRPr="008A0A4E">
              <w:rPr>
                <w:rFonts w:ascii="Arial" w:hAnsi="Arial" w:cs="Arial"/>
                <w:b/>
                <w:bCs/>
                <w:color w:val="000000"/>
                <w:sz w:val="22"/>
                <w:szCs w:val="22"/>
              </w:rPr>
              <w:t xml:space="preserve"> 31 March 202</w:t>
            </w:r>
            <w:r>
              <w:rPr>
                <w:rFonts w:ascii="Arial" w:hAnsi="Arial" w:cs="Arial"/>
                <w:b/>
                <w:bCs/>
                <w:color w:val="000000"/>
                <w:sz w:val="22"/>
                <w:szCs w:val="22"/>
              </w:rPr>
              <w:t>2</w:t>
            </w:r>
          </w:p>
        </w:tc>
      </w:tr>
      <w:tr w:rsidR="00F753E8" w:rsidRPr="00B64150" w14:paraId="714EB665" w14:textId="77777777" w:rsidTr="006E1769">
        <w:trPr>
          <w:trHeight w:val="197"/>
        </w:trPr>
        <w:tc>
          <w:tcPr>
            <w:tcW w:w="4323" w:type="dxa"/>
            <w:tcBorders>
              <w:top w:val="nil"/>
              <w:left w:val="nil"/>
              <w:bottom w:val="nil"/>
              <w:right w:val="nil"/>
            </w:tcBorders>
            <w:shd w:val="clear" w:color="000000" w:fill="FFFFFF"/>
            <w:noWrap/>
            <w:vAlign w:val="bottom"/>
          </w:tcPr>
          <w:p w14:paraId="4D3FD53F" w14:textId="77777777" w:rsidR="00F753E8" w:rsidRPr="008A0A4E" w:rsidRDefault="00F753E8" w:rsidP="006E1769">
            <w:pPr>
              <w:rPr>
                <w:rFonts w:ascii="Arial" w:hAnsi="Arial" w:cs="Arial"/>
                <w:b/>
                <w:bCs/>
                <w:color w:val="000000"/>
                <w:sz w:val="22"/>
                <w:szCs w:val="22"/>
              </w:rPr>
            </w:pPr>
            <w:r w:rsidRPr="008A0A4E">
              <w:rPr>
                <w:rFonts w:ascii="Arial" w:hAnsi="Arial" w:cs="Arial"/>
                <w:b/>
                <w:bCs/>
                <w:color w:val="000000"/>
                <w:sz w:val="22"/>
                <w:szCs w:val="22"/>
              </w:rPr>
              <w:t> </w:t>
            </w:r>
          </w:p>
        </w:tc>
        <w:tc>
          <w:tcPr>
            <w:tcW w:w="1745" w:type="dxa"/>
            <w:tcBorders>
              <w:top w:val="nil"/>
              <w:left w:val="nil"/>
              <w:bottom w:val="nil"/>
              <w:right w:val="nil"/>
            </w:tcBorders>
            <w:shd w:val="clear" w:color="000000" w:fill="FFFFFF"/>
            <w:vAlign w:val="bottom"/>
          </w:tcPr>
          <w:p w14:paraId="24E49FF7" w14:textId="77777777" w:rsidR="00F753E8" w:rsidRPr="008A0A4E" w:rsidRDefault="00F753E8" w:rsidP="006E1769">
            <w:pPr>
              <w:jc w:val="center"/>
              <w:rPr>
                <w:rFonts w:ascii="Arial" w:hAnsi="Arial" w:cs="Arial"/>
                <w:color w:val="000000"/>
                <w:sz w:val="22"/>
                <w:szCs w:val="22"/>
              </w:rPr>
            </w:pPr>
            <w:r w:rsidRPr="008A0A4E">
              <w:rPr>
                <w:rFonts w:ascii="Arial" w:hAnsi="Arial" w:cs="Arial"/>
                <w:bCs/>
                <w:sz w:val="22"/>
                <w:szCs w:val="22"/>
              </w:rPr>
              <w:t>£000</w:t>
            </w:r>
          </w:p>
        </w:tc>
        <w:tc>
          <w:tcPr>
            <w:tcW w:w="597" w:type="dxa"/>
            <w:tcBorders>
              <w:top w:val="nil"/>
              <w:left w:val="nil"/>
              <w:bottom w:val="nil"/>
              <w:right w:val="nil"/>
            </w:tcBorders>
            <w:shd w:val="clear" w:color="000000" w:fill="FFFFFF"/>
            <w:noWrap/>
            <w:vAlign w:val="bottom"/>
          </w:tcPr>
          <w:p w14:paraId="71D9848B" w14:textId="77777777" w:rsidR="00F753E8" w:rsidRPr="008A0A4E" w:rsidRDefault="00F753E8" w:rsidP="006E1769">
            <w:pPr>
              <w:jc w:val="center"/>
              <w:rPr>
                <w:rFonts w:ascii="Arial" w:hAnsi="Arial" w:cs="Arial"/>
                <w:color w:val="000000"/>
                <w:sz w:val="22"/>
                <w:szCs w:val="22"/>
              </w:rPr>
            </w:pPr>
          </w:p>
        </w:tc>
        <w:tc>
          <w:tcPr>
            <w:tcW w:w="1840" w:type="dxa"/>
            <w:tcBorders>
              <w:top w:val="nil"/>
              <w:left w:val="nil"/>
              <w:bottom w:val="nil"/>
              <w:right w:val="nil"/>
            </w:tcBorders>
            <w:shd w:val="clear" w:color="000000" w:fill="FFFFFF"/>
            <w:noWrap/>
            <w:vAlign w:val="bottom"/>
          </w:tcPr>
          <w:p w14:paraId="40BEC314" w14:textId="77777777" w:rsidR="00F753E8" w:rsidRPr="008A0A4E" w:rsidRDefault="00F753E8" w:rsidP="006E1769">
            <w:pPr>
              <w:jc w:val="center"/>
              <w:rPr>
                <w:rFonts w:ascii="Arial" w:hAnsi="Arial" w:cs="Arial"/>
                <w:b/>
                <w:bCs/>
                <w:color w:val="000000"/>
                <w:sz w:val="22"/>
                <w:szCs w:val="22"/>
              </w:rPr>
            </w:pPr>
            <w:r w:rsidRPr="008A0A4E">
              <w:rPr>
                <w:rFonts w:ascii="Arial" w:hAnsi="Arial" w:cs="Arial"/>
                <w:b/>
                <w:bCs/>
                <w:sz w:val="22"/>
                <w:szCs w:val="22"/>
              </w:rPr>
              <w:t>£000</w:t>
            </w:r>
          </w:p>
        </w:tc>
      </w:tr>
      <w:tr w:rsidR="00F753E8" w:rsidRPr="00B64150" w14:paraId="5052B04F" w14:textId="77777777" w:rsidTr="006E1769">
        <w:trPr>
          <w:trHeight w:val="197"/>
        </w:trPr>
        <w:tc>
          <w:tcPr>
            <w:tcW w:w="4323" w:type="dxa"/>
            <w:tcBorders>
              <w:top w:val="nil"/>
              <w:left w:val="nil"/>
              <w:bottom w:val="nil"/>
              <w:right w:val="nil"/>
            </w:tcBorders>
            <w:shd w:val="clear" w:color="000000" w:fill="FFFFFF"/>
            <w:noWrap/>
            <w:vAlign w:val="bottom"/>
          </w:tcPr>
          <w:p w14:paraId="73B8429D" w14:textId="77777777" w:rsidR="00F753E8" w:rsidRPr="008A0A4E" w:rsidRDefault="00F753E8" w:rsidP="006E1769">
            <w:pPr>
              <w:ind w:left="-108"/>
              <w:rPr>
                <w:rFonts w:ascii="Arial" w:hAnsi="Arial" w:cs="Arial"/>
                <w:color w:val="000000"/>
                <w:sz w:val="22"/>
                <w:szCs w:val="22"/>
              </w:rPr>
            </w:pPr>
            <w:r w:rsidRPr="008A0A4E">
              <w:rPr>
                <w:rFonts w:ascii="Arial" w:hAnsi="Arial" w:cs="Arial"/>
                <w:color w:val="000000"/>
                <w:sz w:val="22"/>
                <w:szCs w:val="22"/>
              </w:rPr>
              <w:t>Cash and cash equivalent</w:t>
            </w:r>
          </w:p>
        </w:tc>
        <w:tc>
          <w:tcPr>
            <w:tcW w:w="1745" w:type="dxa"/>
            <w:tcBorders>
              <w:top w:val="nil"/>
              <w:left w:val="nil"/>
              <w:bottom w:val="nil"/>
              <w:right w:val="nil"/>
            </w:tcBorders>
            <w:shd w:val="clear" w:color="000000" w:fill="FFFFFF"/>
            <w:vAlign w:val="center"/>
          </w:tcPr>
          <w:p w14:paraId="7EE08009" w14:textId="77777777" w:rsidR="00F753E8" w:rsidRPr="003F24FB" w:rsidRDefault="00F753E8" w:rsidP="006E1769">
            <w:pPr>
              <w:jc w:val="right"/>
              <w:rPr>
                <w:rFonts w:ascii="Arial" w:hAnsi="Arial" w:cs="Arial"/>
                <w:color w:val="000000"/>
                <w:sz w:val="22"/>
                <w:szCs w:val="22"/>
              </w:rPr>
            </w:pPr>
            <w:r>
              <w:rPr>
                <w:rFonts w:ascii="Arial" w:hAnsi="Arial" w:cs="Arial"/>
                <w:color w:val="000000"/>
                <w:sz w:val="22"/>
                <w:szCs w:val="22"/>
              </w:rPr>
              <w:t>9,112</w:t>
            </w:r>
          </w:p>
        </w:tc>
        <w:tc>
          <w:tcPr>
            <w:tcW w:w="597" w:type="dxa"/>
            <w:tcBorders>
              <w:top w:val="nil"/>
              <w:left w:val="nil"/>
              <w:bottom w:val="nil"/>
              <w:right w:val="nil"/>
            </w:tcBorders>
            <w:shd w:val="clear" w:color="000000" w:fill="FFFFFF"/>
            <w:noWrap/>
          </w:tcPr>
          <w:p w14:paraId="059CD4FB" w14:textId="77777777" w:rsidR="00F753E8" w:rsidRPr="008A0A4E" w:rsidRDefault="00F753E8" w:rsidP="006E1769">
            <w:pPr>
              <w:jc w:val="right"/>
              <w:rPr>
                <w:rFonts w:ascii="Arial" w:hAnsi="Arial" w:cs="Arial"/>
                <w:sz w:val="22"/>
                <w:szCs w:val="22"/>
              </w:rPr>
            </w:pPr>
          </w:p>
        </w:tc>
        <w:tc>
          <w:tcPr>
            <w:tcW w:w="1840" w:type="dxa"/>
            <w:tcBorders>
              <w:top w:val="nil"/>
              <w:left w:val="nil"/>
              <w:bottom w:val="nil"/>
              <w:right w:val="nil"/>
            </w:tcBorders>
            <w:shd w:val="clear" w:color="000000" w:fill="FFFFFF"/>
            <w:noWrap/>
            <w:vAlign w:val="center"/>
          </w:tcPr>
          <w:p w14:paraId="6CA35076" w14:textId="77777777" w:rsidR="00F753E8" w:rsidRPr="008A0A4E" w:rsidRDefault="00F753E8" w:rsidP="006E1769">
            <w:pPr>
              <w:jc w:val="right"/>
              <w:rPr>
                <w:rFonts w:ascii="Arial" w:hAnsi="Arial" w:cs="Arial"/>
                <w:b/>
                <w:bCs/>
                <w:color w:val="000000"/>
                <w:sz w:val="22"/>
                <w:szCs w:val="22"/>
              </w:rPr>
            </w:pPr>
            <w:r>
              <w:rPr>
                <w:rFonts w:ascii="Arial" w:hAnsi="Arial" w:cs="Arial"/>
                <w:b/>
                <w:bCs/>
                <w:color w:val="000000"/>
                <w:sz w:val="22"/>
                <w:szCs w:val="22"/>
              </w:rPr>
              <w:t>14,365</w:t>
            </w:r>
          </w:p>
        </w:tc>
      </w:tr>
      <w:tr w:rsidR="00F753E8" w:rsidRPr="00B64150" w14:paraId="451442D6" w14:textId="77777777" w:rsidTr="006E1769">
        <w:trPr>
          <w:trHeight w:val="197"/>
        </w:trPr>
        <w:tc>
          <w:tcPr>
            <w:tcW w:w="4323" w:type="dxa"/>
            <w:tcBorders>
              <w:top w:val="nil"/>
              <w:left w:val="nil"/>
              <w:bottom w:val="nil"/>
              <w:right w:val="nil"/>
            </w:tcBorders>
            <w:shd w:val="clear" w:color="000000" w:fill="FFFFFF"/>
            <w:noWrap/>
            <w:vAlign w:val="bottom"/>
          </w:tcPr>
          <w:p w14:paraId="0F42A0D7" w14:textId="77777777" w:rsidR="00F753E8" w:rsidRPr="008A0A4E" w:rsidRDefault="00F753E8" w:rsidP="006E1769">
            <w:pPr>
              <w:ind w:left="-108"/>
              <w:rPr>
                <w:rFonts w:ascii="Arial" w:hAnsi="Arial" w:cs="Arial"/>
                <w:color w:val="000000"/>
                <w:sz w:val="22"/>
                <w:szCs w:val="22"/>
              </w:rPr>
            </w:pPr>
            <w:r w:rsidRPr="008A0A4E">
              <w:rPr>
                <w:rFonts w:ascii="Arial" w:hAnsi="Arial" w:cs="Arial"/>
                <w:color w:val="000000"/>
                <w:sz w:val="22"/>
                <w:szCs w:val="22"/>
              </w:rPr>
              <w:t>Fixed interest securities</w:t>
            </w:r>
          </w:p>
        </w:tc>
        <w:tc>
          <w:tcPr>
            <w:tcW w:w="1745" w:type="dxa"/>
            <w:tcBorders>
              <w:top w:val="nil"/>
              <w:left w:val="nil"/>
              <w:bottom w:val="single" w:sz="8" w:space="0" w:color="auto"/>
              <w:right w:val="nil"/>
            </w:tcBorders>
            <w:shd w:val="clear" w:color="000000" w:fill="FFFFFF"/>
            <w:vAlign w:val="center"/>
          </w:tcPr>
          <w:p w14:paraId="0A211F4A" w14:textId="77777777" w:rsidR="00F753E8" w:rsidRPr="003F24FB" w:rsidRDefault="00F753E8" w:rsidP="006E1769">
            <w:pPr>
              <w:jc w:val="right"/>
              <w:rPr>
                <w:rFonts w:ascii="Arial" w:hAnsi="Arial" w:cs="Arial"/>
                <w:color w:val="000000"/>
                <w:sz w:val="22"/>
                <w:szCs w:val="22"/>
              </w:rPr>
            </w:pPr>
            <w:r w:rsidRPr="003F24FB">
              <w:rPr>
                <w:rFonts w:ascii="Arial" w:hAnsi="Arial" w:cs="Arial"/>
                <w:color w:val="000000"/>
                <w:sz w:val="22"/>
                <w:szCs w:val="22"/>
              </w:rPr>
              <w:t>103,587</w:t>
            </w:r>
          </w:p>
        </w:tc>
        <w:tc>
          <w:tcPr>
            <w:tcW w:w="597" w:type="dxa"/>
            <w:tcBorders>
              <w:top w:val="nil"/>
              <w:left w:val="nil"/>
              <w:bottom w:val="single" w:sz="8" w:space="0" w:color="auto"/>
              <w:right w:val="nil"/>
            </w:tcBorders>
            <w:shd w:val="clear" w:color="000000" w:fill="FFFFFF"/>
            <w:noWrap/>
          </w:tcPr>
          <w:p w14:paraId="33BA22CA" w14:textId="77777777" w:rsidR="00F753E8" w:rsidRPr="008A0A4E" w:rsidRDefault="00F753E8" w:rsidP="006E1769">
            <w:pPr>
              <w:jc w:val="right"/>
              <w:rPr>
                <w:rFonts w:ascii="Arial" w:hAnsi="Arial" w:cs="Arial"/>
                <w:sz w:val="22"/>
                <w:szCs w:val="22"/>
              </w:rPr>
            </w:pPr>
          </w:p>
        </w:tc>
        <w:tc>
          <w:tcPr>
            <w:tcW w:w="1840" w:type="dxa"/>
            <w:tcBorders>
              <w:top w:val="nil"/>
              <w:left w:val="nil"/>
              <w:bottom w:val="single" w:sz="8" w:space="0" w:color="auto"/>
              <w:right w:val="nil"/>
            </w:tcBorders>
            <w:shd w:val="clear" w:color="000000" w:fill="FFFFFF"/>
            <w:noWrap/>
            <w:vAlign w:val="center"/>
          </w:tcPr>
          <w:p w14:paraId="06D56F1C" w14:textId="77777777" w:rsidR="00F753E8" w:rsidRPr="008A0A4E" w:rsidRDefault="00F753E8" w:rsidP="006E1769">
            <w:pPr>
              <w:jc w:val="right"/>
              <w:rPr>
                <w:rFonts w:ascii="Arial" w:hAnsi="Arial" w:cs="Arial"/>
                <w:b/>
                <w:bCs/>
                <w:color w:val="000000"/>
                <w:sz w:val="22"/>
                <w:szCs w:val="22"/>
              </w:rPr>
            </w:pPr>
            <w:r w:rsidRPr="002F7CA9">
              <w:rPr>
                <w:rFonts w:ascii="Arial" w:hAnsi="Arial" w:cs="Arial"/>
                <w:b/>
                <w:bCs/>
                <w:color w:val="000000"/>
                <w:sz w:val="22"/>
                <w:szCs w:val="22"/>
              </w:rPr>
              <w:t>110,643</w:t>
            </w:r>
          </w:p>
        </w:tc>
      </w:tr>
      <w:tr w:rsidR="00F753E8" w:rsidRPr="00B64150" w14:paraId="47D5D9F6" w14:textId="77777777" w:rsidTr="006E1769">
        <w:trPr>
          <w:trHeight w:val="197"/>
        </w:trPr>
        <w:tc>
          <w:tcPr>
            <w:tcW w:w="4323" w:type="dxa"/>
            <w:tcBorders>
              <w:top w:val="nil"/>
              <w:left w:val="nil"/>
              <w:bottom w:val="nil"/>
              <w:right w:val="nil"/>
            </w:tcBorders>
            <w:shd w:val="clear" w:color="000000" w:fill="FFFFFF"/>
            <w:noWrap/>
            <w:vAlign w:val="bottom"/>
          </w:tcPr>
          <w:p w14:paraId="3554F864" w14:textId="77777777" w:rsidR="00F753E8" w:rsidRPr="008A0A4E" w:rsidRDefault="00F753E8" w:rsidP="006E1769">
            <w:pPr>
              <w:ind w:left="-108"/>
              <w:rPr>
                <w:rFonts w:ascii="Arial" w:hAnsi="Arial" w:cs="Arial"/>
                <w:b/>
                <w:bCs/>
                <w:color w:val="000000"/>
                <w:sz w:val="22"/>
                <w:szCs w:val="22"/>
              </w:rPr>
            </w:pPr>
            <w:r w:rsidRPr="008A0A4E">
              <w:rPr>
                <w:rFonts w:ascii="Arial" w:hAnsi="Arial" w:cs="Arial"/>
                <w:b/>
                <w:bCs/>
                <w:color w:val="000000"/>
                <w:sz w:val="22"/>
                <w:szCs w:val="22"/>
              </w:rPr>
              <w:t xml:space="preserve">Total </w:t>
            </w:r>
          </w:p>
        </w:tc>
        <w:tc>
          <w:tcPr>
            <w:tcW w:w="1745" w:type="dxa"/>
            <w:tcBorders>
              <w:top w:val="single" w:sz="8" w:space="0" w:color="auto"/>
              <w:left w:val="nil"/>
              <w:bottom w:val="double" w:sz="4" w:space="0" w:color="auto"/>
              <w:right w:val="nil"/>
            </w:tcBorders>
            <w:shd w:val="clear" w:color="000000" w:fill="FFFFFF"/>
            <w:vAlign w:val="center"/>
          </w:tcPr>
          <w:p w14:paraId="17C9D658" w14:textId="77777777" w:rsidR="00F753E8" w:rsidRPr="003F24FB" w:rsidRDefault="00F753E8" w:rsidP="006E1769">
            <w:pPr>
              <w:jc w:val="right"/>
              <w:rPr>
                <w:rFonts w:ascii="Arial" w:hAnsi="Arial" w:cs="Arial"/>
                <w:color w:val="000000"/>
                <w:sz w:val="22"/>
                <w:szCs w:val="22"/>
              </w:rPr>
            </w:pPr>
            <w:r w:rsidRPr="003F24FB">
              <w:rPr>
                <w:rFonts w:ascii="Arial" w:hAnsi="Arial" w:cs="Arial"/>
                <w:color w:val="000000"/>
                <w:sz w:val="22"/>
                <w:szCs w:val="22"/>
              </w:rPr>
              <w:t>1</w:t>
            </w:r>
            <w:r>
              <w:rPr>
                <w:rFonts w:ascii="Arial" w:hAnsi="Arial" w:cs="Arial"/>
                <w:color w:val="000000"/>
                <w:sz w:val="22"/>
                <w:szCs w:val="22"/>
              </w:rPr>
              <w:t>12</w:t>
            </w:r>
            <w:r w:rsidRPr="003F24FB">
              <w:rPr>
                <w:rFonts w:ascii="Arial" w:hAnsi="Arial" w:cs="Arial"/>
                <w:color w:val="000000"/>
                <w:sz w:val="22"/>
                <w:szCs w:val="22"/>
              </w:rPr>
              <w:t>,</w:t>
            </w:r>
            <w:r>
              <w:rPr>
                <w:rFonts w:ascii="Arial" w:hAnsi="Arial" w:cs="Arial"/>
                <w:color w:val="000000"/>
                <w:sz w:val="22"/>
                <w:szCs w:val="22"/>
              </w:rPr>
              <w:t>699</w:t>
            </w:r>
          </w:p>
        </w:tc>
        <w:tc>
          <w:tcPr>
            <w:tcW w:w="597" w:type="dxa"/>
            <w:tcBorders>
              <w:top w:val="single" w:sz="8" w:space="0" w:color="auto"/>
              <w:left w:val="nil"/>
              <w:bottom w:val="double" w:sz="4" w:space="0" w:color="auto"/>
              <w:right w:val="nil"/>
            </w:tcBorders>
            <w:shd w:val="clear" w:color="000000" w:fill="FFFFFF"/>
            <w:noWrap/>
          </w:tcPr>
          <w:p w14:paraId="3530A26B" w14:textId="77777777" w:rsidR="00F753E8" w:rsidRPr="008A0A4E" w:rsidRDefault="00F753E8" w:rsidP="006E1769">
            <w:pPr>
              <w:jc w:val="right"/>
              <w:rPr>
                <w:rFonts w:ascii="Arial" w:hAnsi="Arial" w:cs="Arial"/>
                <w:sz w:val="22"/>
                <w:szCs w:val="22"/>
              </w:rPr>
            </w:pPr>
          </w:p>
        </w:tc>
        <w:tc>
          <w:tcPr>
            <w:tcW w:w="1840" w:type="dxa"/>
            <w:tcBorders>
              <w:top w:val="single" w:sz="8" w:space="0" w:color="auto"/>
              <w:left w:val="nil"/>
              <w:bottom w:val="double" w:sz="4" w:space="0" w:color="auto"/>
              <w:right w:val="nil"/>
            </w:tcBorders>
            <w:shd w:val="clear" w:color="000000" w:fill="FFFFFF"/>
            <w:noWrap/>
            <w:vAlign w:val="center"/>
          </w:tcPr>
          <w:p w14:paraId="25D3C268" w14:textId="77777777" w:rsidR="00F753E8" w:rsidRPr="008A0A4E" w:rsidRDefault="00F753E8" w:rsidP="006E1769">
            <w:pPr>
              <w:jc w:val="right"/>
              <w:rPr>
                <w:rFonts w:ascii="Arial" w:hAnsi="Arial" w:cs="Arial"/>
                <w:b/>
                <w:bCs/>
                <w:color w:val="000000"/>
                <w:sz w:val="22"/>
                <w:szCs w:val="22"/>
              </w:rPr>
            </w:pPr>
            <w:r>
              <w:rPr>
                <w:rFonts w:ascii="Arial" w:hAnsi="Arial" w:cs="Arial"/>
                <w:b/>
                <w:bCs/>
                <w:color w:val="000000"/>
                <w:sz w:val="22"/>
                <w:szCs w:val="22"/>
              </w:rPr>
              <w:t>125,008</w:t>
            </w:r>
          </w:p>
        </w:tc>
      </w:tr>
    </w:tbl>
    <w:p w14:paraId="72178576" w14:textId="77777777" w:rsidR="00F753E8" w:rsidRPr="008A0A4E" w:rsidRDefault="00F753E8" w:rsidP="00F753E8">
      <w:pPr>
        <w:ind w:firstLine="426"/>
        <w:rPr>
          <w:rFonts w:ascii="Arial" w:hAnsi="Arial" w:cs="Arial"/>
          <w:b/>
          <w:sz w:val="22"/>
          <w:szCs w:val="22"/>
        </w:rPr>
      </w:pPr>
    </w:p>
    <w:p w14:paraId="0B67EA92" w14:textId="77777777" w:rsidR="00F753E8" w:rsidRPr="008A0A4E" w:rsidRDefault="00F753E8" w:rsidP="00F753E8">
      <w:pPr>
        <w:ind w:firstLine="426"/>
        <w:rPr>
          <w:rFonts w:ascii="Arial" w:hAnsi="Arial" w:cs="Arial"/>
          <w:sz w:val="22"/>
          <w:szCs w:val="22"/>
        </w:rPr>
      </w:pPr>
      <w:r w:rsidRPr="008A0A4E">
        <w:rPr>
          <w:rFonts w:ascii="Arial" w:hAnsi="Arial" w:cs="Arial"/>
          <w:b/>
          <w:sz w:val="22"/>
          <w:szCs w:val="22"/>
        </w:rPr>
        <w:t>Interest rate risk sensitivity analysis</w:t>
      </w:r>
      <w:r w:rsidRPr="008A0A4E">
        <w:rPr>
          <w:rFonts w:ascii="Arial" w:hAnsi="Arial" w:cs="Arial"/>
          <w:color w:val="000000"/>
          <w:sz w:val="22"/>
          <w:szCs w:val="22"/>
        </w:rPr>
        <w:t xml:space="preserve">           </w:t>
      </w:r>
    </w:p>
    <w:p w14:paraId="2C9E8954" w14:textId="77777777" w:rsidR="00F753E8" w:rsidRPr="008A0A4E" w:rsidRDefault="00F753E8" w:rsidP="00F753E8">
      <w:pPr>
        <w:rPr>
          <w:rFonts w:ascii="Arial" w:hAnsi="Arial" w:cs="Arial"/>
          <w:sz w:val="22"/>
          <w:szCs w:val="22"/>
        </w:rPr>
      </w:pPr>
      <w:r w:rsidRPr="008A0A4E">
        <w:rPr>
          <w:rFonts w:ascii="Arial" w:hAnsi="Arial" w:cs="Arial"/>
          <w:color w:val="000000"/>
          <w:sz w:val="22"/>
          <w:szCs w:val="22"/>
        </w:rPr>
        <w:t xml:space="preserve">          </w:t>
      </w:r>
    </w:p>
    <w:p w14:paraId="59072E63"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 xml:space="preserve">The Council recognises that interest rates can vary and can affect both income to the Fund and the value of the net assets available to pay benefits. A 100-basis point (BPS) movement in interest rates in consistent with the level of sensitivity applied as part of the Fund’s risk management strategy. </w:t>
      </w:r>
    </w:p>
    <w:p w14:paraId="038B61C3" w14:textId="77777777" w:rsidR="00F753E8" w:rsidRPr="008A0A4E" w:rsidRDefault="00F753E8" w:rsidP="00F753E8">
      <w:pPr>
        <w:ind w:left="426"/>
        <w:jc w:val="both"/>
        <w:rPr>
          <w:rFonts w:ascii="Arial" w:hAnsi="Arial" w:cs="Arial"/>
          <w:sz w:val="22"/>
          <w:szCs w:val="22"/>
        </w:rPr>
      </w:pPr>
    </w:p>
    <w:p w14:paraId="1532287F"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The Fund’s investment advisor has advised that long-term average rates are expected to move less than 100 BPS from one year to the next and experience suggests that such movements are likely. The analysis that follows assumes that all other variables, in particular exchange rates, remain constant, and shows the effect in the year on the net assets available to pay benefits of a +/- 100 BPS change in interest rates:</w:t>
      </w:r>
    </w:p>
    <w:p w14:paraId="40483B85" w14:textId="77777777" w:rsidR="00F753E8" w:rsidRPr="008A0A4E" w:rsidRDefault="00F753E8" w:rsidP="00F753E8">
      <w:pPr>
        <w:ind w:left="426"/>
        <w:jc w:val="both"/>
        <w:rPr>
          <w:rFonts w:ascii="Arial" w:hAnsi="Arial" w:cs="Arial"/>
          <w:sz w:val="22"/>
          <w:szCs w:val="22"/>
        </w:rPr>
      </w:pPr>
    </w:p>
    <w:tbl>
      <w:tblPr>
        <w:tblW w:w="8764" w:type="dxa"/>
        <w:jc w:val="center"/>
        <w:tblLook w:val="00A0" w:firstRow="1" w:lastRow="0" w:firstColumn="1" w:lastColumn="0" w:noHBand="0" w:noVBand="0"/>
      </w:tblPr>
      <w:tblGrid>
        <w:gridCol w:w="2835"/>
        <w:gridCol w:w="2515"/>
        <w:gridCol w:w="1856"/>
        <w:gridCol w:w="1558"/>
      </w:tblGrid>
      <w:tr w:rsidR="00F753E8" w:rsidRPr="00B64150" w14:paraId="5CCCD105" w14:textId="77777777" w:rsidTr="006E1769">
        <w:trPr>
          <w:trHeight w:val="326"/>
          <w:jc w:val="center"/>
        </w:trPr>
        <w:tc>
          <w:tcPr>
            <w:tcW w:w="2835" w:type="dxa"/>
            <w:tcBorders>
              <w:top w:val="nil"/>
              <w:left w:val="nil"/>
              <w:bottom w:val="nil"/>
              <w:right w:val="nil"/>
            </w:tcBorders>
            <w:shd w:val="clear" w:color="000000" w:fill="FFFFFF"/>
            <w:noWrap/>
            <w:vAlign w:val="bottom"/>
          </w:tcPr>
          <w:p w14:paraId="2E203DAD" w14:textId="77777777" w:rsidR="00F753E8" w:rsidRPr="008A0A4E" w:rsidRDefault="00F753E8" w:rsidP="006E1769">
            <w:pPr>
              <w:ind w:left="-93"/>
              <w:jc w:val="center"/>
              <w:rPr>
                <w:rFonts w:ascii="Arial" w:hAnsi="Arial" w:cs="Arial"/>
                <w:b/>
                <w:bCs/>
                <w:color w:val="000000"/>
                <w:sz w:val="22"/>
                <w:szCs w:val="22"/>
              </w:rPr>
            </w:pPr>
            <w:r w:rsidRPr="008A0A4E">
              <w:rPr>
                <w:rFonts w:ascii="Arial" w:hAnsi="Arial" w:cs="Arial"/>
                <w:b/>
                <w:bCs/>
                <w:color w:val="000000"/>
                <w:sz w:val="22"/>
                <w:szCs w:val="22"/>
              </w:rPr>
              <w:t>Asset type</w:t>
            </w:r>
          </w:p>
        </w:tc>
        <w:tc>
          <w:tcPr>
            <w:tcW w:w="2515" w:type="dxa"/>
            <w:tcBorders>
              <w:top w:val="nil"/>
              <w:left w:val="nil"/>
              <w:bottom w:val="nil"/>
              <w:right w:val="nil"/>
            </w:tcBorders>
            <w:shd w:val="clear" w:color="000000" w:fill="FFFFFF"/>
            <w:vAlign w:val="bottom"/>
          </w:tcPr>
          <w:p w14:paraId="25EADFF4" w14:textId="77777777" w:rsidR="00F753E8" w:rsidRPr="008A0A4E" w:rsidRDefault="00F753E8" w:rsidP="006E1769">
            <w:pPr>
              <w:ind w:left="34"/>
              <w:jc w:val="center"/>
              <w:rPr>
                <w:rFonts w:ascii="Arial" w:hAnsi="Arial" w:cs="Arial"/>
                <w:b/>
                <w:bCs/>
                <w:color w:val="000000"/>
                <w:sz w:val="22"/>
                <w:szCs w:val="22"/>
              </w:rPr>
            </w:pPr>
            <w:r w:rsidRPr="008A0A4E">
              <w:rPr>
                <w:rFonts w:ascii="Arial" w:hAnsi="Arial" w:cs="Arial"/>
                <w:b/>
                <w:bCs/>
                <w:color w:val="000000"/>
                <w:sz w:val="22"/>
                <w:szCs w:val="22"/>
              </w:rPr>
              <w:t xml:space="preserve">Carrying amount as </w:t>
            </w:r>
            <w:proofErr w:type="gramStart"/>
            <w:r w:rsidRPr="008A0A4E">
              <w:rPr>
                <w:rFonts w:ascii="Arial" w:hAnsi="Arial" w:cs="Arial"/>
                <w:b/>
                <w:bCs/>
                <w:color w:val="000000"/>
                <w:sz w:val="22"/>
                <w:szCs w:val="22"/>
              </w:rPr>
              <w:t>at</w:t>
            </w:r>
            <w:proofErr w:type="gramEnd"/>
            <w:r w:rsidRPr="008A0A4E">
              <w:rPr>
                <w:rFonts w:ascii="Arial" w:hAnsi="Arial" w:cs="Arial"/>
                <w:b/>
                <w:bCs/>
                <w:color w:val="000000"/>
                <w:sz w:val="22"/>
                <w:szCs w:val="22"/>
              </w:rPr>
              <w:t xml:space="preserve"> 31 March 202</w:t>
            </w:r>
            <w:r>
              <w:rPr>
                <w:rFonts w:ascii="Arial" w:hAnsi="Arial" w:cs="Arial"/>
                <w:b/>
                <w:bCs/>
                <w:color w:val="000000"/>
                <w:sz w:val="22"/>
                <w:szCs w:val="22"/>
              </w:rPr>
              <w:t>2</w:t>
            </w:r>
          </w:p>
        </w:tc>
        <w:tc>
          <w:tcPr>
            <w:tcW w:w="3414" w:type="dxa"/>
            <w:gridSpan w:val="2"/>
            <w:tcBorders>
              <w:top w:val="nil"/>
              <w:left w:val="nil"/>
              <w:bottom w:val="nil"/>
              <w:right w:val="nil"/>
            </w:tcBorders>
            <w:shd w:val="clear" w:color="000000" w:fill="FFFFFF"/>
            <w:vAlign w:val="bottom"/>
          </w:tcPr>
          <w:p w14:paraId="3E9E5FC5" w14:textId="77777777" w:rsidR="00F753E8" w:rsidRPr="008A0A4E" w:rsidRDefault="00F753E8" w:rsidP="006E1769">
            <w:pPr>
              <w:ind w:left="-108"/>
              <w:jc w:val="center"/>
              <w:rPr>
                <w:rFonts w:ascii="Arial" w:hAnsi="Arial" w:cs="Arial"/>
                <w:b/>
                <w:bCs/>
                <w:color w:val="000000"/>
                <w:sz w:val="22"/>
                <w:szCs w:val="22"/>
              </w:rPr>
            </w:pPr>
            <w:r w:rsidRPr="008A0A4E">
              <w:rPr>
                <w:rFonts w:ascii="Arial" w:hAnsi="Arial" w:cs="Arial"/>
                <w:b/>
                <w:bCs/>
                <w:color w:val="000000"/>
                <w:sz w:val="22"/>
                <w:szCs w:val="22"/>
              </w:rPr>
              <w:t>Change in year in the net assets available to pay benefits</w:t>
            </w:r>
          </w:p>
        </w:tc>
      </w:tr>
      <w:tr w:rsidR="00F753E8" w:rsidRPr="00B64150" w14:paraId="6B514CFD" w14:textId="77777777" w:rsidTr="006E1769">
        <w:trPr>
          <w:trHeight w:val="275"/>
          <w:jc w:val="center"/>
        </w:trPr>
        <w:tc>
          <w:tcPr>
            <w:tcW w:w="2835" w:type="dxa"/>
            <w:tcBorders>
              <w:top w:val="nil"/>
              <w:left w:val="nil"/>
              <w:bottom w:val="nil"/>
              <w:right w:val="nil"/>
            </w:tcBorders>
            <w:shd w:val="clear" w:color="000000" w:fill="FFFFFF"/>
            <w:noWrap/>
            <w:vAlign w:val="bottom"/>
          </w:tcPr>
          <w:p w14:paraId="387B9F75" w14:textId="77777777" w:rsidR="00F753E8" w:rsidRPr="008A0A4E" w:rsidRDefault="00F753E8" w:rsidP="006E1769">
            <w:pPr>
              <w:ind w:left="-93"/>
              <w:rPr>
                <w:rFonts w:ascii="Arial" w:hAnsi="Arial" w:cs="Arial"/>
                <w:b/>
                <w:bCs/>
                <w:color w:val="000000"/>
                <w:sz w:val="22"/>
                <w:szCs w:val="22"/>
              </w:rPr>
            </w:pPr>
            <w:r w:rsidRPr="008A0A4E">
              <w:rPr>
                <w:rFonts w:ascii="Arial" w:hAnsi="Arial" w:cs="Arial"/>
                <w:b/>
                <w:bCs/>
                <w:color w:val="000000"/>
                <w:sz w:val="22"/>
                <w:szCs w:val="22"/>
              </w:rPr>
              <w:t> </w:t>
            </w:r>
          </w:p>
        </w:tc>
        <w:tc>
          <w:tcPr>
            <w:tcW w:w="2515" w:type="dxa"/>
            <w:tcBorders>
              <w:top w:val="nil"/>
              <w:left w:val="nil"/>
              <w:bottom w:val="nil"/>
              <w:right w:val="nil"/>
            </w:tcBorders>
            <w:shd w:val="clear" w:color="000000" w:fill="FFFFFF"/>
            <w:noWrap/>
            <w:vAlign w:val="bottom"/>
          </w:tcPr>
          <w:p w14:paraId="79A121E5" w14:textId="77777777" w:rsidR="00F753E8" w:rsidRPr="008A0A4E" w:rsidRDefault="00F753E8" w:rsidP="006E1769">
            <w:pPr>
              <w:ind w:left="426"/>
              <w:rPr>
                <w:rFonts w:ascii="Arial" w:hAnsi="Arial" w:cs="Arial"/>
                <w:b/>
                <w:bCs/>
                <w:color w:val="000000"/>
                <w:sz w:val="22"/>
                <w:szCs w:val="22"/>
              </w:rPr>
            </w:pPr>
            <w:r w:rsidRPr="008A0A4E">
              <w:rPr>
                <w:rFonts w:ascii="Arial" w:hAnsi="Arial" w:cs="Arial"/>
                <w:b/>
                <w:bCs/>
                <w:color w:val="000000"/>
                <w:sz w:val="22"/>
                <w:szCs w:val="22"/>
              </w:rPr>
              <w:t> </w:t>
            </w:r>
          </w:p>
        </w:tc>
        <w:tc>
          <w:tcPr>
            <w:tcW w:w="1856" w:type="dxa"/>
            <w:tcBorders>
              <w:top w:val="nil"/>
              <w:left w:val="nil"/>
              <w:bottom w:val="nil"/>
              <w:right w:val="nil"/>
            </w:tcBorders>
            <w:shd w:val="clear" w:color="000000" w:fill="FFFFFF"/>
            <w:noWrap/>
            <w:vAlign w:val="bottom"/>
          </w:tcPr>
          <w:p w14:paraId="359E3897" w14:textId="77777777" w:rsidR="00F753E8" w:rsidRPr="008A0A4E" w:rsidRDefault="00F753E8" w:rsidP="006E1769">
            <w:pPr>
              <w:ind w:left="-129"/>
              <w:jc w:val="center"/>
              <w:rPr>
                <w:rFonts w:ascii="Arial" w:hAnsi="Arial" w:cs="Arial"/>
                <w:b/>
                <w:bCs/>
                <w:color w:val="000000"/>
                <w:sz w:val="22"/>
                <w:szCs w:val="22"/>
              </w:rPr>
            </w:pPr>
            <w:r w:rsidRPr="008A0A4E">
              <w:rPr>
                <w:rFonts w:ascii="Arial" w:hAnsi="Arial" w:cs="Arial"/>
                <w:b/>
                <w:bCs/>
                <w:color w:val="000000"/>
                <w:sz w:val="22"/>
                <w:szCs w:val="22"/>
              </w:rPr>
              <w:t>+100 BPS</w:t>
            </w:r>
          </w:p>
        </w:tc>
        <w:tc>
          <w:tcPr>
            <w:tcW w:w="1558" w:type="dxa"/>
            <w:tcBorders>
              <w:top w:val="nil"/>
              <w:left w:val="nil"/>
              <w:bottom w:val="nil"/>
              <w:right w:val="nil"/>
            </w:tcBorders>
            <w:shd w:val="clear" w:color="000000" w:fill="FFFFFF"/>
            <w:noWrap/>
            <w:vAlign w:val="bottom"/>
          </w:tcPr>
          <w:p w14:paraId="11EDD000" w14:textId="77777777" w:rsidR="00F753E8" w:rsidRPr="008A0A4E" w:rsidRDefault="00F753E8" w:rsidP="006E1769">
            <w:pPr>
              <w:ind w:left="39"/>
              <w:jc w:val="center"/>
              <w:rPr>
                <w:rFonts w:ascii="Arial" w:hAnsi="Arial" w:cs="Arial"/>
                <w:b/>
                <w:bCs/>
                <w:color w:val="000000"/>
                <w:sz w:val="22"/>
                <w:szCs w:val="22"/>
              </w:rPr>
            </w:pPr>
            <w:r w:rsidRPr="008A0A4E">
              <w:rPr>
                <w:rFonts w:ascii="Arial" w:hAnsi="Arial" w:cs="Arial"/>
                <w:b/>
                <w:bCs/>
                <w:color w:val="000000"/>
                <w:sz w:val="22"/>
                <w:szCs w:val="22"/>
              </w:rPr>
              <w:t>-100 BPS</w:t>
            </w:r>
          </w:p>
        </w:tc>
      </w:tr>
      <w:tr w:rsidR="00F753E8" w:rsidRPr="00B64150" w14:paraId="2A188646" w14:textId="77777777" w:rsidTr="006E1769">
        <w:trPr>
          <w:trHeight w:val="263"/>
          <w:jc w:val="center"/>
        </w:trPr>
        <w:tc>
          <w:tcPr>
            <w:tcW w:w="2835" w:type="dxa"/>
            <w:tcBorders>
              <w:top w:val="nil"/>
              <w:left w:val="nil"/>
              <w:bottom w:val="nil"/>
              <w:right w:val="nil"/>
            </w:tcBorders>
            <w:shd w:val="clear" w:color="000000" w:fill="FFFFFF"/>
            <w:noWrap/>
            <w:vAlign w:val="bottom"/>
          </w:tcPr>
          <w:p w14:paraId="29038092" w14:textId="77777777" w:rsidR="00F753E8" w:rsidRPr="008A0A4E" w:rsidRDefault="00F753E8" w:rsidP="006E1769">
            <w:pPr>
              <w:ind w:left="-93"/>
              <w:rPr>
                <w:rFonts w:ascii="Arial" w:hAnsi="Arial" w:cs="Arial"/>
                <w:b/>
                <w:bCs/>
                <w:color w:val="000000"/>
                <w:sz w:val="22"/>
                <w:szCs w:val="22"/>
              </w:rPr>
            </w:pPr>
            <w:r w:rsidRPr="008A0A4E">
              <w:rPr>
                <w:rFonts w:ascii="Arial" w:hAnsi="Arial" w:cs="Arial"/>
                <w:b/>
                <w:bCs/>
                <w:color w:val="000000"/>
                <w:sz w:val="22"/>
                <w:szCs w:val="22"/>
              </w:rPr>
              <w:t> </w:t>
            </w:r>
          </w:p>
        </w:tc>
        <w:tc>
          <w:tcPr>
            <w:tcW w:w="2515" w:type="dxa"/>
            <w:tcBorders>
              <w:top w:val="nil"/>
              <w:left w:val="nil"/>
              <w:bottom w:val="nil"/>
              <w:right w:val="nil"/>
            </w:tcBorders>
            <w:shd w:val="clear" w:color="000000" w:fill="FFFFFF"/>
            <w:noWrap/>
          </w:tcPr>
          <w:p w14:paraId="066821DB" w14:textId="77777777" w:rsidR="00F753E8" w:rsidRPr="008A0A4E" w:rsidRDefault="00F753E8" w:rsidP="006E1769">
            <w:pPr>
              <w:ind w:left="426"/>
              <w:jc w:val="right"/>
              <w:rPr>
                <w:rFonts w:ascii="Arial" w:hAnsi="Arial" w:cs="Arial"/>
                <w:b/>
                <w:sz w:val="22"/>
                <w:szCs w:val="22"/>
              </w:rPr>
            </w:pPr>
            <w:r w:rsidRPr="008A0A4E">
              <w:rPr>
                <w:rFonts w:ascii="Arial" w:hAnsi="Arial" w:cs="Arial"/>
                <w:b/>
                <w:bCs/>
                <w:sz w:val="22"/>
                <w:szCs w:val="22"/>
              </w:rPr>
              <w:t>£000</w:t>
            </w:r>
          </w:p>
        </w:tc>
        <w:tc>
          <w:tcPr>
            <w:tcW w:w="1856" w:type="dxa"/>
            <w:tcBorders>
              <w:top w:val="nil"/>
              <w:left w:val="nil"/>
              <w:bottom w:val="nil"/>
              <w:right w:val="nil"/>
            </w:tcBorders>
            <w:shd w:val="clear" w:color="000000" w:fill="FFFFFF"/>
            <w:noWrap/>
          </w:tcPr>
          <w:p w14:paraId="63E7869A" w14:textId="77777777" w:rsidR="00F753E8" w:rsidRPr="008A0A4E" w:rsidRDefault="00F753E8" w:rsidP="006E1769">
            <w:pPr>
              <w:ind w:left="426"/>
              <w:jc w:val="right"/>
              <w:rPr>
                <w:rFonts w:ascii="Arial" w:hAnsi="Arial" w:cs="Arial"/>
                <w:b/>
                <w:sz w:val="22"/>
                <w:szCs w:val="22"/>
              </w:rPr>
            </w:pPr>
            <w:r w:rsidRPr="008A0A4E">
              <w:rPr>
                <w:rFonts w:ascii="Arial" w:hAnsi="Arial" w:cs="Arial"/>
                <w:b/>
                <w:bCs/>
                <w:sz w:val="22"/>
                <w:szCs w:val="22"/>
              </w:rPr>
              <w:t>£000</w:t>
            </w:r>
          </w:p>
        </w:tc>
        <w:tc>
          <w:tcPr>
            <w:tcW w:w="1558" w:type="dxa"/>
            <w:tcBorders>
              <w:top w:val="nil"/>
              <w:left w:val="nil"/>
              <w:bottom w:val="nil"/>
              <w:right w:val="nil"/>
            </w:tcBorders>
            <w:shd w:val="clear" w:color="000000" w:fill="FFFFFF"/>
            <w:noWrap/>
          </w:tcPr>
          <w:p w14:paraId="4423BD0D" w14:textId="77777777" w:rsidR="00F753E8" w:rsidRPr="008A0A4E" w:rsidRDefault="00F753E8" w:rsidP="006E1769">
            <w:pPr>
              <w:ind w:left="426"/>
              <w:jc w:val="right"/>
              <w:rPr>
                <w:rFonts w:ascii="Arial" w:hAnsi="Arial" w:cs="Arial"/>
                <w:b/>
                <w:sz w:val="22"/>
                <w:szCs w:val="22"/>
              </w:rPr>
            </w:pPr>
            <w:r w:rsidRPr="008A0A4E">
              <w:rPr>
                <w:rFonts w:ascii="Arial" w:hAnsi="Arial" w:cs="Arial"/>
                <w:b/>
                <w:bCs/>
                <w:sz w:val="22"/>
                <w:szCs w:val="22"/>
              </w:rPr>
              <w:t>£000</w:t>
            </w:r>
          </w:p>
        </w:tc>
      </w:tr>
      <w:tr w:rsidR="00F753E8" w:rsidRPr="00B64150" w14:paraId="554AD374" w14:textId="77777777" w:rsidTr="006E1769">
        <w:trPr>
          <w:trHeight w:val="275"/>
          <w:jc w:val="center"/>
        </w:trPr>
        <w:tc>
          <w:tcPr>
            <w:tcW w:w="2835" w:type="dxa"/>
            <w:tcBorders>
              <w:top w:val="nil"/>
              <w:left w:val="nil"/>
              <w:bottom w:val="nil"/>
              <w:right w:val="nil"/>
            </w:tcBorders>
            <w:shd w:val="clear" w:color="000000" w:fill="FFFFFF"/>
            <w:noWrap/>
            <w:vAlign w:val="bottom"/>
          </w:tcPr>
          <w:p w14:paraId="09E3EA26" w14:textId="77777777" w:rsidR="00F753E8" w:rsidRPr="008A0A4E" w:rsidRDefault="00F753E8" w:rsidP="006E1769">
            <w:pPr>
              <w:ind w:left="-93"/>
              <w:rPr>
                <w:rFonts w:ascii="Arial" w:hAnsi="Arial" w:cs="Arial"/>
                <w:b/>
                <w:color w:val="000000"/>
                <w:sz w:val="22"/>
                <w:szCs w:val="22"/>
              </w:rPr>
            </w:pPr>
            <w:r w:rsidRPr="008A0A4E">
              <w:rPr>
                <w:rFonts w:ascii="Arial" w:hAnsi="Arial" w:cs="Arial"/>
                <w:b/>
                <w:color w:val="000000"/>
                <w:sz w:val="22"/>
                <w:szCs w:val="22"/>
              </w:rPr>
              <w:t>Cash and cash equivalent</w:t>
            </w:r>
          </w:p>
        </w:tc>
        <w:tc>
          <w:tcPr>
            <w:tcW w:w="2515" w:type="dxa"/>
            <w:tcBorders>
              <w:top w:val="nil"/>
              <w:left w:val="nil"/>
              <w:bottom w:val="nil"/>
              <w:right w:val="nil"/>
            </w:tcBorders>
            <w:shd w:val="clear" w:color="000000" w:fill="FFFFFF"/>
            <w:noWrap/>
            <w:vAlign w:val="center"/>
          </w:tcPr>
          <w:p w14:paraId="079A688F" w14:textId="77777777" w:rsidR="00F753E8" w:rsidRPr="00980C56" w:rsidRDefault="00F753E8" w:rsidP="006E1769">
            <w:pPr>
              <w:jc w:val="right"/>
              <w:rPr>
                <w:rFonts w:ascii="Arial" w:hAnsi="Arial" w:cs="Arial"/>
                <w:b/>
                <w:bCs/>
                <w:sz w:val="22"/>
                <w:szCs w:val="22"/>
              </w:rPr>
            </w:pPr>
            <w:r w:rsidRPr="00980C56">
              <w:rPr>
                <w:rFonts w:ascii="Arial" w:hAnsi="Arial" w:cs="Arial"/>
                <w:b/>
                <w:bCs/>
                <w:color w:val="000000"/>
                <w:sz w:val="22"/>
                <w:szCs w:val="22"/>
              </w:rPr>
              <w:t>13,816</w:t>
            </w:r>
          </w:p>
        </w:tc>
        <w:tc>
          <w:tcPr>
            <w:tcW w:w="1856" w:type="dxa"/>
            <w:tcBorders>
              <w:top w:val="nil"/>
              <w:left w:val="nil"/>
              <w:bottom w:val="nil"/>
              <w:right w:val="nil"/>
            </w:tcBorders>
            <w:shd w:val="clear" w:color="000000" w:fill="FFFFFF"/>
            <w:noWrap/>
            <w:vAlign w:val="center"/>
          </w:tcPr>
          <w:p w14:paraId="49A9E4A1" w14:textId="77777777" w:rsidR="00F753E8" w:rsidRPr="00980C56" w:rsidRDefault="00F753E8" w:rsidP="006E1769">
            <w:pPr>
              <w:jc w:val="right"/>
              <w:rPr>
                <w:rFonts w:ascii="Arial" w:hAnsi="Arial" w:cs="Arial"/>
                <w:b/>
                <w:bCs/>
                <w:sz w:val="22"/>
                <w:szCs w:val="22"/>
              </w:rPr>
            </w:pPr>
            <w:r w:rsidRPr="00980C56">
              <w:rPr>
                <w:rFonts w:ascii="Arial" w:hAnsi="Arial" w:cs="Arial"/>
                <w:b/>
                <w:bCs/>
                <w:color w:val="000000"/>
                <w:sz w:val="22"/>
                <w:szCs w:val="22"/>
              </w:rPr>
              <w:t>138</w:t>
            </w:r>
          </w:p>
        </w:tc>
        <w:tc>
          <w:tcPr>
            <w:tcW w:w="1558" w:type="dxa"/>
            <w:tcBorders>
              <w:top w:val="nil"/>
              <w:left w:val="nil"/>
              <w:bottom w:val="nil"/>
              <w:right w:val="nil"/>
            </w:tcBorders>
            <w:shd w:val="clear" w:color="000000" w:fill="FFFFFF"/>
            <w:noWrap/>
            <w:vAlign w:val="center"/>
          </w:tcPr>
          <w:p w14:paraId="15B4D48D" w14:textId="77777777" w:rsidR="00F753E8" w:rsidRPr="00980C56" w:rsidRDefault="00F753E8" w:rsidP="006E1769">
            <w:pPr>
              <w:jc w:val="right"/>
              <w:rPr>
                <w:rFonts w:ascii="Arial" w:hAnsi="Arial" w:cs="Arial"/>
                <w:b/>
                <w:bCs/>
                <w:sz w:val="22"/>
                <w:szCs w:val="22"/>
              </w:rPr>
            </w:pPr>
            <w:r>
              <w:rPr>
                <w:rFonts w:ascii="Arial" w:hAnsi="Arial" w:cs="Arial"/>
                <w:b/>
                <w:bCs/>
                <w:color w:val="000000"/>
                <w:sz w:val="22"/>
                <w:szCs w:val="22"/>
              </w:rPr>
              <w:t>(</w:t>
            </w:r>
            <w:r w:rsidRPr="00980C56">
              <w:rPr>
                <w:rFonts w:ascii="Arial" w:hAnsi="Arial" w:cs="Arial"/>
                <w:b/>
                <w:bCs/>
                <w:color w:val="000000"/>
                <w:sz w:val="22"/>
                <w:szCs w:val="22"/>
              </w:rPr>
              <w:t>138</w:t>
            </w:r>
            <w:r>
              <w:rPr>
                <w:rFonts w:ascii="Arial" w:hAnsi="Arial" w:cs="Arial"/>
                <w:b/>
                <w:bCs/>
                <w:color w:val="000000"/>
                <w:sz w:val="22"/>
                <w:szCs w:val="22"/>
              </w:rPr>
              <w:t>)</w:t>
            </w:r>
          </w:p>
        </w:tc>
      </w:tr>
      <w:tr w:rsidR="00F753E8" w:rsidRPr="00B64150" w14:paraId="3B7DBB45" w14:textId="77777777" w:rsidTr="006E1769">
        <w:trPr>
          <w:trHeight w:val="275"/>
          <w:jc w:val="center"/>
        </w:trPr>
        <w:tc>
          <w:tcPr>
            <w:tcW w:w="2835" w:type="dxa"/>
            <w:tcBorders>
              <w:top w:val="nil"/>
              <w:left w:val="nil"/>
              <w:bottom w:val="nil"/>
              <w:right w:val="nil"/>
            </w:tcBorders>
            <w:shd w:val="clear" w:color="000000" w:fill="FFFFFF"/>
            <w:noWrap/>
            <w:vAlign w:val="bottom"/>
          </w:tcPr>
          <w:p w14:paraId="329EE5C1" w14:textId="77777777" w:rsidR="00F753E8" w:rsidRPr="008A0A4E" w:rsidRDefault="00F753E8" w:rsidP="006E1769">
            <w:pPr>
              <w:ind w:left="-93"/>
              <w:rPr>
                <w:rFonts w:ascii="Arial" w:hAnsi="Arial" w:cs="Arial"/>
                <w:b/>
                <w:color w:val="000000"/>
                <w:sz w:val="22"/>
                <w:szCs w:val="22"/>
              </w:rPr>
            </w:pPr>
            <w:r w:rsidRPr="008A0A4E">
              <w:rPr>
                <w:rFonts w:ascii="Arial" w:hAnsi="Arial" w:cs="Arial"/>
                <w:b/>
                <w:color w:val="000000"/>
                <w:sz w:val="22"/>
                <w:szCs w:val="22"/>
              </w:rPr>
              <w:t>Fixed interest securities</w:t>
            </w:r>
          </w:p>
        </w:tc>
        <w:tc>
          <w:tcPr>
            <w:tcW w:w="2515" w:type="dxa"/>
            <w:tcBorders>
              <w:top w:val="nil"/>
              <w:left w:val="nil"/>
              <w:bottom w:val="single" w:sz="8" w:space="0" w:color="auto"/>
              <w:right w:val="nil"/>
            </w:tcBorders>
            <w:shd w:val="clear" w:color="000000" w:fill="FFFFFF"/>
            <w:noWrap/>
            <w:vAlign w:val="center"/>
          </w:tcPr>
          <w:p w14:paraId="14E0E413" w14:textId="77777777" w:rsidR="00F753E8" w:rsidRPr="00980C56" w:rsidRDefault="00F753E8" w:rsidP="006E1769">
            <w:pPr>
              <w:jc w:val="right"/>
              <w:rPr>
                <w:rFonts w:ascii="Arial" w:hAnsi="Arial" w:cs="Arial"/>
                <w:b/>
                <w:bCs/>
                <w:sz w:val="22"/>
                <w:szCs w:val="22"/>
              </w:rPr>
            </w:pPr>
            <w:r w:rsidRPr="00980C56">
              <w:rPr>
                <w:rFonts w:ascii="Arial" w:hAnsi="Arial" w:cs="Arial"/>
                <w:b/>
                <w:bCs/>
                <w:color w:val="000000"/>
                <w:sz w:val="22"/>
                <w:szCs w:val="22"/>
              </w:rPr>
              <w:t>113,364</w:t>
            </w:r>
          </w:p>
        </w:tc>
        <w:tc>
          <w:tcPr>
            <w:tcW w:w="1856" w:type="dxa"/>
            <w:tcBorders>
              <w:top w:val="nil"/>
              <w:left w:val="nil"/>
              <w:bottom w:val="single" w:sz="8" w:space="0" w:color="auto"/>
              <w:right w:val="nil"/>
            </w:tcBorders>
            <w:shd w:val="clear" w:color="000000" w:fill="FFFFFF"/>
            <w:noWrap/>
            <w:vAlign w:val="center"/>
          </w:tcPr>
          <w:p w14:paraId="129A60E8" w14:textId="77777777" w:rsidR="00F753E8" w:rsidRPr="00980C56" w:rsidRDefault="00F753E8" w:rsidP="006E1769">
            <w:pPr>
              <w:jc w:val="right"/>
              <w:rPr>
                <w:rFonts w:ascii="Arial" w:hAnsi="Arial" w:cs="Arial"/>
                <w:b/>
                <w:bCs/>
                <w:sz w:val="22"/>
                <w:szCs w:val="22"/>
              </w:rPr>
            </w:pPr>
            <w:r w:rsidRPr="00980C56">
              <w:rPr>
                <w:rFonts w:ascii="Arial" w:hAnsi="Arial" w:cs="Arial"/>
                <w:b/>
                <w:bCs/>
                <w:color w:val="000000"/>
                <w:sz w:val="22"/>
                <w:szCs w:val="22"/>
              </w:rPr>
              <w:t>1,134</w:t>
            </w:r>
          </w:p>
        </w:tc>
        <w:tc>
          <w:tcPr>
            <w:tcW w:w="1558" w:type="dxa"/>
            <w:tcBorders>
              <w:top w:val="nil"/>
              <w:left w:val="nil"/>
              <w:bottom w:val="single" w:sz="8" w:space="0" w:color="auto"/>
              <w:right w:val="nil"/>
            </w:tcBorders>
            <w:shd w:val="clear" w:color="000000" w:fill="FFFFFF"/>
            <w:noWrap/>
            <w:vAlign w:val="center"/>
          </w:tcPr>
          <w:p w14:paraId="47845A01" w14:textId="77777777" w:rsidR="00F753E8" w:rsidRPr="00980C56" w:rsidRDefault="00F753E8" w:rsidP="006E1769">
            <w:pPr>
              <w:jc w:val="right"/>
              <w:rPr>
                <w:rFonts w:ascii="Arial" w:hAnsi="Arial" w:cs="Arial"/>
                <w:b/>
                <w:bCs/>
                <w:sz w:val="22"/>
                <w:szCs w:val="22"/>
              </w:rPr>
            </w:pPr>
            <w:r>
              <w:rPr>
                <w:rFonts w:ascii="Arial" w:hAnsi="Arial" w:cs="Arial"/>
                <w:b/>
                <w:bCs/>
                <w:color w:val="000000"/>
                <w:sz w:val="22"/>
                <w:szCs w:val="22"/>
              </w:rPr>
              <w:t>(</w:t>
            </w:r>
            <w:r w:rsidRPr="00980C56">
              <w:rPr>
                <w:rFonts w:ascii="Arial" w:hAnsi="Arial" w:cs="Arial"/>
                <w:b/>
                <w:bCs/>
                <w:color w:val="000000"/>
                <w:sz w:val="22"/>
                <w:szCs w:val="22"/>
              </w:rPr>
              <w:t>1,134</w:t>
            </w:r>
            <w:r>
              <w:rPr>
                <w:rFonts w:ascii="Arial" w:hAnsi="Arial" w:cs="Arial"/>
                <w:b/>
                <w:bCs/>
                <w:color w:val="000000"/>
                <w:sz w:val="22"/>
                <w:szCs w:val="22"/>
              </w:rPr>
              <w:t>)</w:t>
            </w:r>
          </w:p>
        </w:tc>
      </w:tr>
      <w:tr w:rsidR="00F753E8" w:rsidRPr="00B64150" w14:paraId="4B489EB2" w14:textId="77777777" w:rsidTr="006E1769">
        <w:trPr>
          <w:trHeight w:val="275"/>
          <w:jc w:val="center"/>
        </w:trPr>
        <w:tc>
          <w:tcPr>
            <w:tcW w:w="2835" w:type="dxa"/>
            <w:tcBorders>
              <w:top w:val="nil"/>
              <w:left w:val="nil"/>
              <w:bottom w:val="nil"/>
              <w:right w:val="nil"/>
            </w:tcBorders>
            <w:shd w:val="clear" w:color="000000" w:fill="FFFFFF"/>
            <w:noWrap/>
            <w:vAlign w:val="bottom"/>
          </w:tcPr>
          <w:p w14:paraId="618616EA" w14:textId="77777777" w:rsidR="00F753E8" w:rsidRPr="008A0A4E" w:rsidRDefault="00F753E8" w:rsidP="006E1769">
            <w:pPr>
              <w:ind w:left="-93"/>
              <w:rPr>
                <w:rFonts w:ascii="Arial" w:hAnsi="Arial" w:cs="Arial"/>
                <w:b/>
                <w:bCs/>
                <w:color w:val="000000"/>
                <w:sz w:val="22"/>
                <w:szCs w:val="22"/>
              </w:rPr>
            </w:pPr>
            <w:r w:rsidRPr="008A0A4E">
              <w:rPr>
                <w:rFonts w:ascii="Arial" w:hAnsi="Arial" w:cs="Arial"/>
                <w:b/>
                <w:bCs/>
                <w:color w:val="000000"/>
                <w:sz w:val="22"/>
                <w:szCs w:val="22"/>
              </w:rPr>
              <w:t>Total</w:t>
            </w:r>
          </w:p>
        </w:tc>
        <w:tc>
          <w:tcPr>
            <w:tcW w:w="2515" w:type="dxa"/>
            <w:tcBorders>
              <w:top w:val="nil"/>
              <w:left w:val="nil"/>
              <w:bottom w:val="single" w:sz="8" w:space="0" w:color="auto"/>
              <w:right w:val="nil"/>
            </w:tcBorders>
            <w:shd w:val="clear" w:color="000000" w:fill="FFFFFF"/>
            <w:noWrap/>
            <w:vAlign w:val="center"/>
          </w:tcPr>
          <w:p w14:paraId="7029E878" w14:textId="77777777" w:rsidR="00F753E8" w:rsidRPr="00980C56" w:rsidRDefault="00F753E8" w:rsidP="006E1769">
            <w:pPr>
              <w:jc w:val="right"/>
              <w:rPr>
                <w:rFonts w:ascii="Arial" w:hAnsi="Arial" w:cs="Arial"/>
                <w:b/>
                <w:bCs/>
                <w:sz w:val="22"/>
                <w:szCs w:val="22"/>
              </w:rPr>
            </w:pPr>
            <w:r w:rsidRPr="00980C56">
              <w:rPr>
                <w:rFonts w:ascii="Arial" w:hAnsi="Arial" w:cs="Arial"/>
                <w:b/>
                <w:bCs/>
                <w:color w:val="000000"/>
                <w:sz w:val="22"/>
                <w:szCs w:val="22"/>
              </w:rPr>
              <w:t>127,180</w:t>
            </w:r>
          </w:p>
        </w:tc>
        <w:tc>
          <w:tcPr>
            <w:tcW w:w="1856" w:type="dxa"/>
            <w:tcBorders>
              <w:top w:val="nil"/>
              <w:left w:val="nil"/>
              <w:bottom w:val="single" w:sz="8" w:space="0" w:color="auto"/>
              <w:right w:val="nil"/>
            </w:tcBorders>
            <w:shd w:val="clear" w:color="000000" w:fill="FFFFFF"/>
            <w:noWrap/>
            <w:vAlign w:val="center"/>
          </w:tcPr>
          <w:p w14:paraId="12C83F27" w14:textId="77777777" w:rsidR="00F753E8" w:rsidRPr="00980C56" w:rsidRDefault="00F753E8" w:rsidP="006E1769">
            <w:pPr>
              <w:jc w:val="right"/>
              <w:rPr>
                <w:rFonts w:ascii="Arial" w:hAnsi="Arial" w:cs="Arial"/>
                <w:b/>
                <w:bCs/>
                <w:sz w:val="22"/>
                <w:szCs w:val="22"/>
              </w:rPr>
            </w:pPr>
            <w:r w:rsidRPr="00980C56">
              <w:rPr>
                <w:rFonts w:ascii="Arial" w:hAnsi="Arial" w:cs="Arial"/>
                <w:b/>
                <w:bCs/>
                <w:color w:val="000000"/>
                <w:sz w:val="22"/>
                <w:szCs w:val="22"/>
              </w:rPr>
              <w:t>1,272</w:t>
            </w:r>
          </w:p>
        </w:tc>
        <w:tc>
          <w:tcPr>
            <w:tcW w:w="1558" w:type="dxa"/>
            <w:tcBorders>
              <w:top w:val="nil"/>
              <w:left w:val="nil"/>
              <w:bottom w:val="single" w:sz="8" w:space="0" w:color="auto"/>
              <w:right w:val="nil"/>
            </w:tcBorders>
            <w:shd w:val="clear" w:color="000000" w:fill="FFFFFF"/>
            <w:noWrap/>
            <w:vAlign w:val="center"/>
          </w:tcPr>
          <w:p w14:paraId="272B82E0" w14:textId="77777777" w:rsidR="00F753E8" w:rsidRPr="00980C56" w:rsidRDefault="00F753E8" w:rsidP="006E1769">
            <w:pPr>
              <w:jc w:val="right"/>
              <w:rPr>
                <w:rFonts w:ascii="Arial" w:hAnsi="Arial" w:cs="Arial"/>
                <w:b/>
                <w:bCs/>
                <w:sz w:val="22"/>
                <w:szCs w:val="22"/>
              </w:rPr>
            </w:pPr>
            <w:r>
              <w:rPr>
                <w:rFonts w:ascii="Arial" w:hAnsi="Arial" w:cs="Arial"/>
                <w:b/>
                <w:bCs/>
                <w:color w:val="000000"/>
                <w:sz w:val="22"/>
                <w:szCs w:val="22"/>
              </w:rPr>
              <w:t>(</w:t>
            </w:r>
            <w:r w:rsidRPr="00980C56">
              <w:rPr>
                <w:rFonts w:ascii="Arial" w:hAnsi="Arial" w:cs="Arial"/>
                <w:b/>
                <w:bCs/>
                <w:color w:val="000000"/>
                <w:sz w:val="22"/>
                <w:szCs w:val="22"/>
              </w:rPr>
              <w:t>1,272</w:t>
            </w:r>
            <w:r>
              <w:rPr>
                <w:rFonts w:ascii="Arial" w:hAnsi="Arial" w:cs="Arial"/>
                <w:b/>
                <w:bCs/>
                <w:color w:val="000000"/>
                <w:sz w:val="22"/>
                <w:szCs w:val="22"/>
              </w:rPr>
              <w:t>)</w:t>
            </w:r>
          </w:p>
        </w:tc>
      </w:tr>
    </w:tbl>
    <w:p w14:paraId="3BFCEBE7" w14:textId="77777777" w:rsidR="00F753E8" w:rsidRDefault="00F753E8" w:rsidP="00F753E8">
      <w:pPr>
        <w:jc w:val="both"/>
        <w:rPr>
          <w:rFonts w:ascii="Arial" w:hAnsi="Arial" w:cs="Arial"/>
          <w:b/>
          <w:sz w:val="22"/>
          <w:szCs w:val="22"/>
        </w:rPr>
      </w:pPr>
    </w:p>
    <w:p w14:paraId="70F2E391" w14:textId="77777777" w:rsidR="00F753E8" w:rsidRPr="008A0A4E" w:rsidRDefault="00F753E8" w:rsidP="00F753E8">
      <w:pPr>
        <w:jc w:val="both"/>
        <w:rPr>
          <w:rFonts w:ascii="Arial" w:hAnsi="Arial" w:cs="Arial"/>
          <w:b/>
          <w:sz w:val="22"/>
          <w:szCs w:val="22"/>
        </w:rPr>
      </w:pPr>
    </w:p>
    <w:tbl>
      <w:tblPr>
        <w:tblW w:w="8731" w:type="dxa"/>
        <w:jc w:val="center"/>
        <w:tblLook w:val="00A0" w:firstRow="1" w:lastRow="0" w:firstColumn="1" w:lastColumn="0" w:noHBand="0" w:noVBand="0"/>
      </w:tblPr>
      <w:tblGrid>
        <w:gridCol w:w="2679"/>
        <w:gridCol w:w="2679"/>
        <w:gridCol w:w="1835"/>
        <w:gridCol w:w="1538"/>
      </w:tblGrid>
      <w:tr w:rsidR="00F753E8" w:rsidRPr="00B64150" w14:paraId="4FF3F712" w14:textId="77777777" w:rsidTr="006E1769">
        <w:trPr>
          <w:trHeight w:val="264"/>
          <w:jc w:val="center"/>
        </w:trPr>
        <w:tc>
          <w:tcPr>
            <w:tcW w:w="2679" w:type="dxa"/>
            <w:tcBorders>
              <w:top w:val="nil"/>
              <w:left w:val="nil"/>
              <w:bottom w:val="nil"/>
              <w:right w:val="nil"/>
            </w:tcBorders>
            <w:shd w:val="clear" w:color="000000" w:fill="FFFFFF"/>
            <w:noWrap/>
            <w:vAlign w:val="bottom"/>
          </w:tcPr>
          <w:p w14:paraId="31112C09" w14:textId="77777777" w:rsidR="00F753E8" w:rsidRPr="008A0A4E" w:rsidRDefault="00F753E8" w:rsidP="006E1769">
            <w:pPr>
              <w:ind w:left="-93"/>
              <w:jc w:val="center"/>
              <w:rPr>
                <w:rFonts w:ascii="Arial" w:hAnsi="Arial" w:cs="Arial"/>
                <w:bCs/>
                <w:color w:val="000000"/>
                <w:sz w:val="22"/>
                <w:szCs w:val="22"/>
              </w:rPr>
            </w:pPr>
            <w:r w:rsidRPr="008A0A4E">
              <w:rPr>
                <w:rFonts w:ascii="Arial" w:hAnsi="Arial" w:cs="Arial"/>
                <w:bCs/>
                <w:color w:val="000000"/>
                <w:sz w:val="22"/>
                <w:szCs w:val="22"/>
              </w:rPr>
              <w:t>Asset type</w:t>
            </w:r>
          </w:p>
        </w:tc>
        <w:tc>
          <w:tcPr>
            <w:tcW w:w="2679" w:type="dxa"/>
            <w:tcBorders>
              <w:top w:val="nil"/>
              <w:left w:val="nil"/>
              <w:bottom w:val="nil"/>
              <w:right w:val="nil"/>
            </w:tcBorders>
            <w:shd w:val="clear" w:color="000000" w:fill="FFFFFF"/>
            <w:vAlign w:val="bottom"/>
          </w:tcPr>
          <w:p w14:paraId="7AD32092" w14:textId="77777777" w:rsidR="00F753E8" w:rsidRPr="008A0A4E" w:rsidRDefault="00F753E8" w:rsidP="006E1769">
            <w:pPr>
              <w:ind w:left="34"/>
              <w:jc w:val="center"/>
              <w:rPr>
                <w:rFonts w:ascii="Arial" w:hAnsi="Arial" w:cs="Arial"/>
                <w:bCs/>
                <w:color w:val="000000"/>
                <w:sz w:val="22"/>
                <w:szCs w:val="22"/>
              </w:rPr>
            </w:pPr>
            <w:r w:rsidRPr="008A0A4E">
              <w:rPr>
                <w:rFonts w:ascii="Arial" w:hAnsi="Arial" w:cs="Arial"/>
                <w:bCs/>
                <w:color w:val="000000"/>
                <w:sz w:val="22"/>
                <w:szCs w:val="22"/>
              </w:rPr>
              <w:t xml:space="preserve">Carrying amount as </w:t>
            </w:r>
            <w:proofErr w:type="gramStart"/>
            <w:r w:rsidRPr="008A0A4E">
              <w:rPr>
                <w:rFonts w:ascii="Arial" w:hAnsi="Arial" w:cs="Arial"/>
                <w:bCs/>
                <w:color w:val="000000"/>
                <w:sz w:val="22"/>
                <w:szCs w:val="22"/>
              </w:rPr>
              <w:t>at</w:t>
            </w:r>
            <w:proofErr w:type="gramEnd"/>
            <w:r w:rsidRPr="008A0A4E">
              <w:rPr>
                <w:rFonts w:ascii="Arial" w:hAnsi="Arial" w:cs="Arial"/>
                <w:bCs/>
                <w:color w:val="000000"/>
                <w:sz w:val="22"/>
                <w:szCs w:val="22"/>
              </w:rPr>
              <w:t xml:space="preserve"> 31 March 20</w:t>
            </w:r>
            <w:r>
              <w:rPr>
                <w:rFonts w:ascii="Arial" w:hAnsi="Arial" w:cs="Arial"/>
                <w:bCs/>
                <w:color w:val="000000"/>
                <w:sz w:val="22"/>
                <w:szCs w:val="22"/>
              </w:rPr>
              <w:t>21</w:t>
            </w:r>
          </w:p>
        </w:tc>
        <w:tc>
          <w:tcPr>
            <w:tcW w:w="3373" w:type="dxa"/>
            <w:gridSpan w:val="2"/>
            <w:tcBorders>
              <w:top w:val="nil"/>
              <w:left w:val="nil"/>
              <w:bottom w:val="nil"/>
              <w:right w:val="nil"/>
            </w:tcBorders>
            <w:shd w:val="clear" w:color="000000" w:fill="FFFFFF"/>
            <w:vAlign w:val="bottom"/>
          </w:tcPr>
          <w:p w14:paraId="10956FF0" w14:textId="77777777" w:rsidR="00F753E8" w:rsidRPr="008A0A4E" w:rsidRDefault="00F753E8" w:rsidP="006E1769">
            <w:pPr>
              <w:ind w:left="34"/>
              <w:jc w:val="center"/>
              <w:rPr>
                <w:rFonts w:ascii="Arial" w:hAnsi="Arial" w:cs="Arial"/>
                <w:bCs/>
                <w:color w:val="000000"/>
                <w:sz w:val="22"/>
                <w:szCs w:val="22"/>
              </w:rPr>
            </w:pPr>
            <w:r w:rsidRPr="008A0A4E">
              <w:rPr>
                <w:rFonts w:ascii="Arial" w:hAnsi="Arial" w:cs="Arial"/>
                <w:bCs/>
                <w:color w:val="000000"/>
                <w:sz w:val="22"/>
                <w:szCs w:val="22"/>
              </w:rPr>
              <w:t>Change in year in the net assets available to pay benefits</w:t>
            </w:r>
          </w:p>
        </w:tc>
      </w:tr>
      <w:tr w:rsidR="00F753E8" w:rsidRPr="00B64150" w14:paraId="40EBA3B2" w14:textId="77777777" w:rsidTr="006E1769">
        <w:trPr>
          <w:trHeight w:val="111"/>
          <w:jc w:val="center"/>
        </w:trPr>
        <w:tc>
          <w:tcPr>
            <w:tcW w:w="2679" w:type="dxa"/>
            <w:tcBorders>
              <w:top w:val="nil"/>
              <w:left w:val="nil"/>
              <w:bottom w:val="nil"/>
              <w:right w:val="nil"/>
            </w:tcBorders>
            <w:shd w:val="clear" w:color="000000" w:fill="FFFFFF"/>
            <w:noWrap/>
            <w:vAlign w:val="bottom"/>
          </w:tcPr>
          <w:p w14:paraId="5D5A3FCF" w14:textId="77777777" w:rsidR="00F753E8" w:rsidRPr="008A0A4E" w:rsidRDefault="00F753E8" w:rsidP="006E1769">
            <w:pPr>
              <w:ind w:left="-93"/>
              <w:rPr>
                <w:rFonts w:ascii="Arial" w:hAnsi="Arial" w:cs="Arial"/>
                <w:bCs/>
                <w:color w:val="000000"/>
                <w:sz w:val="22"/>
                <w:szCs w:val="22"/>
              </w:rPr>
            </w:pPr>
            <w:r w:rsidRPr="008A0A4E">
              <w:rPr>
                <w:rFonts w:ascii="Arial" w:hAnsi="Arial" w:cs="Arial"/>
                <w:bCs/>
                <w:color w:val="000000"/>
                <w:sz w:val="22"/>
                <w:szCs w:val="22"/>
              </w:rPr>
              <w:t> </w:t>
            </w:r>
          </w:p>
        </w:tc>
        <w:tc>
          <w:tcPr>
            <w:tcW w:w="2679" w:type="dxa"/>
            <w:tcBorders>
              <w:top w:val="nil"/>
              <w:left w:val="nil"/>
              <w:bottom w:val="nil"/>
              <w:right w:val="nil"/>
            </w:tcBorders>
            <w:shd w:val="clear" w:color="000000" w:fill="FFFFFF"/>
            <w:noWrap/>
            <w:vAlign w:val="bottom"/>
          </w:tcPr>
          <w:p w14:paraId="6A4ED2F8" w14:textId="77777777" w:rsidR="00F753E8" w:rsidRPr="008A0A4E" w:rsidRDefault="00F753E8" w:rsidP="006E1769">
            <w:pPr>
              <w:ind w:left="34"/>
              <w:rPr>
                <w:rFonts w:ascii="Arial" w:hAnsi="Arial" w:cs="Arial"/>
                <w:bCs/>
                <w:color w:val="000000"/>
                <w:sz w:val="22"/>
                <w:szCs w:val="22"/>
              </w:rPr>
            </w:pPr>
            <w:r w:rsidRPr="008A0A4E">
              <w:rPr>
                <w:rFonts w:ascii="Arial" w:hAnsi="Arial" w:cs="Arial"/>
                <w:bCs/>
                <w:color w:val="000000"/>
                <w:sz w:val="22"/>
                <w:szCs w:val="22"/>
              </w:rPr>
              <w:t> </w:t>
            </w:r>
          </w:p>
        </w:tc>
        <w:tc>
          <w:tcPr>
            <w:tcW w:w="1835" w:type="dxa"/>
            <w:tcBorders>
              <w:top w:val="nil"/>
              <w:left w:val="nil"/>
              <w:bottom w:val="nil"/>
              <w:right w:val="nil"/>
            </w:tcBorders>
            <w:shd w:val="clear" w:color="000000" w:fill="FFFFFF"/>
            <w:noWrap/>
            <w:vAlign w:val="bottom"/>
          </w:tcPr>
          <w:p w14:paraId="6D006E13" w14:textId="77777777" w:rsidR="00F753E8" w:rsidRPr="008A0A4E" w:rsidRDefault="00F753E8" w:rsidP="006E1769">
            <w:pPr>
              <w:ind w:left="34"/>
              <w:jc w:val="center"/>
              <w:rPr>
                <w:rFonts w:ascii="Arial" w:hAnsi="Arial" w:cs="Arial"/>
                <w:bCs/>
                <w:color w:val="000000"/>
                <w:sz w:val="22"/>
                <w:szCs w:val="22"/>
              </w:rPr>
            </w:pPr>
            <w:r w:rsidRPr="008A0A4E">
              <w:rPr>
                <w:rFonts w:ascii="Arial" w:hAnsi="Arial" w:cs="Arial"/>
                <w:bCs/>
                <w:color w:val="000000"/>
                <w:sz w:val="22"/>
                <w:szCs w:val="22"/>
              </w:rPr>
              <w:t>+100 BPS</w:t>
            </w:r>
          </w:p>
        </w:tc>
        <w:tc>
          <w:tcPr>
            <w:tcW w:w="1538" w:type="dxa"/>
            <w:tcBorders>
              <w:top w:val="nil"/>
              <w:left w:val="nil"/>
              <w:bottom w:val="nil"/>
              <w:right w:val="nil"/>
            </w:tcBorders>
            <w:shd w:val="clear" w:color="000000" w:fill="FFFFFF"/>
            <w:noWrap/>
            <w:vAlign w:val="bottom"/>
          </w:tcPr>
          <w:p w14:paraId="448BC404" w14:textId="77777777" w:rsidR="00F753E8" w:rsidRPr="008A0A4E" w:rsidRDefault="00F753E8" w:rsidP="006E1769">
            <w:pPr>
              <w:ind w:left="34"/>
              <w:jc w:val="center"/>
              <w:rPr>
                <w:rFonts w:ascii="Arial" w:hAnsi="Arial" w:cs="Arial"/>
                <w:bCs/>
                <w:color w:val="000000"/>
                <w:sz w:val="22"/>
                <w:szCs w:val="22"/>
              </w:rPr>
            </w:pPr>
            <w:r w:rsidRPr="008A0A4E">
              <w:rPr>
                <w:rFonts w:ascii="Arial" w:hAnsi="Arial" w:cs="Arial"/>
                <w:bCs/>
                <w:color w:val="000000"/>
                <w:sz w:val="22"/>
                <w:szCs w:val="22"/>
              </w:rPr>
              <w:t>-100 BPS</w:t>
            </w:r>
          </w:p>
        </w:tc>
      </w:tr>
      <w:tr w:rsidR="00F753E8" w:rsidRPr="00B64150" w14:paraId="332E5E01" w14:textId="77777777" w:rsidTr="006E1769">
        <w:trPr>
          <w:trHeight w:val="111"/>
          <w:jc w:val="center"/>
        </w:trPr>
        <w:tc>
          <w:tcPr>
            <w:tcW w:w="2679" w:type="dxa"/>
            <w:tcBorders>
              <w:top w:val="nil"/>
              <w:left w:val="nil"/>
              <w:bottom w:val="nil"/>
              <w:right w:val="nil"/>
            </w:tcBorders>
            <w:shd w:val="clear" w:color="000000" w:fill="FFFFFF"/>
            <w:noWrap/>
            <w:vAlign w:val="bottom"/>
          </w:tcPr>
          <w:p w14:paraId="2AF3C021" w14:textId="77777777" w:rsidR="00F753E8" w:rsidRPr="008A0A4E" w:rsidRDefault="00F753E8" w:rsidP="006E1769">
            <w:pPr>
              <w:ind w:left="-93"/>
              <w:rPr>
                <w:rFonts w:ascii="Arial" w:hAnsi="Arial" w:cs="Arial"/>
                <w:color w:val="000000"/>
                <w:sz w:val="22"/>
                <w:szCs w:val="22"/>
              </w:rPr>
            </w:pPr>
            <w:r w:rsidRPr="008A0A4E">
              <w:rPr>
                <w:rFonts w:ascii="Arial" w:hAnsi="Arial" w:cs="Arial"/>
                <w:color w:val="000000"/>
                <w:sz w:val="22"/>
                <w:szCs w:val="22"/>
              </w:rPr>
              <w:t>Cash and cash equivalent</w:t>
            </w:r>
          </w:p>
        </w:tc>
        <w:tc>
          <w:tcPr>
            <w:tcW w:w="2679" w:type="dxa"/>
            <w:tcBorders>
              <w:top w:val="nil"/>
              <w:left w:val="nil"/>
              <w:bottom w:val="nil"/>
              <w:right w:val="nil"/>
            </w:tcBorders>
            <w:shd w:val="clear" w:color="000000" w:fill="FFFFFF"/>
            <w:noWrap/>
            <w:vAlign w:val="center"/>
          </w:tcPr>
          <w:p w14:paraId="641E6B02" w14:textId="77777777" w:rsidR="00F753E8" w:rsidRPr="00911CD9" w:rsidRDefault="00F753E8" w:rsidP="006E1769">
            <w:pPr>
              <w:jc w:val="right"/>
              <w:rPr>
                <w:rFonts w:ascii="Arial" w:hAnsi="Arial" w:cs="Arial"/>
                <w:color w:val="000000"/>
                <w:sz w:val="22"/>
                <w:szCs w:val="22"/>
              </w:rPr>
            </w:pPr>
            <w:r w:rsidRPr="00911CD9">
              <w:rPr>
                <w:rFonts w:ascii="Arial" w:hAnsi="Arial" w:cs="Arial"/>
                <w:sz w:val="22"/>
                <w:szCs w:val="22"/>
              </w:rPr>
              <w:t>14,365</w:t>
            </w:r>
          </w:p>
        </w:tc>
        <w:tc>
          <w:tcPr>
            <w:tcW w:w="1835" w:type="dxa"/>
            <w:tcBorders>
              <w:top w:val="nil"/>
              <w:left w:val="nil"/>
              <w:bottom w:val="nil"/>
              <w:right w:val="nil"/>
            </w:tcBorders>
            <w:shd w:val="clear" w:color="000000" w:fill="FFFFFF"/>
            <w:noWrap/>
            <w:vAlign w:val="center"/>
          </w:tcPr>
          <w:p w14:paraId="7DFC0E54" w14:textId="77777777" w:rsidR="00F753E8" w:rsidRPr="00911CD9" w:rsidRDefault="00F753E8" w:rsidP="006E1769">
            <w:pPr>
              <w:jc w:val="right"/>
              <w:rPr>
                <w:rFonts w:ascii="Arial" w:hAnsi="Arial" w:cs="Arial"/>
                <w:color w:val="000000"/>
                <w:sz w:val="22"/>
                <w:szCs w:val="22"/>
              </w:rPr>
            </w:pPr>
            <w:r w:rsidRPr="00911CD9">
              <w:rPr>
                <w:rFonts w:ascii="Arial" w:hAnsi="Arial" w:cs="Arial"/>
                <w:sz w:val="22"/>
                <w:szCs w:val="22"/>
              </w:rPr>
              <w:t>144</w:t>
            </w:r>
          </w:p>
        </w:tc>
        <w:tc>
          <w:tcPr>
            <w:tcW w:w="1538" w:type="dxa"/>
            <w:tcBorders>
              <w:top w:val="nil"/>
              <w:left w:val="nil"/>
              <w:bottom w:val="nil"/>
              <w:right w:val="nil"/>
            </w:tcBorders>
            <w:shd w:val="clear" w:color="000000" w:fill="FFFFFF"/>
            <w:noWrap/>
            <w:vAlign w:val="center"/>
          </w:tcPr>
          <w:p w14:paraId="49BEAE37" w14:textId="77777777" w:rsidR="00F753E8" w:rsidRPr="00911CD9" w:rsidRDefault="00F753E8" w:rsidP="006E1769">
            <w:pPr>
              <w:jc w:val="right"/>
              <w:rPr>
                <w:rFonts w:ascii="Arial" w:hAnsi="Arial" w:cs="Arial"/>
                <w:color w:val="000000"/>
                <w:sz w:val="22"/>
                <w:szCs w:val="22"/>
              </w:rPr>
            </w:pPr>
            <w:r w:rsidRPr="00911CD9">
              <w:rPr>
                <w:rFonts w:ascii="Arial" w:hAnsi="Arial" w:cs="Arial"/>
                <w:sz w:val="22"/>
                <w:szCs w:val="22"/>
              </w:rPr>
              <w:t>(144)</w:t>
            </w:r>
          </w:p>
        </w:tc>
      </w:tr>
      <w:tr w:rsidR="00F753E8" w:rsidRPr="00B64150" w14:paraId="0D64AC37" w14:textId="77777777" w:rsidTr="006E1769">
        <w:trPr>
          <w:trHeight w:val="111"/>
          <w:jc w:val="center"/>
        </w:trPr>
        <w:tc>
          <w:tcPr>
            <w:tcW w:w="2679" w:type="dxa"/>
            <w:tcBorders>
              <w:top w:val="nil"/>
              <w:left w:val="nil"/>
              <w:bottom w:val="nil"/>
              <w:right w:val="nil"/>
            </w:tcBorders>
            <w:shd w:val="clear" w:color="000000" w:fill="FFFFFF"/>
            <w:noWrap/>
            <w:vAlign w:val="bottom"/>
          </w:tcPr>
          <w:p w14:paraId="14D92708" w14:textId="77777777" w:rsidR="00F753E8" w:rsidRPr="008A0A4E" w:rsidRDefault="00F753E8" w:rsidP="006E1769">
            <w:pPr>
              <w:ind w:left="-93"/>
              <w:rPr>
                <w:rFonts w:ascii="Arial" w:hAnsi="Arial" w:cs="Arial"/>
                <w:color w:val="000000"/>
                <w:sz w:val="22"/>
                <w:szCs w:val="22"/>
              </w:rPr>
            </w:pPr>
            <w:r w:rsidRPr="008A0A4E">
              <w:rPr>
                <w:rFonts w:ascii="Arial" w:hAnsi="Arial" w:cs="Arial"/>
                <w:color w:val="000000"/>
                <w:sz w:val="22"/>
                <w:szCs w:val="22"/>
              </w:rPr>
              <w:t>Fixed interest securities</w:t>
            </w:r>
          </w:p>
        </w:tc>
        <w:tc>
          <w:tcPr>
            <w:tcW w:w="2679" w:type="dxa"/>
            <w:tcBorders>
              <w:top w:val="nil"/>
              <w:left w:val="nil"/>
              <w:bottom w:val="single" w:sz="4" w:space="0" w:color="auto"/>
              <w:right w:val="nil"/>
            </w:tcBorders>
            <w:shd w:val="clear" w:color="000000" w:fill="FFFFFF"/>
            <w:noWrap/>
            <w:vAlign w:val="center"/>
          </w:tcPr>
          <w:p w14:paraId="69BB0923" w14:textId="77777777" w:rsidR="00F753E8" w:rsidRPr="00911CD9" w:rsidRDefault="00F753E8" w:rsidP="006E1769">
            <w:pPr>
              <w:jc w:val="right"/>
              <w:rPr>
                <w:rFonts w:ascii="Arial" w:hAnsi="Arial" w:cs="Arial"/>
                <w:color w:val="000000"/>
                <w:sz w:val="22"/>
                <w:szCs w:val="22"/>
              </w:rPr>
            </w:pPr>
            <w:r w:rsidRPr="00911CD9">
              <w:rPr>
                <w:rFonts w:ascii="Arial" w:hAnsi="Arial" w:cs="Arial"/>
                <w:sz w:val="22"/>
                <w:szCs w:val="22"/>
              </w:rPr>
              <w:t>110,643</w:t>
            </w:r>
          </w:p>
        </w:tc>
        <w:tc>
          <w:tcPr>
            <w:tcW w:w="1835" w:type="dxa"/>
            <w:tcBorders>
              <w:top w:val="nil"/>
              <w:left w:val="nil"/>
              <w:bottom w:val="single" w:sz="4" w:space="0" w:color="auto"/>
              <w:right w:val="nil"/>
            </w:tcBorders>
            <w:shd w:val="clear" w:color="000000" w:fill="FFFFFF"/>
            <w:noWrap/>
            <w:vAlign w:val="center"/>
          </w:tcPr>
          <w:p w14:paraId="475A7C80" w14:textId="77777777" w:rsidR="00F753E8" w:rsidRPr="00911CD9" w:rsidRDefault="00F753E8" w:rsidP="006E1769">
            <w:pPr>
              <w:jc w:val="right"/>
              <w:rPr>
                <w:rFonts w:ascii="Arial" w:hAnsi="Arial" w:cs="Arial"/>
                <w:color w:val="000000"/>
                <w:sz w:val="22"/>
                <w:szCs w:val="22"/>
              </w:rPr>
            </w:pPr>
            <w:r w:rsidRPr="00911CD9">
              <w:rPr>
                <w:rFonts w:ascii="Arial" w:hAnsi="Arial" w:cs="Arial"/>
                <w:sz w:val="22"/>
                <w:szCs w:val="22"/>
              </w:rPr>
              <w:t>1,106</w:t>
            </w:r>
          </w:p>
        </w:tc>
        <w:tc>
          <w:tcPr>
            <w:tcW w:w="1538" w:type="dxa"/>
            <w:tcBorders>
              <w:top w:val="nil"/>
              <w:left w:val="nil"/>
              <w:bottom w:val="single" w:sz="4" w:space="0" w:color="auto"/>
              <w:right w:val="nil"/>
            </w:tcBorders>
            <w:shd w:val="clear" w:color="000000" w:fill="FFFFFF"/>
            <w:noWrap/>
            <w:vAlign w:val="center"/>
          </w:tcPr>
          <w:p w14:paraId="75670CD8" w14:textId="77777777" w:rsidR="00F753E8" w:rsidRPr="00911CD9" w:rsidRDefault="00F753E8" w:rsidP="006E1769">
            <w:pPr>
              <w:jc w:val="right"/>
              <w:rPr>
                <w:rFonts w:ascii="Arial" w:hAnsi="Arial" w:cs="Arial"/>
                <w:color w:val="000000"/>
                <w:sz w:val="22"/>
                <w:szCs w:val="22"/>
              </w:rPr>
            </w:pPr>
            <w:r w:rsidRPr="00911CD9">
              <w:rPr>
                <w:rFonts w:ascii="Arial" w:hAnsi="Arial" w:cs="Arial"/>
                <w:sz w:val="22"/>
                <w:szCs w:val="22"/>
              </w:rPr>
              <w:t>(1,106)</w:t>
            </w:r>
          </w:p>
        </w:tc>
      </w:tr>
      <w:tr w:rsidR="00F753E8" w:rsidRPr="00B64150" w14:paraId="41C45409" w14:textId="77777777" w:rsidTr="006E1769">
        <w:trPr>
          <w:trHeight w:val="111"/>
          <w:jc w:val="center"/>
        </w:trPr>
        <w:tc>
          <w:tcPr>
            <w:tcW w:w="2679" w:type="dxa"/>
            <w:tcBorders>
              <w:top w:val="nil"/>
              <w:left w:val="nil"/>
              <w:bottom w:val="nil"/>
              <w:right w:val="nil"/>
            </w:tcBorders>
            <w:shd w:val="clear" w:color="000000" w:fill="FFFFFF"/>
            <w:noWrap/>
            <w:vAlign w:val="bottom"/>
          </w:tcPr>
          <w:p w14:paraId="6A2F6344" w14:textId="77777777" w:rsidR="00F753E8" w:rsidRPr="008A0A4E" w:rsidRDefault="00F753E8" w:rsidP="006E1769">
            <w:pPr>
              <w:ind w:left="-93"/>
              <w:rPr>
                <w:rFonts w:ascii="Arial" w:hAnsi="Arial" w:cs="Arial"/>
                <w:bCs/>
                <w:color w:val="000000"/>
                <w:sz w:val="22"/>
                <w:szCs w:val="22"/>
              </w:rPr>
            </w:pPr>
            <w:r w:rsidRPr="008A0A4E">
              <w:rPr>
                <w:rFonts w:ascii="Arial" w:hAnsi="Arial" w:cs="Arial"/>
                <w:bCs/>
                <w:color w:val="000000"/>
                <w:sz w:val="22"/>
                <w:szCs w:val="22"/>
              </w:rPr>
              <w:t xml:space="preserve">Total </w:t>
            </w:r>
          </w:p>
        </w:tc>
        <w:tc>
          <w:tcPr>
            <w:tcW w:w="2679" w:type="dxa"/>
            <w:tcBorders>
              <w:top w:val="single" w:sz="4" w:space="0" w:color="auto"/>
              <w:left w:val="nil"/>
              <w:bottom w:val="single" w:sz="4" w:space="0" w:color="auto"/>
              <w:right w:val="nil"/>
            </w:tcBorders>
            <w:shd w:val="clear" w:color="000000" w:fill="FFFFFF"/>
            <w:noWrap/>
            <w:vAlign w:val="center"/>
          </w:tcPr>
          <w:p w14:paraId="370004C4" w14:textId="77777777" w:rsidR="00F753E8" w:rsidRPr="00911CD9" w:rsidRDefault="00F753E8" w:rsidP="006E1769">
            <w:pPr>
              <w:jc w:val="right"/>
              <w:rPr>
                <w:rFonts w:ascii="Arial" w:hAnsi="Arial" w:cs="Arial"/>
                <w:color w:val="000000"/>
                <w:sz w:val="22"/>
                <w:szCs w:val="22"/>
              </w:rPr>
            </w:pPr>
            <w:r w:rsidRPr="00911CD9">
              <w:rPr>
                <w:rFonts w:ascii="Arial" w:hAnsi="Arial" w:cs="Arial"/>
                <w:sz w:val="22"/>
                <w:szCs w:val="22"/>
              </w:rPr>
              <w:t>125,009</w:t>
            </w:r>
          </w:p>
        </w:tc>
        <w:tc>
          <w:tcPr>
            <w:tcW w:w="1835" w:type="dxa"/>
            <w:tcBorders>
              <w:top w:val="single" w:sz="4" w:space="0" w:color="auto"/>
              <w:left w:val="nil"/>
              <w:bottom w:val="single" w:sz="4" w:space="0" w:color="auto"/>
              <w:right w:val="nil"/>
            </w:tcBorders>
            <w:shd w:val="clear" w:color="000000" w:fill="FFFFFF"/>
            <w:noWrap/>
            <w:vAlign w:val="center"/>
          </w:tcPr>
          <w:p w14:paraId="16C39D9C" w14:textId="77777777" w:rsidR="00F753E8" w:rsidRPr="00911CD9" w:rsidRDefault="00F753E8" w:rsidP="006E1769">
            <w:pPr>
              <w:jc w:val="right"/>
              <w:rPr>
                <w:rFonts w:ascii="Arial" w:hAnsi="Arial" w:cs="Arial"/>
                <w:color w:val="000000"/>
                <w:sz w:val="22"/>
                <w:szCs w:val="22"/>
              </w:rPr>
            </w:pPr>
            <w:r w:rsidRPr="00911CD9">
              <w:rPr>
                <w:rFonts w:ascii="Arial" w:hAnsi="Arial" w:cs="Arial"/>
                <w:sz w:val="22"/>
                <w:szCs w:val="22"/>
              </w:rPr>
              <w:t>1,250</w:t>
            </w:r>
          </w:p>
        </w:tc>
        <w:tc>
          <w:tcPr>
            <w:tcW w:w="1538" w:type="dxa"/>
            <w:tcBorders>
              <w:top w:val="single" w:sz="4" w:space="0" w:color="auto"/>
              <w:left w:val="nil"/>
              <w:bottom w:val="single" w:sz="4" w:space="0" w:color="auto"/>
              <w:right w:val="nil"/>
            </w:tcBorders>
            <w:shd w:val="clear" w:color="000000" w:fill="FFFFFF"/>
            <w:noWrap/>
            <w:vAlign w:val="center"/>
          </w:tcPr>
          <w:p w14:paraId="69822B4F" w14:textId="77777777" w:rsidR="00F753E8" w:rsidRPr="00911CD9" w:rsidRDefault="00F753E8" w:rsidP="006E1769">
            <w:pPr>
              <w:jc w:val="right"/>
              <w:rPr>
                <w:rFonts w:ascii="Arial" w:hAnsi="Arial" w:cs="Arial"/>
                <w:color w:val="000000"/>
                <w:sz w:val="22"/>
                <w:szCs w:val="22"/>
              </w:rPr>
            </w:pPr>
            <w:r w:rsidRPr="00911CD9">
              <w:rPr>
                <w:rFonts w:ascii="Arial" w:hAnsi="Arial" w:cs="Arial"/>
                <w:sz w:val="22"/>
                <w:szCs w:val="22"/>
              </w:rPr>
              <w:t>(1,250)</w:t>
            </w:r>
          </w:p>
        </w:tc>
      </w:tr>
    </w:tbl>
    <w:p w14:paraId="23D8AB0C" w14:textId="77777777" w:rsidR="00F753E8" w:rsidRDefault="00F753E8" w:rsidP="00F753E8">
      <w:pPr>
        <w:tabs>
          <w:tab w:val="left" w:pos="885"/>
        </w:tabs>
        <w:ind w:left="426"/>
        <w:jc w:val="both"/>
        <w:rPr>
          <w:rFonts w:ascii="Arial" w:hAnsi="Arial" w:cs="Arial"/>
          <w:b/>
          <w:sz w:val="22"/>
          <w:szCs w:val="22"/>
        </w:rPr>
      </w:pPr>
      <w:r w:rsidRPr="008A0A4E">
        <w:rPr>
          <w:rFonts w:ascii="Arial" w:hAnsi="Arial" w:cs="Arial"/>
          <w:b/>
          <w:sz w:val="22"/>
          <w:szCs w:val="22"/>
        </w:rPr>
        <w:tab/>
      </w:r>
    </w:p>
    <w:p w14:paraId="4A26B3AA" w14:textId="77777777" w:rsidR="00F753E8" w:rsidRDefault="00F753E8" w:rsidP="00F753E8">
      <w:pPr>
        <w:tabs>
          <w:tab w:val="left" w:pos="885"/>
        </w:tabs>
        <w:ind w:left="426"/>
        <w:jc w:val="both"/>
        <w:rPr>
          <w:rFonts w:ascii="Arial" w:hAnsi="Arial" w:cs="Arial"/>
          <w:b/>
          <w:sz w:val="22"/>
          <w:szCs w:val="22"/>
        </w:rPr>
      </w:pPr>
    </w:p>
    <w:p w14:paraId="49C76576" w14:textId="77777777" w:rsidR="00F753E8" w:rsidRDefault="00F753E8" w:rsidP="00F753E8">
      <w:pPr>
        <w:tabs>
          <w:tab w:val="left" w:pos="885"/>
        </w:tabs>
        <w:ind w:left="426"/>
        <w:jc w:val="both"/>
        <w:rPr>
          <w:rFonts w:ascii="Arial" w:hAnsi="Arial" w:cs="Arial"/>
          <w:b/>
          <w:sz w:val="22"/>
          <w:szCs w:val="22"/>
        </w:rPr>
      </w:pPr>
    </w:p>
    <w:p w14:paraId="018C3E81" w14:textId="77777777" w:rsidR="00F753E8" w:rsidRDefault="00F753E8" w:rsidP="00F753E8">
      <w:pPr>
        <w:tabs>
          <w:tab w:val="left" w:pos="885"/>
        </w:tabs>
        <w:ind w:left="426"/>
        <w:jc w:val="both"/>
        <w:rPr>
          <w:rFonts w:ascii="Arial" w:hAnsi="Arial" w:cs="Arial"/>
          <w:b/>
          <w:sz w:val="22"/>
          <w:szCs w:val="22"/>
        </w:rPr>
      </w:pPr>
    </w:p>
    <w:p w14:paraId="4EBDDC6B" w14:textId="77777777" w:rsidR="00421E09" w:rsidRDefault="00421E09" w:rsidP="00F753E8">
      <w:pPr>
        <w:tabs>
          <w:tab w:val="left" w:pos="885"/>
        </w:tabs>
        <w:ind w:left="426"/>
        <w:jc w:val="both"/>
        <w:rPr>
          <w:rFonts w:ascii="Arial" w:hAnsi="Arial" w:cs="Arial"/>
          <w:b/>
          <w:sz w:val="22"/>
          <w:szCs w:val="22"/>
        </w:rPr>
      </w:pPr>
    </w:p>
    <w:p w14:paraId="61F1DF4E" w14:textId="77777777" w:rsidR="00421E09" w:rsidRDefault="00421E09" w:rsidP="00F753E8">
      <w:pPr>
        <w:tabs>
          <w:tab w:val="left" w:pos="885"/>
        </w:tabs>
        <w:ind w:left="426"/>
        <w:jc w:val="both"/>
        <w:rPr>
          <w:rFonts w:ascii="Arial" w:hAnsi="Arial" w:cs="Arial"/>
          <w:b/>
          <w:sz w:val="22"/>
          <w:szCs w:val="22"/>
        </w:rPr>
      </w:pPr>
    </w:p>
    <w:p w14:paraId="70C58BDD" w14:textId="77777777" w:rsidR="00421E09" w:rsidRDefault="00421E09" w:rsidP="00F753E8">
      <w:pPr>
        <w:tabs>
          <w:tab w:val="left" w:pos="885"/>
        </w:tabs>
        <w:ind w:left="426"/>
        <w:jc w:val="both"/>
        <w:rPr>
          <w:rFonts w:ascii="Arial" w:hAnsi="Arial" w:cs="Arial"/>
          <w:b/>
          <w:sz w:val="22"/>
          <w:szCs w:val="22"/>
        </w:rPr>
      </w:pPr>
    </w:p>
    <w:p w14:paraId="7C469E25" w14:textId="77777777" w:rsidR="00F753E8" w:rsidRPr="008A0A4E" w:rsidRDefault="00F753E8" w:rsidP="00F753E8">
      <w:pPr>
        <w:tabs>
          <w:tab w:val="left" w:pos="885"/>
        </w:tabs>
        <w:ind w:left="426"/>
        <w:jc w:val="both"/>
        <w:rPr>
          <w:rFonts w:ascii="Arial" w:hAnsi="Arial" w:cs="Arial"/>
          <w:b/>
          <w:sz w:val="22"/>
          <w:szCs w:val="22"/>
        </w:rPr>
      </w:pPr>
    </w:p>
    <w:p w14:paraId="3C2DF5FE" w14:textId="77777777" w:rsidR="00F753E8" w:rsidRPr="008A0A4E" w:rsidRDefault="00F753E8" w:rsidP="00F753E8">
      <w:pPr>
        <w:ind w:left="284"/>
        <w:jc w:val="both"/>
        <w:rPr>
          <w:rFonts w:ascii="Arial" w:hAnsi="Arial" w:cs="Arial"/>
          <w:b/>
          <w:sz w:val="22"/>
          <w:szCs w:val="22"/>
        </w:rPr>
      </w:pPr>
      <w:r w:rsidRPr="008A0A4E">
        <w:rPr>
          <w:rFonts w:ascii="Arial" w:hAnsi="Arial" w:cs="Arial"/>
          <w:b/>
          <w:sz w:val="22"/>
          <w:szCs w:val="22"/>
        </w:rPr>
        <w:t xml:space="preserve">  Currency risk</w:t>
      </w:r>
    </w:p>
    <w:p w14:paraId="4A42DCBA" w14:textId="77777777" w:rsidR="00F753E8" w:rsidRPr="008A0A4E" w:rsidRDefault="00F753E8" w:rsidP="00F753E8">
      <w:pPr>
        <w:ind w:left="426"/>
        <w:jc w:val="both"/>
        <w:rPr>
          <w:rFonts w:ascii="Arial" w:hAnsi="Arial" w:cs="Arial"/>
          <w:b/>
          <w:sz w:val="22"/>
          <w:szCs w:val="22"/>
        </w:rPr>
      </w:pPr>
    </w:p>
    <w:p w14:paraId="021AA20B"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Currency risk represents the risk that the fair value of future cash flows of a financial instrument will fluctuate because of changes in foreign exchange rates.  The Fund is exposed to currency risk on financial instruments that are denominated in any currency other than the functional currency of the Fund (sterling).  The Fund holds both monetary and non-monetary assets denominated in currencies other than sterling.</w:t>
      </w:r>
    </w:p>
    <w:p w14:paraId="52C724A3" w14:textId="77777777" w:rsidR="00F753E8" w:rsidRPr="008A0A4E" w:rsidRDefault="00F753E8" w:rsidP="00F753E8">
      <w:pPr>
        <w:ind w:left="426"/>
        <w:jc w:val="both"/>
        <w:rPr>
          <w:rFonts w:ascii="Arial" w:hAnsi="Arial" w:cs="Arial"/>
          <w:sz w:val="22"/>
          <w:szCs w:val="22"/>
        </w:rPr>
      </w:pPr>
    </w:p>
    <w:p w14:paraId="3CD5543D"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 xml:space="preserve">The Fund’s currency rate risk is routinely monitored by the Council and its investment advisors in accordance with Fund’s risk management strategy, including monitoring the range of exposure to currency fluctuations. </w:t>
      </w:r>
    </w:p>
    <w:p w14:paraId="5F0D7C87" w14:textId="77777777" w:rsidR="00F753E8" w:rsidRPr="008A0A4E" w:rsidRDefault="00F753E8" w:rsidP="00F753E8">
      <w:pPr>
        <w:ind w:left="426"/>
        <w:jc w:val="both"/>
        <w:rPr>
          <w:rFonts w:ascii="Arial" w:hAnsi="Arial" w:cs="Arial"/>
          <w:sz w:val="22"/>
          <w:szCs w:val="22"/>
        </w:rPr>
      </w:pPr>
    </w:p>
    <w:p w14:paraId="236F351D" w14:textId="77777777" w:rsidR="00F753E8" w:rsidRPr="008A0A4E" w:rsidRDefault="00F753E8" w:rsidP="00F753E8">
      <w:pPr>
        <w:ind w:left="426"/>
        <w:jc w:val="both"/>
        <w:rPr>
          <w:rFonts w:ascii="Arial" w:hAnsi="Arial" w:cs="Arial"/>
          <w:b/>
          <w:sz w:val="22"/>
          <w:szCs w:val="22"/>
        </w:rPr>
      </w:pPr>
      <w:r w:rsidRPr="008A0A4E">
        <w:rPr>
          <w:rFonts w:ascii="Arial" w:hAnsi="Arial" w:cs="Arial"/>
          <w:b/>
          <w:sz w:val="22"/>
          <w:szCs w:val="22"/>
        </w:rPr>
        <w:t>Liquidity risk</w:t>
      </w:r>
    </w:p>
    <w:p w14:paraId="7C556CDA" w14:textId="77777777" w:rsidR="00F753E8" w:rsidRPr="008A0A4E" w:rsidRDefault="00F753E8" w:rsidP="00F753E8">
      <w:pPr>
        <w:ind w:left="426"/>
        <w:jc w:val="both"/>
        <w:rPr>
          <w:rFonts w:ascii="Arial" w:hAnsi="Arial" w:cs="Arial"/>
          <w:sz w:val="22"/>
          <w:szCs w:val="22"/>
        </w:rPr>
      </w:pPr>
    </w:p>
    <w:p w14:paraId="743DE6CC"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 xml:space="preserve">Liquidity risk represents the risk that the Fund will not be able to meet its financial obligations as they fall due. The Council therefore takes steps to ensure that the Fund has adequate cash resources to meet its commitments. This will particularly be the case for cash from the cash flow matching mandates from the main investment strategy to meet the pensioner payroll costs; and </w:t>
      </w:r>
      <w:proofErr w:type="gramStart"/>
      <w:r w:rsidRPr="008A0A4E">
        <w:rPr>
          <w:rFonts w:ascii="Arial" w:hAnsi="Arial" w:cs="Arial"/>
          <w:sz w:val="22"/>
          <w:szCs w:val="22"/>
        </w:rPr>
        <w:t>also</w:t>
      </w:r>
      <w:proofErr w:type="gramEnd"/>
      <w:r w:rsidRPr="008A0A4E">
        <w:rPr>
          <w:rFonts w:ascii="Arial" w:hAnsi="Arial" w:cs="Arial"/>
          <w:sz w:val="22"/>
          <w:szCs w:val="22"/>
        </w:rPr>
        <w:t xml:space="preserve"> cash to meet investment commitments.</w:t>
      </w:r>
    </w:p>
    <w:p w14:paraId="05CC06D7" w14:textId="77777777" w:rsidR="00F753E8" w:rsidRPr="008A0A4E" w:rsidRDefault="00F753E8" w:rsidP="00F753E8">
      <w:pPr>
        <w:ind w:left="426"/>
        <w:jc w:val="both"/>
        <w:rPr>
          <w:rFonts w:ascii="Arial" w:hAnsi="Arial" w:cs="Arial"/>
          <w:sz w:val="22"/>
          <w:szCs w:val="22"/>
        </w:rPr>
      </w:pPr>
    </w:p>
    <w:p w14:paraId="7F2F1AC7"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 xml:space="preserve">The Pension Committee Members are aware of the cash flow pressures that are affecting the Fund. These include the potential for a reduction in Fund current members from the significant savings the LBBD needs to make in the coming years and from an increase in pension payments due to increased pensioner numbers and </w:t>
      </w:r>
      <w:proofErr w:type="gramStart"/>
      <w:r w:rsidRPr="008A0A4E">
        <w:rPr>
          <w:rFonts w:ascii="Arial" w:hAnsi="Arial" w:cs="Arial"/>
          <w:sz w:val="22"/>
          <w:szCs w:val="22"/>
        </w:rPr>
        <w:t>as a result of</w:t>
      </w:r>
      <w:proofErr w:type="gramEnd"/>
      <w:r w:rsidRPr="008A0A4E">
        <w:rPr>
          <w:rFonts w:ascii="Arial" w:hAnsi="Arial" w:cs="Arial"/>
          <w:sz w:val="22"/>
          <w:szCs w:val="22"/>
        </w:rPr>
        <w:t xml:space="preserve"> the pricing index exceeding salary increases. Members receive a quarterly report on the Fund’s cash flow and have agreed to utilise distributions from property and infrastructure to fund future investments and to cover any cash flow shortfalls.</w:t>
      </w:r>
    </w:p>
    <w:p w14:paraId="4D2338BB" w14:textId="77777777" w:rsidR="00F753E8" w:rsidRPr="008A0A4E" w:rsidRDefault="00F753E8" w:rsidP="00F753E8">
      <w:pPr>
        <w:ind w:left="426"/>
        <w:jc w:val="both"/>
        <w:rPr>
          <w:rFonts w:ascii="Arial" w:hAnsi="Arial" w:cs="Arial"/>
          <w:sz w:val="22"/>
          <w:szCs w:val="22"/>
        </w:rPr>
      </w:pPr>
    </w:p>
    <w:p w14:paraId="5B444243"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 xml:space="preserve">Where there is a long-term shortfall in net income into the Fund, investment income will be used to cover the shortfall. All financial liabilities </w:t>
      </w:r>
      <w:proofErr w:type="gramStart"/>
      <w:r w:rsidRPr="008A0A4E">
        <w:rPr>
          <w:rFonts w:ascii="Arial" w:hAnsi="Arial" w:cs="Arial"/>
          <w:sz w:val="22"/>
          <w:szCs w:val="22"/>
        </w:rPr>
        <w:t>at</w:t>
      </w:r>
      <w:proofErr w:type="gramEnd"/>
      <w:r w:rsidRPr="008A0A4E">
        <w:rPr>
          <w:rFonts w:ascii="Arial" w:hAnsi="Arial" w:cs="Arial"/>
          <w:sz w:val="22"/>
          <w:szCs w:val="22"/>
        </w:rPr>
        <w:t xml:space="preserve"> 31 March 202</w:t>
      </w:r>
      <w:r>
        <w:rPr>
          <w:rFonts w:ascii="Arial" w:hAnsi="Arial" w:cs="Arial"/>
          <w:sz w:val="22"/>
          <w:szCs w:val="22"/>
        </w:rPr>
        <w:t>2</w:t>
      </w:r>
      <w:r w:rsidRPr="008A0A4E">
        <w:rPr>
          <w:rFonts w:ascii="Arial" w:hAnsi="Arial" w:cs="Arial"/>
          <w:sz w:val="22"/>
          <w:szCs w:val="22"/>
        </w:rPr>
        <w:t xml:space="preserve"> are due within one year. </w:t>
      </w:r>
    </w:p>
    <w:p w14:paraId="64AEE67E" w14:textId="77777777" w:rsidR="00F753E8" w:rsidRPr="008A0A4E" w:rsidRDefault="00F753E8" w:rsidP="00F753E8">
      <w:pPr>
        <w:jc w:val="both"/>
        <w:rPr>
          <w:rFonts w:ascii="Arial" w:hAnsi="Arial" w:cs="Arial"/>
          <w:sz w:val="22"/>
          <w:szCs w:val="22"/>
        </w:rPr>
      </w:pPr>
    </w:p>
    <w:p w14:paraId="24CD6E08" w14:textId="77777777" w:rsidR="00F753E8" w:rsidRPr="008A0A4E" w:rsidRDefault="00F753E8" w:rsidP="00F753E8">
      <w:pPr>
        <w:ind w:left="426"/>
        <w:jc w:val="both"/>
        <w:rPr>
          <w:rFonts w:ascii="Arial" w:hAnsi="Arial" w:cs="Arial"/>
          <w:b/>
          <w:sz w:val="22"/>
          <w:szCs w:val="22"/>
        </w:rPr>
      </w:pPr>
      <w:r w:rsidRPr="008A0A4E">
        <w:rPr>
          <w:rFonts w:ascii="Arial" w:hAnsi="Arial" w:cs="Arial"/>
          <w:b/>
          <w:sz w:val="22"/>
          <w:szCs w:val="22"/>
        </w:rPr>
        <w:t>Refinancing risk</w:t>
      </w:r>
    </w:p>
    <w:p w14:paraId="7802DEDA" w14:textId="77777777" w:rsidR="00F753E8" w:rsidRPr="008A0A4E" w:rsidRDefault="00F753E8" w:rsidP="00F753E8">
      <w:pPr>
        <w:ind w:left="426"/>
        <w:jc w:val="both"/>
        <w:rPr>
          <w:rFonts w:ascii="Arial" w:hAnsi="Arial" w:cs="Arial"/>
          <w:sz w:val="22"/>
          <w:szCs w:val="22"/>
        </w:rPr>
      </w:pPr>
    </w:p>
    <w:p w14:paraId="212C4902" w14:textId="77777777" w:rsidR="00F753E8" w:rsidRDefault="00F753E8" w:rsidP="00F753E8">
      <w:pPr>
        <w:ind w:left="426"/>
        <w:jc w:val="both"/>
        <w:rPr>
          <w:rFonts w:ascii="Arial" w:hAnsi="Arial" w:cs="Arial"/>
          <w:sz w:val="22"/>
          <w:szCs w:val="22"/>
        </w:rPr>
      </w:pPr>
      <w:r w:rsidRPr="008A0A4E">
        <w:rPr>
          <w:rFonts w:ascii="Arial" w:hAnsi="Arial" w:cs="Arial"/>
          <w:sz w:val="22"/>
          <w:szCs w:val="22"/>
        </w:rPr>
        <w:t xml:space="preserve">The key risk is that the Council will be bound to replenish a significant proportion of the Fund’s financial instruments at a time of unfavourable interest rates. The Council does not have any financial instruments that have a refinancing risk as part of its treasury management and investment strategies. </w:t>
      </w:r>
    </w:p>
    <w:p w14:paraId="3AF99649" w14:textId="77777777" w:rsidR="00F753E8" w:rsidRPr="007478DD" w:rsidRDefault="00F753E8" w:rsidP="00F753E8">
      <w:pPr>
        <w:ind w:left="426"/>
        <w:jc w:val="both"/>
        <w:rPr>
          <w:rFonts w:ascii="Arial" w:hAnsi="Arial" w:cs="Arial"/>
          <w:sz w:val="22"/>
          <w:szCs w:val="22"/>
        </w:rPr>
      </w:pPr>
    </w:p>
    <w:p w14:paraId="14075014" w14:textId="77777777" w:rsidR="00F753E8" w:rsidRPr="008A0A4E" w:rsidRDefault="00F753E8" w:rsidP="00F753E8">
      <w:pPr>
        <w:ind w:left="426"/>
        <w:jc w:val="both"/>
        <w:rPr>
          <w:rFonts w:ascii="Arial" w:hAnsi="Arial" w:cs="Arial"/>
          <w:b/>
          <w:sz w:val="22"/>
          <w:szCs w:val="22"/>
        </w:rPr>
      </w:pPr>
      <w:r w:rsidRPr="008A0A4E">
        <w:rPr>
          <w:rFonts w:ascii="Arial" w:hAnsi="Arial" w:cs="Arial"/>
          <w:b/>
          <w:sz w:val="22"/>
          <w:szCs w:val="22"/>
        </w:rPr>
        <w:t>Credit Risk</w:t>
      </w:r>
    </w:p>
    <w:p w14:paraId="7797D5C5" w14:textId="77777777" w:rsidR="00F753E8" w:rsidRPr="008A0A4E" w:rsidRDefault="00F753E8" w:rsidP="00F753E8">
      <w:pPr>
        <w:ind w:left="426"/>
        <w:jc w:val="both"/>
        <w:rPr>
          <w:rFonts w:ascii="Arial" w:hAnsi="Arial" w:cs="Arial"/>
          <w:b/>
          <w:sz w:val="22"/>
          <w:szCs w:val="22"/>
        </w:rPr>
      </w:pPr>
    </w:p>
    <w:p w14:paraId="16F0E3D9"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Credit risk represents the risk that the counterparty to a transaction or a financial instrument will fail to discharge an obligation and cause the Fund to incur a financial loss. The market values of investments generally reflect an assessment of credit in their pricing and consequently the risk of loss is implicitly provided for in the carrying value of the Fund’s financial assets and liabilities.</w:t>
      </w:r>
    </w:p>
    <w:p w14:paraId="3261CA48" w14:textId="77777777" w:rsidR="00F753E8" w:rsidRPr="008A0A4E" w:rsidRDefault="00F753E8" w:rsidP="00F753E8">
      <w:pPr>
        <w:ind w:left="426"/>
        <w:jc w:val="both"/>
        <w:rPr>
          <w:rFonts w:ascii="Arial" w:hAnsi="Arial" w:cs="Arial"/>
          <w:sz w:val="22"/>
          <w:szCs w:val="22"/>
        </w:rPr>
      </w:pPr>
    </w:p>
    <w:p w14:paraId="6C9A0CD0" w14:textId="77777777" w:rsidR="00F753E8" w:rsidRPr="008A0A4E" w:rsidRDefault="00F753E8" w:rsidP="00F753E8">
      <w:pPr>
        <w:ind w:left="426"/>
        <w:jc w:val="both"/>
        <w:rPr>
          <w:rFonts w:ascii="Arial" w:hAnsi="Arial" w:cs="Arial"/>
          <w:sz w:val="22"/>
          <w:szCs w:val="22"/>
        </w:rPr>
      </w:pPr>
      <w:r w:rsidRPr="008A0A4E">
        <w:rPr>
          <w:rFonts w:ascii="Arial" w:hAnsi="Arial" w:cs="Arial"/>
          <w:sz w:val="22"/>
          <w:szCs w:val="22"/>
        </w:rPr>
        <w:t xml:space="preserve">In essence the Fund’s entire investment portfolio is exposed to some form of credit risk, </w:t>
      </w:r>
      <w:proofErr w:type="gramStart"/>
      <w:r w:rsidRPr="008A0A4E">
        <w:rPr>
          <w:rFonts w:ascii="Arial" w:hAnsi="Arial" w:cs="Arial"/>
          <w:sz w:val="22"/>
          <w:szCs w:val="22"/>
        </w:rPr>
        <w:t>with the exception of</w:t>
      </w:r>
      <w:proofErr w:type="gramEnd"/>
      <w:r w:rsidRPr="008A0A4E">
        <w:rPr>
          <w:rFonts w:ascii="Arial" w:hAnsi="Arial" w:cs="Arial"/>
          <w:sz w:val="22"/>
          <w:szCs w:val="22"/>
        </w:rPr>
        <w:t xml:space="preserve"> the derivatives positions, where the risk equates to the net market value of a positive derivative position. However, the selection of high-quality counterparties, brokers and financial institutions minimises credit risk that may occur through the failure to settle a transaction in a timely manner.</w:t>
      </w:r>
    </w:p>
    <w:p w14:paraId="6CEA6D8A" w14:textId="77777777" w:rsidR="00F753E8" w:rsidRPr="008A0A4E" w:rsidRDefault="00F753E8" w:rsidP="00F753E8">
      <w:pPr>
        <w:ind w:left="426"/>
        <w:jc w:val="both"/>
        <w:rPr>
          <w:rFonts w:ascii="Arial" w:hAnsi="Arial" w:cs="Arial"/>
          <w:sz w:val="22"/>
          <w:szCs w:val="22"/>
        </w:rPr>
      </w:pPr>
    </w:p>
    <w:p w14:paraId="78792936" w14:textId="77777777" w:rsidR="00F753E8" w:rsidRDefault="00F753E8" w:rsidP="00F753E8">
      <w:pPr>
        <w:ind w:left="426"/>
        <w:jc w:val="both"/>
        <w:rPr>
          <w:rFonts w:ascii="Arial" w:hAnsi="Arial" w:cs="Arial"/>
          <w:sz w:val="22"/>
          <w:szCs w:val="22"/>
        </w:rPr>
      </w:pPr>
      <w:r w:rsidRPr="008A0A4E">
        <w:rPr>
          <w:rFonts w:ascii="Arial" w:hAnsi="Arial" w:cs="Arial"/>
          <w:sz w:val="22"/>
          <w:szCs w:val="22"/>
        </w:rPr>
        <w:t>The Fund’s internally managed cash is invested by the Council’s treasury team. Deposits are not made with banks and financial institutions unless they meet the council’s credit criteria. The council has also set limits as to the maximum percentage of the deposits placed with any one class of financial institution. In addition, the council invests an agreed percentage of its funds in the money markets to provide diversification. Money market funds chosen all have AAA rating from a leading ratings agency.</w:t>
      </w:r>
    </w:p>
    <w:p w14:paraId="5B2EF3FA" w14:textId="77777777" w:rsidR="00F753E8" w:rsidRPr="008A0A4E" w:rsidRDefault="00F753E8" w:rsidP="00F753E8">
      <w:pPr>
        <w:ind w:left="426"/>
        <w:jc w:val="both"/>
        <w:rPr>
          <w:rFonts w:ascii="Arial" w:hAnsi="Arial" w:cs="Arial"/>
          <w:sz w:val="22"/>
          <w:szCs w:val="22"/>
        </w:rPr>
      </w:pPr>
    </w:p>
    <w:p w14:paraId="3352A54C" w14:textId="77777777" w:rsidR="00F753E8" w:rsidRPr="008A0A4E" w:rsidRDefault="00F753E8" w:rsidP="007337FE">
      <w:pPr>
        <w:pStyle w:val="ListParagraph"/>
        <w:numPr>
          <w:ilvl w:val="0"/>
          <w:numId w:val="90"/>
        </w:numPr>
        <w:ind w:left="502"/>
        <w:jc w:val="both"/>
        <w:rPr>
          <w:rFonts w:ascii="Arial" w:hAnsi="Arial" w:cs="Arial"/>
          <w:b/>
        </w:rPr>
      </w:pPr>
      <w:r w:rsidRPr="008A0A4E">
        <w:rPr>
          <w:rFonts w:ascii="Arial" w:hAnsi="Arial" w:cs="Arial"/>
          <w:b/>
        </w:rPr>
        <w:t>London Borough of Barking and Dagenham (LBBD)</w:t>
      </w:r>
    </w:p>
    <w:p w14:paraId="049C2888" w14:textId="77777777" w:rsidR="00F753E8" w:rsidRPr="00CC2E6E" w:rsidRDefault="00F753E8" w:rsidP="00F753E8">
      <w:pPr>
        <w:ind w:left="425"/>
        <w:jc w:val="both"/>
        <w:rPr>
          <w:rFonts w:ascii="Arial" w:hAnsi="Arial" w:cs="Arial"/>
          <w:sz w:val="22"/>
          <w:szCs w:val="22"/>
        </w:rPr>
      </w:pPr>
      <w:r w:rsidRPr="00CC2E6E">
        <w:rPr>
          <w:rFonts w:ascii="Arial" w:hAnsi="Arial" w:cs="Arial"/>
          <w:sz w:val="22"/>
          <w:szCs w:val="22"/>
        </w:rPr>
        <w:t>The Fund is administered by LBBD. Consequently, there is a strong relationship between the Council and the Fund.</w:t>
      </w:r>
    </w:p>
    <w:p w14:paraId="75CBADAA" w14:textId="77777777" w:rsidR="00F753E8" w:rsidRPr="00AF406A" w:rsidRDefault="00F753E8" w:rsidP="00F753E8">
      <w:pPr>
        <w:ind w:left="425"/>
        <w:jc w:val="both"/>
        <w:rPr>
          <w:rFonts w:ascii="Arial" w:hAnsi="Arial" w:cs="Arial"/>
          <w:sz w:val="22"/>
          <w:szCs w:val="22"/>
          <w:highlight w:val="yellow"/>
        </w:rPr>
      </w:pPr>
    </w:p>
    <w:p w14:paraId="21D23ECE" w14:textId="77777777" w:rsidR="00F753E8" w:rsidRPr="00AF406A" w:rsidRDefault="00F753E8" w:rsidP="00F753E8">
      <w:pPr>
        <w:ind w:left="425"/>
        <w:jc w:val="both"/>
        <w:rPr>
          <w:rFonts w:ascii="Arial" w:hAnsi="Arial" w:cs="Arial"/>
          <w:color w:val="000000"/>
          <w:sz w:val="22"/>
          <w:szCs w:val="22"/>
          <w:highlight w:val="yellow"/>
        </w:rPr>
      </w:pPr>
      <w:r w:rsidRPr="000040F8">
        <w:rPr>
          <w:rFonts w:ascii="Arial" w:hAnsi="Arial" w:cs="Arial"/>
          <w:color w:val="000000"/>
          <w:sz w:val="22"/>
          <w:szCs w:val="22"/>
        </w:rPr>
        <w:t xml:space="preserve">The Council incurred administration and investment management costs </w:t>
      </w:r>
      <w:r w:rsidRPr="00DE5F8A">
        <w:rPr>
          <w:rFonts w:ascii="Arial" w:hAnsi="Arial" w:cs="Arial"/>
          <w:color w:val="000000"/>
          <w:sz w:val="22"/>
          <w:szCs w:val="22"/>
        </w:rPr>
        <w:t xml:space="preserve">of </w:t>
      </w:r>
      <w:r w:rsidRPr="00DE5F8A">
        <w:rPr>
          <w:rFonts w:ascii="Arial" w:hAnsi="Arial" w:cs="Arial"/>
          <w:b/>
          <w:color w:val="000000"/>
          <w:sz w:val="22"/>
          <w:szCs w:val="22"/>
        </w:rPr>
        <w:t>£667.6k</w:t>
      </w:r>
      <w:r w:rsidRPr="000040F8">
        <w:rPr>
          <w:rFonts w:ascii="Arial" w:hAnsi="Arial" w:cs="Arial"/>
          <w:color w:val="000000"/>
          <w:sz w:val="22"/>
          <w:szCs w:val="22"/>
        </w:rPr>
        <w:t xml:space="preserve"> (</w:t>
      </w:r>
      <w:r>
        <w:rPr>
          <w:rFonts w:ascii="Arial" w:hAnsi="Arial" w:cs="Arial"/>
          <w:color w:val="000000"/>
          <w:sz w:val="22"/>
          <w:szCs w:val="22"/>
        </w:rPr>
        <w:t>2020/</w:t>
      </w:r>
      <w:r w:rsidRPr="005B49DC">
        <w:rPr>
          <w:rFonts w:ascii="Arial" w:hAnsi="Arial" w:cs="Arial"/>
          <w:color w:val="000000"/>
          <w:sz w:val="22"/>
          <w:szCs w:val="22"/>
        </w:rPr>
        <w:t>21 £715.4k</w:t>
      </w:r>
      <w:r w:rsidRPr="000040F8">
        <w:rPr>
          <w:rFonts w:ascii="Arial" w:hAnsi="Arial" w:cs="Arial"/>
          <w:color w:val="000000"/>
          <w:sz w:val="22"/>
          <w:szCs w:val="22"/>
        </w:rPr>
        <w:t xml:space="preserve">) in relation to the administration of the Fund and was subsequently reimbursed by the Fund for these expenses. </w:t>
      </w:r>
      <w:r w:rsidRPr="00676058">
        <w:rPr>
          <w:rFonts w:ascii="Arial" w:hAnsi="Arial" w:cs="Arial"/>
          <w:color w:val="000000"/>
          <w:sz w:val="22"/>
          <w:szCs w:val="22"/>
        </w:rPr>
        <w:t xml:space="preserve">The Council is also the single largest employer of members of the Fund and contributed </w:t>
      </w:r>
      <w:r w:rsidRPr="00676058">
        <w:rPr>
          <w:rFonts w:ascii="Arial" w:hAnsi="Arial" w:cs="Arial"/>
          <w:b/>
          <w:color w:val="000000"/>
          <w:sz w:val="22"/>
          <w:szCs w:val="22"/>
        </w:rPr>
        <w:t>£2</w:t>
      </w:r>
      <w:r>
        <w:rPr>
          <w:rFonts w:ascii="Arial" w:hAnsi="Arial" w:cs="Arial"/>
          <w:b/>
          <w:color w:val="000000"/>
          <w:sz w:val="22"/>
          <w:szCs w:val="22"/>
        </w:rPr>
        <w:t>7.1</w:t>
      </w:r>
      <w:r w:rsidRPr="00676058">
        <w:rPr>
          <w:rFonts w:ascii="Arial" w:hAnsi="Arial" w:cs="Arial"/>
          <w:b/>
          <w:color w:val="000000"/>
          <w:sz w:val="22"/>
          <w:szCs w:val="22"/>
        </w:rPr>
        <w:t>m</w:t>
      </w:r>
      <w:r w:rsidRPr="00676058">
        <w:rPr>
          <w:rFonts w:ascii="Arial" w:hAnsi="Arial" w:cs="Arial"/>
          <w:color w:val="000000"/>
          <w:sz w:val="22"/>
          <w:szCs w:val="22"/>
        </w:rPr>
        <w:t xml:space="preserve"> to the Fund in </w:t>
      </w:r>
      <w:r>
        <w:rPr>
          <w:rFonts w:ascii="Arial" w:hAnsi="Arial" w:cs="Arial"/>
          <w:color w:val="000000"/>
          <w:sz w:val="22"/>
          <w:szCs w:val="22"/>
        </w:rPr>
        <w:t>2021/22</w:t>
      </w:r>
      <w:r w:rsidRPr="00676058">
        <w:rPr>
          <w:rFonts w:ascii="Arial" w:hAnsi="Arial" w:cs="Arial"/>
          <w:color w:val="000000"/>
          <w:sz w:val="22"/>
          <w:szCs w:val="22"/>
        </w:rPr>
        <w:t xml:space="preserve"> (20</w:t>
      </w:r>
      <w:r>
        <w:rPr>
          <w:rFonts w:ascii="Arial" w:hAnsi="Arial" w:cs="Arial"/>
          <w:color w:val="000000"/>
          <w:sz w:val="22"/>
          <w:szCs w:val="22"/>
        </w:rPr>
        <w:t>20/21</w:t>
      </w:r>
      <w:r w:rsidRPr="00676058">
        <w:rPr>
          <w:rFonts w:ascii="Arial" w:hAnsi="Arial" w:cs="Arial"/>
          <w:color w:val="000000"/>
          <w:sz w:val="22"/>
          <w:szCs w:val="22"/>
        </w:rPr>
        <w:t xml:space="preserve"> £24.</w:t>
      </w:r>
      <w:r>
        <w:rPr>
          <w:rFonts w:ascii="Arial" w:hAnsi="Arial" w:cs="Arial"/>
          <w:color w:val="000000"/>
          <w:sz w:val="22"/>
          <w:szCs w:val="22"/>
        </w:rPr>
        <w:t>7</w:t>
      </w:r>
      <w:r w:rsidRPr="00676058">
        <w:rPr>
          <w:rFonts w:ascii="Arial" w:hAnsi="Arial" w:cs="Arial"/>
          <w:color w:val="000000"/>
          <w:sz w:val="22"/>
          <w:szCs w:val="22"/>
        </w:rPr>
        <w:t>m). All monies owing to and due from the Fund were paid in year.</w:t>
      </w:r>
    </w:p>
    <w:p w14:paraId="19C03BFB" w14:textId="77777777" w:rsidR="00F753E8" w:rsidRPr="00AF406A" w:rsidRDefault="00F753E8" w:rsidP="00F753E8">
      <w:pPr>
        <w:ind w:left="425"/>
        <w:jc w:val="both"/>
        <w:rPr>
          <w:rFonts w:ascii="Arial" w:hAnsi="Arial" w:cs="Arial"/>
          <w:color w:val="000000"/>
          <w:sz w:val="22"/>
          <w:szCs w:val="22"/>
          <w:highlight w:val="yellow"/>
        </w:rPr>
      </w:pPr>
    </w:p>
    <w:p w14:paraId="789C6C45" w14:textId="26909C94" w:rsidR="007721ED" w:rsidRPr="00B056DE" w:rsidRDefault="00F753E8" w:rsidP="00D72482">
      <w:pPr>
        <w:ind w:left="425"/>
        <w:jc w:val="both"/>
        <w:rPr>
          <w:rFonts w:ascii="Arial" w:hAnsi="Arial" w:cs="Arial"/>
          <w:b/>
          <w:sz w:val="28"/>
          <w:szCs w:val="28"/>
        </w:rPr>
      </w:pPr>
      <w:r w:rsidRPr="00F643AF">
        <w:rPr>
          <w:rFonts w:ascii="Arial" w:hAnsi="Arial" w:cs="Arial"/>
          <w:color w:val="000000"/>
          <w:sz w:val="22"/>
          <w:szCs w:val="22"/>
        </w:rPr>
        <w:t>In 202</w:t>
      </w:r>
      <w:r>
        <w:rPr>
          <w:rFonts w:ascii="Arial" w:hAnsi="Arial" w:cs="Arial"/>
          <w:color w:val="000000"/>
          <w:sz w:val="22"/>
          <w:szCs w:val="22"/>
        </w:rPr>
        <w:t>1</w:t>
      </w:r>
      <w:r w:rsidRPr="00F643AF">
        <w:rPr>
          <w:rFonts w:ascii="Arial" w:hAnsi="Arial" w:cs="Arial"/>
          <w:color w:val="000000"/>
          <w:sz w:val="22"/>
          <w:szCs w:val="22"/>
        </w:rPr>
        <w:t xml:space="preserve"> the Council prepaid two-years’ worth of employer contributions, totalling </w:t>
      </w:r>
      <w:r w:rsidRPr="00D72482">
        <w:rPr>
          <w:rFonts w:ascii="Arial" w:hAnsi="Arial" w:cs="Arial"/>
          <w:color w:val="000000"/>
          <w:sz w:val="22"/>
          <w:szCs w:val="22"/>
        </w:rPr>
        <w:t>£40.0m</w:t>
      </w:r>
      <w:r w:rsidRPr="00F643AF">
        <w:rPr>
          <w:rFonts w:ascii="Arial" w:hAnsi="Arial" w:cs="Arial"/>
          <w:color w:val="000000"/>
          <w:sz w:val="22"/>
          <w:szCs w:val="22"/>
        </w:rPr>
        <w:t xml:space="preserve">. As </w:t>
      </w:r>
      <w:proofErr w:type="gramStart"/>
      <w:r w:rsidRPr="00F643AF">
        <w:rPr>
          <w:rFonts w:ascii="Arial" w:hAnsi="Arial" w:cs="Arial"/>
          <w:color w:val="000000"/>
          <w:sz w:val="22"/>
          <w:szCs w:val="22"/>
        </w:rPr>
        <w:t>at</w:t>
      </w:r>
      <w:proofErr w:type="gramEnd"/>
      <w:r w:rsidRPr="00F643AF">
        <w:rPr>
          <w:rFonts w:ascii="Arial" w:hAnsi="Arial" w:cs="Arial"/>
          <w:color w:val="000000"/>
          <w:sz w:val="22"/>
          <w:szCs w:val="22"/>
        </w:rPr>
        <w:t xml:space="preserve"> 31 March 202</w:t>
      </w:r>
      <w:r>
        <w:rPr>
          <w:rFonts w:ascii="Arial" w:hAnsi="Arial" w:cs="Arial"/>
          <w:color w:val="000000"/>
          <w:sz w:val="22"/>
          <w:szCs w:val="22"/>
        </w:rPr>
        <w:t>2</w:t>
      </w:r>
      <w:r w:rsidRPr="00F643AF">
        <w:rPr>
          <w:rFonts w:ascii="Arial" w:hAnsi="Arial" w:cs="Arial"/>
          <w:color w:val="000000"/>
          <w:sz w:val="22"/>
          <w:szCs w:val="22"/>
        </w:rPr>
        <w:t xml:space="preserve"> one-year worth of prepaid employer’s contribution remained, totalling </w:t>
      </w:r>
      <w:r w:rsidRPr="00D72482">
        <w:rPr>
          <w:rFonts w:ascii="Arial" w:hAnsi="Arial" w:cs="Arial"/>
          <w:color w:val="000000"/>
          <w:sz w:val="22"/>
          <w:szCs w:val="22"/>
        </w:rPr>
        <w:t>£20.0m,</w:t>
      </w:r>
      <w:r w:rsidRPr="00F643AF">
        <w:rPr>
          <w:rFonts w:ascii="Arial" w:hAnsi="Arial" w:cs="Arial"/>
          <w:color w:val="000000"/>
          <w:sz w:val="22"/>
          <w:szCs w:val="22"/>
        </w:rPr>
        <w:t xml:space="preserve"> with the </w:t>
      </w:r>
      <w:r w:rsidR="005475A0" w:rsidRPr="00F643AF">
        <w:rPr>
          <w:rFonts w:ascii="Arial" w:hAnsi="Arial" w:cs="Arial"/>
          <w:color w:val="000000"/>
          <w:sz w:val="22"/>
          <w:szCs w:val="22"/>
        </w:rPr>
        <w:t>Fund and this has been included as a prepayment in the Fund’s debtors.</w:t>
      </w:r>
      <w:r w:rsidR="007721ED" w:rsidRPr="00C93105">
        <w:rPr>
          <w:rFonts w:ascii="Arial" w:hAnsi="Arial" w:cs="Arial"/>
          <w:b/>
        </w:rPr>
        <w:br w:type="page"/>
      </w:r>
    </w:p>
    <w:bookmarkEnd w:id="3"/>
    <w:p w14:paraId="6D162F89" w14:textId="77777777" w:rsidR="00427FA7" w:rsidRPr="00601B12" w:rsidRDefault="00427FA7" w:rsidP="00427FA7">
      <w:pPr>
        <w:rPr>
          <w:rFonts w:ascii="Arial" w:hAnsi="Arial" w:cs="Arial"/>
          <w:b/>
          <w:color w:val="A71937"/>
        </w:rPr>
      </w:pPr>
      <w:r w:rsidRPr="00601B12">
        <w:rPr>
          <w:rFonts w:ascii="Arial" w:hAnsi="Arial" w:cs="Arial"/>
          <w:b/>
          <w:color w:val="A71937"/>
        </w:rPr>
        <w:t xml:space="preserve">Appendix </w:t>
      </w:r>
      <w:r w:rsidR="00AF17F2" w:rsidRPr="00601B12">
        <w:rPr>
          <w:rFonts w:ascii="Arial" w:hAnsi="Arial" w:cs="Arial"/>
          <w:b/>
          <w:color w:val="A71937"/>
        </w:rPr>
        <w:t>2</w:t>
      </w:r>
      <w:r w:rsidRPr="00601B12">
        <w:rPr>
          <w:rFonts w:ascii="Arial" w:hAnsi="Arial" w:cs="Arial"/>
          <w:b/>
          <w:color w:val="A71937"/>
        </w:rPr>
        <w:t>: Governance Compliance Statement</w:t>
      </w:r>
    </w:p>
    <w:p w14:paraId="6D162F8A" w14:textId="77777777" w:rsidR="00AF17F2" w:rsidRPr="00601B12" w:rsidRDefault="00AF17F2" w:rsidP="00427FA7">
      <w:pPr>
        <w:rPr>
          <w:rFonts w:ascii="Arial" w:hAnsi="Arial" w:cs="Arial"/>
          <w:color w:val="000000"/>
        </w:rPr>
      </w:pPr>
    </w:p>
    <w:p w14:paraId="6D162F8B"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In accordance with the Local Government Pension Scheme Regulations 2007, Local Government Pension Scheme administering authorities are now required to prepare a Governance Compliance Statement.  This statement sets out how administering authorities comply with the best practice guidance as issued by the Secretary of State for Communities and Local Government. </w:t>
      </w:r>
    </w:p>
    <w:p w14:paraId="6D162F8C" w14:textId="77777777" w:rsidR="00427FA7" w:rsidRPr="00601B12" w:rsidRDefault="00427FA7" w:rsidP="00AF17F2">
      <w:pPr>
        <w:jc w:val="both"/>
        <w:rPr>
          <w:rFonts w:ascii="Arial" w:hAnsi="Arial" w:cs="Arial"/>
          <w:sz w:val="22"/>
          <w:szCs w:val="22"/>
        </w:rPr>
      </w:pPr>
    </w:p>
    <w:p w14:paraId="6D162F8D"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Governance and Compliance Statement sets out best practice guidance and how the London Borough of Barking and Dagenham (the Council) comply with this guidance. </w:t>
      </w:r>
    </w:p>
    <w:p w14:paraId="6D162F8E" w14:textId="77777777" w:rsidR="00427FA7" w:rsidRPr="00601B12" w:rsidRDefault="00427FA7" w:rsidP="00AF17F2">
      <w:pPr>
        <w:ind w:left="567"/>
        <w:jc w:val="both"/>
        <w:rPr>
          <w:rFonts w:ascii="Arial" w:hAnsi="Arial" w:cs="Arial"/>
          <w:sz w:val="22"/>
          <w:szCs w:val="22"/>
        </w:rPr>
      </w:pPr>
    </w:p>
    <w:p w14:paraId="6D162F8F" w14:textId="77777777" w:rsidR="00427FA7" w:rsidRPr="00601B12" w:rsidRDefault="00427FA7" w:rsidP="00AF17F2">
      <w:pPr>
        <w:pStyle w:val="ListParagraph"/>
        <w:spacing w:after="0" w:line="240" w:lineRule="auto"/>
        <w:ind w:left="0"/>
        <w:jc w:val="both"/>
        <w:rPr>
          <w:rFonts w:ascii="Arial" w:hAnsi="Arial" w:cs="Arial"/>
          <w:b/>
          <w:bCs/>
        </w:rPr>
      </w:pPr>
      <w:r w:rsidRPr="00601B12">
        <w:rPr>
          <w:rFonts w:ascii="Arial" w:hAnsi="Arial" w:cs="Arial"/>
          <w:b/>
          <w:bCs/>
        </w:rPr>
        <w:t>Structure</w:t>
      </w:r>
    </w:p>
    <w:p w14:paraId="6D162F90" w14:textId="77777777" w:rsidR="00427FA7" w:rsidRPr="00601B12" w:rsidRDefault="00427FA7" w:rsidP="00AF17F2">
      <w:pPr>
        <w:jc w:val="both"/>
        <w:rPr>
          <w:rFonts w:ascii="Arial" w:hAnsi="Arial" w:cs="Arial"/>
          <w:sz w:val="22"/>
          <w:szCs w:val="22"/>
        </w:rPr>
      </w:pPr>
    </w:p>
    <w:p w14:paraId="6D162F91" w14:textId="77777777" w:rsidR="00427FA7" w:rsidRPr="00601B12" w:rsidRDefault="00427FA7" w:rsidP="007337FE">
      <w:pPr>
        <w:pStyle w:val="ListParagraph"/>
        <w:numPr>
          <w:ilvl w:val="0"/>
          <w:numId w:val="44"/>
        </w:numPr>
        <w:spacing w:after="0" w:line="240" w:lineRule="auto"/>
        <w:jc w:val="both"/>
        <w:rPr>
          <w:rFonts w:ascii="Arial" w:hAnsi="Arial" w:cs="Arial"/>
        </w:rPr>
      </w:pPr>
      <w:r w:rsidRPr="00601B12">
        <w:rPr>
          <w:rFonts w:ascii="Arial" w:hAnsi="Arial" w:cs="Arial"/>
        </w:rPr>
        <w:t xml:space="preserve">The management of the administration of benefits and strategic management of fund assets clearly rests with the main committee established by the appointing </w:t>
      </w:r>
      <w:proofErr w:type="gramStart"/>
      <w:r w:rsidRPr="00601B12">
        <w:rPr>
          <w:rFonts w:ascii="Arial" w:hAnsi="Arial" w:cs="Arial"/>
        </w:rPr>
        <w:t>council;</w:t>
      </w:r>
      <w:proofErr w:type="gramEnd"/>
      <w:r w:rsidRPr="00601B12">
        <w:rPr>
          <w:rFonts w:ascii="Arial" w:hAnsi="Arial" w:cs="Arial"/>
        </w:rPr>
        <w:t xml:space="preserve"> </w:t>
      </w:r>
    </w:p>
    <w:p w14:paraId="6D162F92" w14:textId="77777777" w:rsidR="00427FA7" w:rsidRPr="00601B12" w:rsidRDefault="00427FA7" w:rsidP="007337FE">
      <w:pPr>
        <w:pStyle w:val="ListParagraph"/>
        <w:numPr>
          <w:ilvl w:val="0"/>
          <w:numId w:val="44"/>
        </w:numPr>
        <w:spacing w:after="0" w:line="240" w:lineRule="auto"/>
        <w:jc w:val="both"/>
        <w:rPr>
          <w:rFonts w:ascii="Arial" w:hAnsi="Arial" w:cs="Arial"/>
        </w:rPr>
      </w:pPr>
      <w:r w:rsidRPr="00601B12">
        <w:rPr>
          <w:rFonts w:ascii="Arial" w:hAnsi="Arial" w:cs="Arial"/>
        </w:rPr>
        <w:t xml:space="preserve">Representatives of participating LGPS employers, admitted bodies and scheme members (including pensioner and deferred members) are members of either the main or secondary committee established to underpin the work of the main </w:t>
      </w:r>
      <w:proofErr w:type="gramStart"/>
      <w:r w:rsidRPr="00601B12">
        <w:rPr>
          <w:rFonts w:ascii="Arial" w:hAnsi="Arial" w:cs="Arial"/>
        </w:rPr>
        <w:t>committee;</w:t>
      </w:r>
      <w:proofErr w:type="gramEnd"/>
      <w:r w:rsidRPr="00601B12">
        <w:rPr>
          <w:rFonts w:ascii="Arial" w:hAnsi="Arial" w:cs="Arial"/>
        </w:rPr>
        <w:t xml:space="preserve"> </w:t>
      </w:r>
    </w:p>
    <w:p w14:paraId="6D162F93" w14:textId="77777777" w:rsidR="00427FA7" w:rsidRPr="00601B12" w:rsidRDefault="00427FA7" w:rsidP="007337FE">
      <w:pPr>
        <w:pStyle w:val="ListParagraph"/>
        <w:numPr>
          <w:ilvl w:val="0"/>
          <w:numId w:val="44"/>
        </w:numPr>
        <w:spacing w:after="0" w:line="240" w:lineRule="auto"/>
        <w:jc w:val="both"/>
        <w:rPr>
          <w:rFonts w:ascii="Arial" w:hAnsi="Arial" w:cs="Arial"/>
        </w:rPr>
      </w:pPr>
      <w:r w:rsidRPr="00601B12">
        <w:rPr>
          <w:rFonts w:ascii="Arial" w:hAnsi="Arial" w:cs="Arial"/>
        </w:rPr>
        <w:t xml:space="preserve">Where a secondary committee or </w:t>
      </w:r>
      <w:r w:rsidR="00D576F8" w:rsidRPr="00601B12">
        <w:rPr>
          <w:rFonts w:ascii="Arial" w:hAnsi="Arial" w:cs="Arial"/>
        </w:rPr>
        <w:t>Committee</w:t>
      </w:r>
      <w:r w:rsidRPr="00601B12">
        <w:rPr>
          <w:rFonts w:ascii="Arial" w:hAnsi="Arial" w:cs="Arial"/>
        </w:rPr>
        <w:t xml:space="preserve"> has been established, the structure ensures effective communication across both </w:t>
      </w:r>
      <w:proofErr w:type="gramStart"/>
      <w:r w:rsidRPr="00601B12">
        <w:rPr>
          <w:rFonts w:ascii="Arial" w:hAnsi="Arial" w:cs="Arial"/>
        </w:rPr>
        <w:t>levels;</w:t>
      </w:r>
      <w:proofErr w:type="gramEnd"/>
    </w:p>
    <w:p w14:paraId="6D162F94" w14:textId="77777777" w:rsidR="00427FA7" w:rsidRPr="00601B12" w:rsidRDefault="00427FA7" w:rsidP="007337FE">
      <w:pPr>
        <w:pStyle w:val="ListParagraph"/>
        <w:numPr>
          <w:ilvl w:val="0"/>
          <w:numId w:val="44"/>
        </w:numPr>
        <w:spacing w:after="0" w:line="240" w:lineRule="auto"/>
        <w:jc w:val="both"/>
        <w:rPr>
          <w:rFonts w:ascii="Arial" w:hAnsi="Arial" w:cs="Arial"/>
        </w:rPr>
      </w:pPr>
      <w:r w:rsidRPr="00601B12">
        <w:rPr>
          <w:rFonts w:ascii="Arial" w:hAnsi="Arial" w:cs="Arial"/>
        </w:rPr>
        <w:t xml:space="preserve">Where a secondary committee or </w:t>
      </w:r>
      <w:r w:rsidR="00D576F8" w:rsidRPr="00601B12">
        <w:rPr>
          <w:rFonts w:ascii="Arial" w:hAnsi="Arial" w:cs="Arial"/>
        </w:rPr>
        <w:t>Committee</w:t>
      </w:r>
      <w:r w:rsidRPr="00601B12">
        <w:rPr>
          <w:rFonts w:ascii="Arial" w:hAnsi="Arial" w:cs="Arial"/>
        </w:rPr>
        <w:t xml:space="preserve"> has been established, at least one seat on the main </w:t>
      </w:r>
      <w:r w:rsidR="00D576F8" w:rsidRPr="00601B12">
        <w:rPr>
          <w:rFonts w:ascii="Arial" w:hAnsi="Arial" w:cs="Arial"/>
        </w:rPr>
        <w:t>Committee</w:t>
      </w:r>
      <w:r w:rsidRPr="00601B12">
        <w:rPr>
          <w:rFonts w:ascii="Arial" w:hAnsi="Arial" w:cs="Arial"/>
        </w:rPr>
        <w:t xml:space="preserve"> is allocated for a member from the secondary committee or </w:t>
      </w:r>
      <w:r w:rsidR="00D576F8" w:rsidRPr="00601B12">
        <w:rPr>
          <w:rFonts w:ascii="Arial" w:hAnsi="Arial" w:cs="Arial"/>
        </w:rPr>
        <w:t>Committee</w:t>
      </w:r>
      <w:r w:rsidRPr="00601B12">
        <w:rPr>
          <w:rFonts w:ascii="Arial" w:hAnsi="Arial" w:cs="Arial"/>
        </w:rPr>
        <w:t xml:space="preserve">. </w:t>
      </w:r>
    </w:p>
    <w:p w14:paraId="6D162F95" w14:textId="77777777" w:rsidR="00427FA7" w:rsidRPr="00601B12" w:rsidRDefault="00427FA7" w:rsidP="00AF17F2">
      <w:pPr>
        <w:jc w:val="both"/>
        <w:rPr>
          <w:rFonts w:ascii="Arial" w:hAnsi="Arial" w:cs="Arial"/>
          <w:sz w:val="22"/>
          <w:szCs w:val="22"/>
        </w:rPr>
      </w:pPr>
    </w:p>
    <w:p w14:paraId="6D162F96"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Council delegates the management of the Fund to the Pension </w:t>
      </w:r>
      <w:r w:rsidR="00D576F8" w:rsidRPr="00601B12">
        <w:rPr>
          <w:rFonts w:ascii="Arial" w:hAnsi="Arial" w:cs="Arial"/>
          <w:sz w:val="22"/>
          <w:szCs w:val="22"/>
        </w:rPr>
        <w:t>Committee</w:t>
      </w:r>
      <w:r w:rsidRPr="00601B12">
        <w:rPr>
          <w:rFonts w:ascii="Arial" w:hAnsi="Arial" w:cs="Arial"/>
          <w:sz w:val="22"/>
          <w:szCs w:val="22"/>
        </w:rPr>
        <w:t xml:space="preserve">. The </w:t>
      </w:r>
      <w:r w:rsidR="00D576F8" w:rsidRPr="00601B12">
        <w:rPr>
          <w:rFonts w:ascii="Arial" w:hAnsi="Arial" w:cs="Arial"/>
          <w:sz w:val="22"/>
          <w:szCs w:val="22"/>
        </w:rPr>
        <w:t>Committee</w:t>
      </w:r>
      <w:r w:rsidRPr="00601B12">
        <w:rPr>
          <w:rFonts w:ascii="Arial" w:hAnsi="Arial" w:cs="Arial"/>
          <w:sz w:val="22"/>
          <w:szCs w:val="22"/>
        </w:rPr>
        <w:t xml:space="preserve"> meets on a quarterly basis.</w:t>
      </w:r>
    </w:p>
    <w:p w14:paraId="6D162F97" w14:textId="77777777" w:rsidR="00427FA7" w:rsidRPr="00601B12" w:rsidRDefault="00427FA7" w:rsidP="00AF17F2">
      <w:pPr>
        <w:jc w:val="both"/>
        <w:rPr>
          <w:rFonts w:ascii="Arial" w:hAnsi="Arial" w:cs="Arial"/>
          <w:sz w:val="22"/>
          <w:szCs w:val="22"/>
        </w:rPr>
      </w:pPr>
    </w:p>
    <w:p w14:paraId="6D162F98" w14:textId="72BA0A8F"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w:t>
      </w:r>
      <w:r w:rsidR="00D576F8" w:rsidRPr="00601B12">
        <w:rPr>
          <w:rFonts w:ascii="Arial" w:hAnsi="Arial" w:cs="Arial"/>
          <w:sz w:val="22"/>
          <w:szCs w:val="22"/>
        </w:rPr>
        <w:t>Committee</w:t>
      </w:r>
      <w:r w:rsidRPr="00601B12">
        <w:rPr>
          <w:rFonts w:ascii="Arial" w:hAnsi="Arial" w:cs="Arial"/>
          <w:sz w:val="22"/>
          <w:szCs w:val="22"/>
        </w:rPr>
        <w:t xml:space="preserve"> comprises </w:t>
      </w:r>
      <w:r w:rsidR="0099171A" w:rsidRPr="00601B12">
        <w:rPr>
          <w:rFonts w:ascii="Arial" w:hAnsi="Arial" w:cs="Arial"/>
          <w:sz w:val="22"/>
          <w:szCs w:val="22"/>
        </w:rPr>
        <w:t>seven</w:t>
      </w:r>
      <w:r w:rsidRPr="00601B12">
        <w:rPr>
          <w:rFonts w:ascii="Arial" w:hAnsi="Arial" w:cs="Arial"/>
          <w:sz w:val="22"/>
          <w:szCs w:val="22"/>
        </w:rPr>
        <w:t xml:space="preserve"> Councillors. The </w:t>
      </w:r>
      <w:r w:rsidR="00D576F8" w:rsidRPr="00601B12">
        <w:rPr>
          <w:rFonts w:ascii="Arial" w:hAnsi="Arial" w:cs="Arial"/>
          <w:sz w:val="22"/>
          <w:szCs w:val="22"/>
        </w:rPr>
        <w:t>Committee</w:t>
      </w:r>
      <w:r w:rsidRPr="00601B12">
        <w:rPr>
          <w:rFonts w:ascii="Arial" w:hAnsi="Arial" w:cs="Arial"/>
          <w:sz w:val="22"/>
          <w:szCs w:val="22"/>
        </w:rPr>
        <w:t xml:space="preserve"> also includes representation from the General and Municipal Boilermakers Union (GMB)</w:t>
      </w:r>
      <w:r w:rsidR="00897436" w:rsidRPr="00601B12">
        <w:rPr>
          <w:rFonts w:ascii="Arial" w:hAnsi="Arial" w:cs="Arial"/>
          <w:sz w:val="22"/>
          <w:szCs w:val="22"/>
        </w:rPr>
        <w:t>, from an employee representative and from an employer within the Fund</w:t>
      </w:r>
      <w:r w:rsidRPr="00601B12">
        <w:rPr>
          <w:rFonts w:ascii="Arial" w:hAnsi="Arial" w:cs="Arial"/>
          <w:sz w:val="22"/>
          <w:szCs w:val="22"/>
        </w:rPr>
        <w:t xml:space="preserve">. Admitted bodies are not represented on the </w:t>
      </w:r>
      <w:r w:rsidR="00DF6E78" w:rsidRPr="00601B12">
        <w:rPr>
          <w:rFonts w:ascii="Arial" w:hAnsi="Arial" w:cs="Arial"/>
          <w:sz w:val="22"/>
          <w:szCs w:val="22"/>
        </w:rPr>
        <w:t>Committee but</w:t>
      </w:r>
      <w:r w:rsidRPr="00601B12">
        <w:rPr>
          <w:rFonts w:ascii="Arial" w:hAnsi="Arial" w:cs="Arial"/>
          <w:sz w:val="22"/>
          <w:szCs w:val="22"/>
        </w:rPr>
        <w:t xml:space="preserve"> are consulted on a regular basis. The </w:t>
      </w:r>
      <w:r w:rsidR="00D576F8" w:rsidRPr="00601B12">
        <w:rPr>
          <w:rFonts w:ascii="Arial" w:hAnsi="Arial" w:cs="Arial"/>
          <w:sz w:val="22"/>
          <w:szCs w:val="22"/>
        </w:rPr>
        <w:t>Committee</w:t>
      </w:r>
      <w:r w:rsidRPr="00601B12">
        <w:rPr>
          <w:rFonts w:ascii="Arial" w:hAnsi="Arial" w:cs="Arial"/>
          <w:sz w:val="22"/>
          <w:szCs w:val="22"/>
        </w:rPr>
        <w:t xml:space="preserve"> reviews its terms of reference on a regular basis, so this position will be reviewed </w:t>
      </w:r>
      <w:proofErr w:type="gramStart"/>
      <w:r w:rsidRPr="00601B12">
        <w:rPr>
          <w:rFonts w:ascii="Arial" w:hAnsi="Arial" w:cs="Arial"/>
          <w:sz w:val="22"/>
          <w:szCs w:val="22"/>
        </w:rPr>
        <w:t>in the near future</w:t>
      </w:r>
      <w:proofErr w:type="gramEnd"/>
      <w:r w:rsidRPr="00601B12">
        <w:rPr>
          <w:rFonts w:ascii="Arial" w:hAnsi="Arial" w:cs="Arial"/>
          <w:sz w:val="22"/>
          <w:szCs w:val="22"/>
        </w:rPr>
        <w:t xml:space="preserve">. </w:t>
      </w:r>
    </w:p>
    <w:p w14:paraId="6D162F99" w14:textId="77777777" w:rsidR="00427FA7" w:rsidRPr="00601B12" w:rsidRDefault="00427FA7" w:rsidP="00AF17F2">
      <w:pPr>
        <w:jc w:val="both"/>
        <w:rPr>
          <w:rFonts w:ascii="Arial" w:hAnsi="Arial" w:cs="Arial"/>
          <w:sz w:val="22"/>
          <w:szCs w:val="22"/>
        </w:rPr>
      </w:pPr>
    </w:p>
    <w:p w14:paraId="6D162F9A"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Pension </w:t>
      </w:r>
      <w:r w:rsidR="00D576F8" w:rsidRPr="00601B12">
        <w:rPr>
          <w:rFonts w:ascii="Arial" w:hAnsi="Arial" w:cs="Arial"/>
          <w:sz w:val="22"/>
          <w:szCs w:val="22"/>
        </w:rPr>
        <w:t>Committee</w:t>
      </w:r>
      <w:r w:rsidRPr="00601B12">
        <w:rPr>
          <w:rFonts w:ascii="Arial" w:hAnsi="Arial" w:cs="Arial"/>
          <w:sz w:val="22"/>
          <w:szCs w:val="22"/>
        </w:rPr>
        <w:t xml:space="preserve"> terms of reference are set out below and the </w:t>
      </w:r>
      <w:r w:rsidR="00D576F8" w:rsidRPr="00601B12">
        <w:rPr>
          <w:rFonts w:ascii="Arial" w:hAnsi="Arial" w:cs="Arial"/>
          <w:sz w:val="22"/>
          <w:szCs w:val="22"/>
        </w:rPr>
        <w:t>Committee</w:t>
      </w:r>
      <w:r w:rsidRPr="00601B12">
        <w:rPr>
          <w:rFonts w:ascii="Arial" w:hAnsi="Arial" w:cs="Arial"/>
          <w:sz w:val="22"/>
          <w:szCs w:val="22"/>
        </w:rPr>
        <w:t xml:space="preserve"> is responsible for monitoring all aspects relating to the investment of the assets of the Fund as </w:t>
      </w:r>
      <w:r w:rsidR="009E4478" w:rsidRPr="00601B12">
        <w:rPr>
          <w:rFonts w:ascii="Arial" w:hAnsi="Arial" w:cs="Arial"/>
          <w:sz w:val="22"/>
          <w:szCs w:val="22"/>
        </w:rPr>
        <w:t>follows: -</w:t>
      </w:r>
    </w:p>
    <w:p w14:paraId="6D162F9B" w14:textId="77777777" w:rsidR="00427FA7" w:rsidRPr="00601B12" w:rsidRDefault="00427FA7" w:rsidP="00AF17F2">
      <w:pPr>
        <w:pStyle w:val="BodyText"/>
        <w:spacing w:after="0"/>
        <w:jc w:val="both"/>
        <w:rPr>
          <w:rFonts w:ascii="Arial" w:hAnsi="Arial" w:cs="Arial"/>
          <w:sz w:val="22"/>
          <w:szCs w:val="22"/>
        </w:rPr>
      </w:pPr>
    </w:p>
    <w:p w14:paraId="6D162F9C" w14:textId="77777777" w:rsidR="00427FA7" w:rsidRPr="00601B12" w:rsidRDefault="00427FA7" w:rsidP="004C17A4">
      <w:pPr>
        <w:pStyle w:val="HRbullet"/>
        <w:numPr>
          <w:ilvl w:val="0"/>
          <w:numId w:val="13"/>
        </w:numPr>
        <w:spacing w:after="0"/>
        <w:ind w:left="357" w:hanging="357"/>
        <w:rPr>
          <w:rFonts w:ascii="Arial" w:hAnsi="Arial" w:cs="Arial"/>
          <w:color w:val="auto"/>
          <w:sz w:val="22"/>
          <w:szCs w:val="22"/>
        </w:rPr>
      </w:pPr>
      <w:r w:rsidRPr="00601B12">
        <w:rPr>
          <w:rFonts w:ascii="Arial" w:hAnsi="Arial" w:cs="Arial"/>
          <w:sz w:val="22"/>
          <w:szCs w:val="22"/>
        </w:rPr>
        <w:t xml:space="preserve">The </w:t>
      </w:r>
      <w:r w:rsidR="00D576F8" w:rsidRPr="00601B12">
        <w:rPr>
          <w:rFonts w:ascii="Arial" w:hAnsi="Arial" w:cs="Arial"/>
          <w:sz w:val="22"/>
          <w:szCs w:val="22"/>
        </w:rPr>
        <w:t>Committee</w:t>
      </w:r>
      <w:r w:rsidRPr="00601B12">
        <w:rPr>
          <w:rFonts w:ascii="Arial" w:hAnsi="Arial" w:cs="Arial"/>
          <w:sz w:val="22"/>
          <w:szCs w:val="22"/>
        </w:rPr>
        <w:t xml:space="preserve"> will formally review the Fund’s asset allocation at least annually, taking account of any changes in the profile of Fund liabilities and any guidance from the </w:t>
      </w:r>
      <w:r w:rsidR="00D576F8" w:rsidRPr="00601B12">
        <w:rPr>
          <w:rFonts w:ascii="Arial" w:hAnsi="Arial" w:cs="Arial"/>
          <w:sz w:val="22"/>
          <w:szCs w:val="22"/>
        </w:rPr>
        <w:t>Committee</w:t>
      </w:r>
      <w:r w:rsidRPr="00601B12">
        <w:rPr>
          <w:rFonts w:ascii="Arial" w:hAnsi="Arial" w:cs="Arial"/>
          <w:sz w:val="22"/>
          <w:szCs w:val="22"/>
        </w:rPr>
        <w:t xml:space="preserve"> regarding tolerance of risk.  They will recommend changes in asset allocation to </w:t>
      </w:r>
      <w:r w:rsidRPr="00601B12">
        <w:rPr>
          <w:rFonts w:ascii="Arial" w:hAnsi="Arial" w:cs="Arial"/>
          <w:color w:val="auto"/>
          <w:sz w:val="22"/>
          <w:szCs w:val="22"/>
        </w:rPr>
        <w:t xml:space="preserve">the </w:t>
      </w:r>
      <w:proofErr w:type="gramStart"/>
      <w:r w:rsidRPr="00601B12">
        <w:rPr>
          <w:rFonts w:ascii="Arial" w:hAnsi="Arial" w:cs="Arial"/>
          <w:color w:val="auto"/>
          <w:sz w:val="22"/>
          <w:szCs w:val="22"/>
        </w:rPr>
        <w:t>Executive;</w:t>
      </w:r>
      <w:proofErr w:type="gramEnd"/>
      <w:r w:rsidRPr="00601B12">
        <w:rPr>
          <w:rFonts w:ascii="Arial" w:hAnsi="Arial" w:cs="Arial"/>
          <w:color w:val="auto"/>
          <w:sz w:val="22"/>
          <w:szCs w:val="22"/>
        </w:rPr>
        <w:t xml:space="preserve"> </w:t>
      </w:r>
    </w:p>
    <w:p w14:paraId="6D162F9D" w14:textId="77777777" w:rsidR="00427FA7" w:rsidRPr="00601B12" w:rsidRDefault="00427FA7" w:rsidP="004C17A4">
      <w:pPr>
        <w:pStyle w:val="HRbullet"/>
        <w:numPr>
          <w:ilvl w:val="0"/>
          <w:numId w:val="13"/>
        </w:numPr>
        <w:spacing w:after="0"/>
        <w:ind w:left="357" w:hanging="357"/>
        <w:rPr>
          <w:rFonts w:ascii="Arial" w:hAnsi="Arial" w:cs="Arial"/>
          <w:sz w:val="22"/>
          <w:szCs w:val="22"/>
        </w:rPr>
      </w:pPr>
      <w:r w:rsidRPr="00601B12">
        <w:rPr>
          <w:rFonts w:ascii="Arial" w:hAnsi="Arial" w:cs="Arial"/>
          <w:sz w:val="22"/>
          <w:szCs w:val="22"/>
        </w:rPr>
        <w:t xml:space="preserve">The </w:t>
      </w:r>
      <w:r w:rsidR="00D576F8" w:rsidRPr="00601B12">
        <w:rPr>
          <w:rFonts w:ascii="Arial" w:hAnsi="Arial" w:cs="Arial"/>
          <w:sz w:val="22"/>
          <w:szCs w:val="22"/>
        </w:rPr>
        <w:t>Committee</w:t>
      </w:r>
      <w:r w:rsidRPr="00601B12">
        <w:rPr>
          <w:rFonts w:ascii="Arial" w:hAnsi="Arial" w:cs="Arial"/>
          <w:sz w:val="22"/>
          <w:szCs w:val="22"/>
        </w:rPr>
        <w:t xml:space="preserve"> will consider and monitor the Quarterly Reports produced by their Investment Manager.  In addition to managers’ portfolio and performance reporting, the </w:t>
      </w:r>
      <w:r w:rsidR="00D576F8" w:rsidRPr="00601B12">
        <w:rPr>
          <w:rFonts w:ascii="Arial" w:hAnsi="Arial" w:cs="Arial"/>
          <w:sz w:val="22"/>
          <w:szCs w:val="22"/>
        </w:rPr>
        <w:t>Committee</w:t>
      </w:r>
      <w:r w:rsidRPr="00601B12">
        <w:rPr>
          <w:rFonts w:ascii="Arial" w:hAnsi="Arial" w:cs="Arial"/>
          <w:sz w:val="22"/>
          <w:szCs w:val="22"/>
        </w:rPr>
        <w:t xml:space="preserve"> will also receive and review information from the managers on risk analysis, transaction costs, and details of corporate governance (including SRI, voting activity and engagement with management</w:t>
      </w:r>
      <w:proofErr w:type="gramStart"/>
      <w:r w:rsidRPr="00601B12">
        <w:rPr>
          <w:rFonts w:ascii="Arial" w:hAnsi="Arial" w:cs="Arial"/>
          <w:sz w:val="22"/>
          <w:szCs w:val="22"/>
        </w:rPr>
        <w:t>);</w:t>
      </w:r>
      <w:proofErr w:type="gramEnd"/>
      <w:r w:rsidRPr="00601B12">
        <w:rPr>
          <w:rFonts w:ascii="Arial" w:hAnsi="Arial" w:cs="Arial"/>
          <w:sz w:val="22"/>
          <w:szCs w:val="22"/>
        </w:rPr>
        <w:t xml:space="preserve">    </w:t>
      </w:r>
    </w:p>
    <w:p w14:paraId="6D162F9E" w14:textId="77777777" w:rsidR="00427FA7" w:rsidRPr="00601B12" w:rsidRDefault="00427FA7" w:rsidP="004C17A4">
      <w:pPr>
        <w:pStyle w:val="HRbullet"/>
        <w:numPr>
          <w:ilvl w:val="0"/>
          <w:numId w:val="13"/>
        </w:numPr>
        <w:spacing w:after="0"/>
        <w:ind w:left="357" w:hanging="357"/>
        <w:rPr>
          <w:rFonts w:ascii="Arial" w:hAnsi="Arial" w:cs="Arial"/>
          <w:sz w:val="22"/>
          <w:szCs w:val="22"/>
        </w:rPr>
      </w:pPr>
      <w:r w:rsidRPr="00601B12">
        <w:rPr>
          <w:rFonts w:ascii="Arial" w:hAnsi="Arial" w:cs="Arial"/>
          <w:sz w:val="22"/>
          <w:szCs w:val="22"/>
        </w:rPr>
        <w:t xml:space="preserve">The </w:t>
      </w:r>
      <w:r w:rsidR="00D576F8" w:rsidRPr="00601B12">
        <w:rPr>
          <w:rFonts w:ascii="Arial" w:hAnsi="Arial" w:cs="Arial"/>
          <w:sz w:val="22"/>
          <w:szCs w:val="22"/>
        </w:rPr>
        <w:t>Committee</w:t>
      </w:r>
      <w:r w:rsidRPr="00601B12">
        <w:rPr>
          <w:rFonts w:ascii="Arial" w:hAnsi="Arial" w:cs="Arial"/>
          <w:sz w:val="22"/>
          <w:szCs w:val="22"/>
        </w:rPr>
        <w:t xml:space="preserve"> will formally review annually the manager’s mandate, and its adherence to its expected investment process and style.  The </w:t>
      </w:r>
      <w:r w:rsidR="00D576F8" w:rsidRPr="00601B12">
        <w:rPr>
          <w:rFonts w:ascii="Arial" w:hAnsi="Arial" w:cs="Arial"/>
          <w:sz w:val="22"/>
          <w:szCs w:val="22"/>
        </w:rPr>
        <w:t>Committee</w:t>
      </w:r>
      <w:r w:rsidRPr="00601B12">
        <w:rPr>
          <w:rFonts w:ascii="Arial" w:hAnsi="Arial" w:cs="Arial"/>
          <w:sz w:val="22"/>
          <w:szCs w:val="22"/>
        </w:rPr>
        <w:t xml:space="preserve"> will ensure that the explicit written mandate of each of the Fund’s managers is consistent with the Fund’s overall objective and is appropriately defined in terms of performance target, risk parameters and </w:t>
      </w:r>
      <w:proofErr w:type="gramStart"/>
      <w:r w:rsidRPr="00601B12">
        <w:rPr>
          <w:rFonts w:ascii="Arial" w:hAnsi="Arial" w:cs="Arial"/>
          <w:sz w:val="22"/>
          <w:szCs w:val="22"/>
        </w:rPr>
        <w:t>timescale;</w:t>
      </w:r>
      <w:proofErr w:type="gramEnd"/>
    </w:p>
    <w:p w14:paraId="6D162F9F" w14:textId="77777777" w:rsidR="00427FA7" w:rsidRPr="00601B12" w:rsidRDefault="00427FA7" w:rsidP="004C17A4">
      <w:pPr>
        <w:pStyle w:val="HRbullet"/>
        <w:numPr>
          <w:ilvl w:val="0"/>
          <w:numId w:val="13"/>
        </w:numPr>
        <w:spacing w:after="0"/>
        <w:ind w:left="357" w:hanging="357"/>
        <w:rPr>
          <w:rFonts w:ascii="Arial" w:hAnsi="Arial" w:cs="Arial"/>
          <w:sz w:val="22"/>
          <w:szCs w:val="22"/>
        </w:rPr>
      </w:pPr>
      <w:r w:rsidRPr="00601B12">
        <w:rPr>
          <w:rFonts w:ascii="Arial" w:hAnsi="Arial" w:cs="Arial"/>
          <w:sz w:val="22"/>
          <w:szCs w:val="22"/>
        </w:rPr>
        <w:t xml:space="preserve">The </w:t>
      </w:r>
      <w:r w:rsidR="00D576F8" w:rsidRPr="00601B12">
        <w:rPr>
          <w:rFonts w:ascii="Arial" w:hAnsi="Arial" w:cs="Arial"/>
          <w:sz w:val="22"/>
          <w:szCs w:val="22"/>
        </w:rPr>
        <w:t>Committee</w:t>
      </w:r>
      <w:r w:rsidRPr="00601B12">
        <w:rPr>
          <w:rFonts w:ascii="Arial" w:hAnsi="Arial" w:cs="Arial"/>
          <w:sz w:val="22"/>
          <w:szCs w:val="22"/>
        </w:rPr>
        <w:t xml:space="preserve"> will consider the need for any changes to the Fund’s investment manager arrangements (</w:t>
      </w:r>
      <w:proofErr w:type="gramStart"/>
      <w:r w:rsidRPr="00601B12">
        <w:rPr>
          <w:rFonts w:ascii="Arial" w:hAnsi="Arial" w:cs="Arial"/>
          <w:sz w:val="22"/>
          <w:szCs w:val="22"/>
        </w:rPr>
        <w:t>e.g.</w:t>
      </w:r>
      <w:proofErr w:type="gramEnd"/>
      <w:r w:rsidRPr="00601B12">
        <w:rPr>
          <w:rFonts w:ascii="Arial" w:hAnsi="Arial" w:cs="Arial"/>
          <w:sz w:val="22"/>
          <w:szCs w:val="22"/>
        </w:rPr>
        <w:t xml:space="preserve"> replacement, addition, termination) at least annually.</w:t>
      </w:r>
    </w:p>
    <w:p w14:paraId="6D162FA0" w14:textId="77777777" w:rsidR="00427FA7" w:rsidRPr="00601B12" w:rsidRDefault="00427FA7" w:rsidP="004C17A4">
      <w:pPr>
        <w:pStyle w:val="HRbullet"/>
        <w:numPr>
          <w:ilvl w:val="0"/>
          <w:numId w:val="13"/>
        </w:numPr>
        <w:spacing w:after="0"/>
        <w:ind w:left="357" w:hanging="357"/>
        <w:rPr>
          <w:rFonts w:ascii="Arial" w:hAnsi="Arial" w:cs="Arial"/>
          <w:sz w:val="22"/>
          <w:szCs w:val="22"/>
        </w:rPr>
      </w:pPr>
      <w:r w:rsidRPr="00601B12">
        <w:rPr>
          <w:rFonts w:ascii="Arial" w:hAnsi="Arial" w:cs="Arial"/>
          <w:sz w:val="22"/>
          <w:szCs w:val="22"/>
        </w:rPr>
        <w:t xml:space="preserve">In the event of a proposed change of managers, the </w:t>
      </w:r>
      <w:r w:rsidR="00D576F8" w:rsidRPr="00601B12">
        <w:rPr>
          <w:rFonts w:ascii="Arial" w:hAnsi="Arial" w:cs="Arial"/>
          <w:sz w:val="22"/>
          <w:szCs w:val="22"/>
        </w:rPr>
        <w:t>Committee</w:t>
      </w:r>
      <w:r w:rsidRPr="00601B12">
        <w:rPr>
          <w:rFonts w:ascii="Arial" w:hAnsi="Arial" w:cs="Arial"/>
          <w:sz w:val="22"/>
          <w:szCs w:val="22"/>
        </w:rPr>
        <w:t xml:space="preserve"> will evaluate the credentials of potential </w:t>
      </w:r>
      <w:proofErr w:type="gramStart"/>
      <w:r w:rsidRPr="00601B12">
        <w:rPr>
          <w:rFonts w:ascii="Arial" w:hAnsi="Arial" w:cs="Arial"/>
          <w:sz w:val="22"/>
          <w:szCs w:val="22"/>
        </w:rPr>
        <w:t>managers;</w:t>
      </w:r>
      <w:proofErr w:type="gramEnd"/>
      <w:r w:rsidRPr="00601B12">
        <w:rPr>
          <w:rFonts w:ascii="Arial" w:hAnsi="Arial" w:cs="Arial"/>
          <w:sz w:val="22"/>
          <w:szCs w:val="22"/>
        </w:rPr>
        <w:t xml:space="preserve">  </w:t>
      </w:r>
    </w:p>
    <w:p w14:paraId="6D162FA1" w14:textId="77777777" w:rsidR="00427FA7" w:rsidRPr="00601B12" w:rsidRDefault="00427FA7" w:rsidP="004C17A4">
      <w:pPr>
        <w:pStyle w:val="HRbullet"/>
        <w:numPr>
          <w:ilvl w:val="0"/>
          <w:numId w:val="13"/>
        </w:numPr>
        <w:spacing w:after="0"/>
        <w:ind w:left="357" w:hanging="357"/>
        <w:rPr>
          <w:rFonts w:ascii="Arial" w:hAnsi="Arial" w:cs="Arial"/>
          <w:sz w:val="22"/>
          <w:szCs w:val="22"/>
        </w:rPr>
      </w:pPr>
      <w:r w:rsidRPr="00601B12">
        <w:rPr>
          <w:rFonts w:ascii="Arial" w:hAnsi="Arial" w:cs="Arial"/>
          <w:sz w:val="22"/>
          <w:szCs w:val="22"/>
        </w:rPr>
        <w:t xml:space="preserve">The </w:t>
      </w:r>
      <w:r w:rsidR="00D576F8" w:rsidRPr="00601B12">
        <w:rPr>
          <w:rFonts w:ascii="Arial" w:hAnsi="Arial" w:cs="Arial"/>
          <w:sz w:val="22"/>
          <w:szCs w:val="22"/>
        </w:rPr>
        <w:t>Committee</w:t>
      </w:r>
      <w:r w:rsidRPr="00601B12">
        <w:rPr>
          <w:rFonts w:ascii="Arial" w:hAnsi="Arial" w:cs="Arial"/>
          <w:sz w:val="22"/>
          <w:szCs w:val="22"/>
        </w:rPr>
        <w:t xml:space="preserve"> will consider the Fund’s approach to social, ethical and environmental issues of investment, corporate governance and shareholder </w:t>
      </w:r>
      <w:proofErr w:type="gramStart"/>
      <w:r w:rsidRPr="00601B12">
        <w:rPr>
          <w:rFonts w:ascii="Arial" w:hAnsi="Arial" w:cs="Arial"/>
          <w:sz w:val="22"/>
          <w:szCs w:val="22"/>
        </w:rPr>
        <w:t>activism;</w:t>
      </w:r>
      <w:proofErr w:type="gramEnd"/>
      <w:r w:rsidRPr="00601B12">
        <w:rPr>
          <w:rFonts w:ascii="Arial" w:hAnsi="Arial" w:cs="Arial"/>
          <w:sz w:val="22"/>
          <w:szCs w:val="22"/>
        </w:rPr>
        <w:t xml:space="preserve">  </w:t>
      </w:r>
    </w:p>
    <w:p w14:paraId="6D162FA2" w14:textId="77777777" w:rsidR="00427FA7" w:rsidRPr="00601B12" w:rsidRDefault="00427FA7" w:rsidP="004C17A4">
      <w:pPr>
        <w:pStyle w:val="HRbullet"/>
        <w:numPr>
          <w:ilvl w:val="0"/>
          <w:numId w:val="13"/>
        </w:numPr>
        <w:spacing w:after="0"/>
        <w:ind w:left="357" w:hanging="357"/>
        <w:rPr>
          <w:rFonts w:ascii="Arial" w:hAnsi="Arial" w:cs="Arial"/>
          <w:color w:val="auto"/>
          <w:sz w:val="22"/>
          <w:szCs w:val="22"/>
        </w:rPr>
      </w:pPr>
      <w:r w:rsidRPr="00601B12">
        <w:rPr>
          <w:rFonts w:ascii="Arial" w:hAnsi="Arial" w:cs="Arial"/>
          <w:sz w:val="22"/>
          <w:szCs w:val="22"/>
        </w:rPr>
        <w:t xml:space="preserve">The </w:t>
      </w:r>
      <w:r w:rsidR="00D576F8" w:rsidRPr="00601B12">
        <w:rPr>
          <w:rFonts w:ascii="Arial" w:hAnsi="Arial" w:cs="Arial"/>
          <w:sz w:val="22"/>
          <w:szCs w:val="22"/>
        </w:rPr>
        <w:t>Committee</w:t>
      </w:r>
      <w:r w:rsidRPr="00601B12">
        <w:rPr>
          <w:rFonts w:ascii="Arial" w:hAnsi="Arial" w:cs="Arial"/>
          <w:sz w:val="22"/>
          <w:szCs w:val="22"/>
        </w:rPr>
        <w:t xml:space="preserve"> will review the Fund’s AVC arrangements annually. If they consider a change is appropriate, they will make recommendations to the </w:t>
      </w:r>
      <w:proofErr w:type="gramStart"/>
      <w:r w:rsidRPr="00601B12">
        <w:rPr>
          <w:rFonts w:ascii="Arial" w:hAnsi="Arial" w:cs="Arial"/>
          <w:color w:val="auto"/>
          <w:sz w:val="22"/>
          <w:szCs w:val="22"/>
        </w:rPr>
        <w:t>Executive;</w:t>
      </w:r>
      <w:proofErr w:type="gramEnd"/>
    </w:p>
    <w:p w14:paraId="6D162FA3" w14:textId="77777777" w:rsidR="00427FA7" w:rsidRPr="00601B12" w:rsidRDefault="00427FA7" w:rsidP="004C17A4">
      <w:pPr>
        <w:pStyle w:val="HRbullet"/>
        <w:numPr>
          <w:ilvl w:val="0"/>
          <w:numId w:val="13"/>
        </w:numPr>
        <w:spacing w:after="0"/>
        <w:ind w:left="357" w:hanging="357"/>
        <w:rPr>
          <w:rFonts w:ascii="Arial" w:hAnsi="Arial" w:cs="Arial"/>
          <w:color w:val="auto"/>
          <w:sz w:val="22"/>
          <w:szCs w:val="22"/>
        </w:rPr>
      </w:pPr>
      <w:r w:rsidRPr="00601B12">
        <w:rPr>
          <w:rFonts w:ascii="Arial" w:hAnsi="Arial" w:cs="Arial"/>
          <w:color w:val="auto"/>
          <w:sz w:val="22"/>
          <w:szCs w:val="22"/>
        </w:rPr>
        <w:t xml:space="preserve">The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will monitor the investment advice from their investment consultant and investment services obtained from other providers (</w:t>
      </w:r>
      <w:proofErr w:type="gramStart"/>
      <w:r w:rsidRPr="00601B12">
        <w:rPr>
          <w:rFonts w:ascii="Arial" w:hAnsi="Arial" w:cs="Arial"/>
          <w:color w:val="auto"/>
          <w:sz w:val="22"/>
          <w:szCs w:val="22"/>
        </w:rPr>
        <w:t>e.g.</w:t>
      </w:r>
      <w:proofErr w:type="gramEnd"/>
      <w:r w:rsidRPr="00601B12">
        <w:rPr>
          <w:rFonts w:ascii="Arial" w:hAnsi="Arial" w:cs="Arial"/>
          <w:color w:val="auto"/>
          <w:sz w:val="22"/>
          <w:szCs w:val="22"/>
        </w:rPr>
        <w:t xml:space="preserve"> custodian) at least annually.  </w:t>
      </w:r>
    </w:p>
    <w:p w14:paraId="6D162FA4" w14:textId="77777777" w:rsidR="00427FA7" w:rsidRPr="00601B12" w:rsidRDefault="00427FA7" w:rsidP="004C17A4">
      <w:pPr>
        <w:pStyle w:val="HRbullet"/>
        <w:numPr>
          <w:ilvl w:val="0"/>
          <w:numId w:val="13"/>
        </w:numPr>
        <w:spacing w:after="0"/>
        <w:ind w:left="357" w:hanging="357"/>
        <w:rPr>
          <w:rFonts w:ascii="Arial" w:hAnsi="Arial" w:cs="Arial"/>
          <w:color w:val="auto"/>
          <w:sz w:val="22"/>
          <w:szCs w:val="22"/>
        </w:rPr>
      </w:pPr>
      <w:r w:rsidRPr="00601B12">
        <w:rPr>
          <w:rFonts w:ascii="Arial" w:hAnsi="Arial" w:cs="Arial"/>
          <w:color w:val="auto"/>
          <w:sz w:val="22"/>
          <w:szCs w:val="22"/>
        </w:rPr>
        <w:t xml:space="preserve">The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will be responsible for the appointment and termination of </w:t>
      </w:r>
      <w:proofErr w:type="gramStart"/>
      <w:r w:rsidRPr="00601B12">
        <w:rPr>
          <w:rFonts w:ascii="Arial" w:hAnsi="Arial" w:cs="Arial"/>
          <w:color w:val="auto"/>
          <w:sz w:val="22"/>
          <w:szCs w:val="22"/>
        </w:rPr>
        <w:t>providers;</w:t>
      </w:r>
      <w:proofErr w:type="gramEnd"/>
      <w:r w:rsidRPr="00601B12">
        <w:rPr>
          <w:rFonts w:ascii="Arial" w:hAnsi="Arial" w:cs="Arial"/>
          <w:color w:val="auto"/>
          <w:sz w:val="22"/>
          <w:szCs w:val="22"/>
        </w:rPr>
        <w:t xml:space="preserve"> </w:t>
      </w:r>
    </w:p>
    <w:p w14:paraId="6D162FA5" w14:textId="77777777" w:rsidR="00427FA7" w:rsidRPr="00601B12" w:rsidRDefault="00427FA7" w:rsidP="004C17A4">
      <w:pPr>
        <w:pStyle w:val="HRbullet"/>
        <w:numPr>
          <w:ilvl w:val="0"/>
          <w:numId w:val="13"/>
        </w:numPr>
        <w:spacing w:after="0"/>
        <w:ind w:left="357" w:hanging="357"/>
        <w:rPr>
          <w:rFonts w:ascii="Arial" w:hAnsi="Arial" w:cs="Arial"/>
          <w:color w:val="auto"/>
          <w:sz w:val="22"/>
          <w:szCs w:val="22"/>
        </w:rPr>
      </w:pPr>
      <w:r w:rsidRPr="00601B12">
        <w:rPr>
          <w:rFonts w:ascii="Arial" w:hAnsi="Arial" w:cs="Arial"/>
          <w:color w:val="auto"/>
          <w:sz w:val="22"/>
          <w:szCs w:val="22"/>
        </w:rPr>
        <w:t xml:space="preserve">The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will conduct and conclude the negotiation of formal agreements with managers, custodians and other investment service </w:t>
      </w:r>
      <w:proofErr w:type="gramStart"/>
      <w:r w:rsidRPr="00601B12">
        <w:rPr>
          <w:rFonts w:ascii="Arial" w:hAnsi="Arial" w:cs="Arial"/>
          <w:color w:val="auto"/>
          <w:sz w:val="22"/>
          <w:szCs w:val="22"/>
        </w:rPr>
        <w:t>providers;</w:t>
      </w:r>
      <w:proofErr w:type="gramEnd"/>
      <w:r w:rsidRPr="00601B12">
        <w:rPr>
          <w:rFonts w:ascii="Arial" w:hAnsi="Arial" w:cs="Arial"/>
          <w:color w:val="auto"/>
          <w:sz w:val="22"/>
          <w:szCs w:val="22"/>
        </w:rPr>
        <w:t xml:space="preserve"> </w:t>
      </w:r>
    </w:p>
    <w:p w14:paraId="6D162FA6" w14:textId="77777777" w:rsidR="00427FA7" w:rsidRPr="00601B12" w:rsidRDefault="00427FA7" w:rsidP="004C17A4">
      <w:pPr>
        <w:pStyle w:val="HRbullet"/>
        <w:numPr>
          <w:ilvl w:val="0"/>
          <w:numId w:val="13"/>
        </w:numPr>
        <w:spacing w:after="0"/>
        <w:ind w:left="357" w:hanging="357"/>
        <w:rPr>
          <w:rFonts w:ascii="Arial" w:hAnsi="Arial" w:cs="Arial"/>
          <w:color w:val="auto"/>
          <w:sz w:val="22"/>
          <w:szCs w:val="22"/>
        </w:rPr>
      </w:pPr>
      <w:r w:rsidRPr="00601B12">
        <w:rPr>
          <w:rFonts w:ascii="Arial" w:hAnsi="Arial" w:cs="Arial"/>
          <w:color w:val="auto"/>
          <w:sz w:val="22"/>
          <w:szCs w:val="22"/>
        </w:rPr>
        <w:t xml:space="preserve">In order to fulfil their roles, the members of the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will be provided with appropriate training, initially and on an ongoing </w:t>
      </w:r>
      <w:proofErr w:type="gramStart"/>
      <w:r w:rsidRPr="00601B12">
        <w:rPr>
          <w:rFonts w:ascii="Arial" w:hAnsi="Arial" w:cs="Arial"/>
          <w:color w:val="auto"/>
          <w:sz w:val="22"/>
          <w:szCs w:val="22"/>
        </w:rPr>
        <w:t>basis;</w:t>
      </w:r>
      <w:proofErr w:type="gramEnd"/>
    </w:p>
    <w:p w14:paraId="6D162FA7" w14:textId="77777777" w:rsidR="00427FA7" w:rsidRPr="00601B12" w:rsidRDefault="00427FA7" w:rsidP="004C17A4">
      <w:pPr>
        <w:pStyle w:val="HRbullet"/>
        <w:numPr>
          <w:ilvl w:val="0"/>
          <w:numId w:val="13"/>
        </w:numPr>
        <w:spacing w:after="0"/>
        <w:ind w:left="357" w:hanging="357"/>
        <w:rPr>
          <w:rFonts w:ascii="Arial" w:hAnsi="Arial" w:cs="Arial"/>
          <w:color w:val="auto"/>
          <w:sz w:val="22"/>
          <w:szCs w:val="22"/>
        </w:rPr>
      </w:pPr>
      <w:r w:rsidRPr="00601B12">
        <w:rPr>
          <w:rFonts w:ascii="Arial" w:hAnsi="Arial" w:cs="Arial"/>
          <w:color w:val="auto"/>
          <w:sz w:val="22"/>
          <w:szCs w:val="22"/>
        </w:rPr>
        <w:t xml:space="preserve">The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is able to take such professional advice as it considers </w:t>
      </w:r>
      <w:proofErr w:type="gramStart"/>
      <w:r w:rsidRPr="00601B12">
        <w:rPr>
          <w:rFonts w:ascii="Arial" w:hAnsi="Arial" w:cs="Arial"/>
          <w:color w:val="auto"/>
          <w:sz w:val="22"/>
          <w:szCs w:val="22"/>
        </w:rPr>
        <w:t>necessary;</w:t>
      </w:r>
      <w:proofErr w:type="gramEnd"/>
    </w:p>
    <w:p w14:paraId="6D162FA8" w14:textId="77777777" w:rsidR="00427FA7" w:rsidRPr="00601B12" w:rsidRDefault="00427FA7" w:rsidP="004C17A4">
      <w:pPr>
        <w:pStyle w:val="HRbullet"/>
        <w:numPr>
          <w:ilvl w:val="0"/>
          <w:numId w:val="13"/>
        </w:numPr>
        <w:spacing w:after="0"/>
        <w:ind w:left="357" w:hanging="357"/>
        <w:rPr>
          <w:rFonts w:ascii="Arial" w:hAnsi="Arial" w:cs="Arial"/>
          <w:color w:val="auto"/>
          <w:sz w:val="22"/>
          <w:szCs w:val="22"/>
        </w:rPr>
      </w:pPr>
      <w:r w:rsidRPr="00601B12">
        <w:rPr>
          <w:rFonts w:ascii="Arial" w:hAnsi="Arial" w:cs="Arial"/>
          <w:color w:val="auto"/>
          <w:sz w:val="22"/>
          <w:szCs w:val="22"/>
        </w:rPr>
        <w:t xml:space="preserve">The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will keep Minutes and other appropriate records of its proceedings, and circulate these Minutes to the </w:t>
      </w:r>
      <w:proofErr w:type="gramStart"/>
      <w:r w:rsidRPr="00601B12">
        <w:rPr>
          <w:rFonts w:ascii="Arial" w:hAnsi="Arial" w:cs="Arial"/>
          <w:color w:val="auto"/>
          <w:sz w:val="22"/>
          <w:szCs w:val="22"/>
        </w:rPr>
        <w:t>Executive;</w:t>
      </w:r>
      <w:proofErr w:type="gramEnd"/>
    </w:p>
    <w:p w14:paraId="6D162FA9" w14:textId="77777777" w:rsidR="00427FA7" w:rsidRPr="00601B12" w:rsidRDefault="00427FA7" w:rsidP="004C17A4">
      <w:pPr>
        <w:pStyle w:val="HRbullet"/>
        <w:numPr>
          <w:ilvl w:val="0"/>
          <w:numId w:val="13"/>
        </w:numPr>
        <w:spacing w:after="0"/>
        <w:ind w:left="357" w:hanging="357"/>
        <w:rPr>
          <w:rFonts w:ascii="Arial" w:hAnsi="Arial" w:cs="Arial"/>
          <w:color w:val="auto"/>
          <w:sz w:val="22"/>
          <w:szCs w:val="22"/>
        </w:rPr>
      </w:pPr>
      <w:r w:rsidRPr="00601B12">
        <w:rPr>
          <w:rFonts w:ascii="Arial" w:hAnsi="Arial" w:cs="Arial"/>
          <w:color w:val="auto"/>
          <w:sz w:val="22"/>
          <w:szCs w:val="22"/>
        </w:rPr>
        <w:t xml:space="preserve">The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may also carry out any additional tasks delegated to it by the Borough Council.</w:t>
      </w:r>
    </w:p>
    <w:p w14:paraId="6D162FAA" w14:textId="77777777" w:rsidR="00427FA7" w:rsidRPr="00601B12" w:rsidRDefault="00427FA7" w:rsidP="00AF17F2">
      <w:pPr>
        <w:pStyle w:val="HRbullet"/>
        <w:numPr>
          <w:ilvl w:val="0"/>
          <w:numId w:val="0"/>
        </w:numPr>
        <w:spacing w:after="0"/>
        <w:rPr>
          <w:rFonts w:ascii="Arial" w:hAnsi="Arial" w:cs="Arial"/>
          <w:color w:val="auto"/>
          <w:sz w:val="22"/>
          <w:szCs w:val="22"/>
        </w:rPr>
      </w:pPr>
    </w:p>
    <w:p w14:paraId="6D162FAC" w14:textId="72A40367" w:rsidR="00897436" w:rsidRPr="00390ECE" w:rsidRDefault="00427FA7" w:rsidP="00390ECE">
      <w:pPr>
        <w:pStyle w:val="HRbullet"/>
        <w:numPr>
          <w:ilvl w:val="0"/>
          <w:numId w:val="0"/>
        </w:numPr>
        <w:spacing w:after="0"/>
        <w:rPr>
          <w:rFonts w:ascii="Arial" w:hAnsi="Arial" w:cs="Arial"/>
          <w:color w:val="auto"/>
          <w:sz w:val="22"/>
          <w:szCs w:val="22"/>
        </w:rPr>
      </w:pPr>
      <w:r w:rsidRPr="006F5F68">
        <w:rPr>
          <w:rFonts w:ascii="Arial" w:hAnsi="Arial" w:cs="Arial"/>
          <w:color w:val="auto"/>
          <w:sz w:val="22"/>
          <w:szCs w:val="22"/>
        </w:rPr>
        <w:t xml:space="preserve">The </w:t>
      </w:r>
      <w:r w:rsidR="00D576F8" w:rsidRPr="006F5F68">
        <w:rPr>
          <w:rFonts w:ascii="Arial" w:hAnsi="Arial" w:cs="Arial"/>
          <w:color w:val="auto"/>
          <w:sz w:val="22"/>
          <w:szCs w:val="22"/>
        </w:rPr>
        <w:t>Committee</w:t>
      </w:r>
      <w:r w:rsidRPr="00B36602">
        <w:rPr>
          <w:rFonts w:ascii="Arial" w:hAnsi="Arial" w:cs="Arial"/>
          <w:color w:val="auto"/>
          <w:sz w:val="22"/>
          <w:szCs w:val="22"/>
        </w:rPr>
        <w:t xml:space="preserve"> currently consists of:</w:t>
      </w:r>
    </w:p>
    <w:tbl>
      <w:tblPr>
        <w:tblpPr w:leftFromText="180" w:rightFromText="180" w:vertAnchor="text" w:horzAnchor="page" w:tblpX="1130" w:tblpY="143"/>
        <w:tblW w:w="6237" w:type="dxa"/>
        <w:tblLook w:val="04A0" w:firstRow="1" w:lastRow="0" w:firstColumn="1" w:lastColumn="0" w:noHBand="0" w:noVBand="1"/>
      </w:tblPr>
      <w:tblGrid>
        <w:gridCol w:w="2095"/>
        <w:gridCol w:w="4142"/>
      </w:tblGrid>
      <w:tr w:rsidR="00390ECE" w:rsidRPr="001F6CE5" w14:paraId="681ED8ED" w14:textId="77777777" w:rsidTr="00390ECE">
        <w:trPr>
          <w:trHeight w:val="306"/>
        </w:trPr>
        <w:tc>
          <w:tcPr>
            <w:tcW w:w="2095" w:type="dxa"/>
            <w:tcBorders>
              <w:top w:val="nil"/>
              <w:left w:val="nil"/>
              <w:bottom w:val="nil"/>
              <w:right w:val="nil"/>
            </w:tcBorders>
            <w:shd w:val="clear" w:color="auto" w:fill="auto"/>
            <w:noWrap/>
            <w:vAlign w:val="center"/>
            <w:hideMark/>
          </w:tcPr>
          <w:p w14:paraId="2598E25C" w14:textId="77777777" w:rsidR="00390ECE" w:rsidRPr="001F6CE5" w:rsidRDefault="00390ECE" w:rsidP="00390ECE">
            <w:pPr>
              <w:ind w:left="-531" w:firstLine="531"/>
              <w:rPr>
                <w:rFonts w:ascii="Arial" w:hAnsi="Arial" w:cs="Arial"/>
                <w:b/>
                <w:color w:val="000000"/>
                <w:sz w:val="22"/>
                <w:szCs w:val="22"/>
              </w:rPr>
            </w:pPr>
            <w:r w:rsidRPr="001F6CE5">
              <w:rPr>
                <w:rFonts w:ascii="Arial" w:hAnsi="Arial" w:cs="Arial"/>
                <w:b/>
                <w:color w:val="000000"/>
                <w:sz w:val="22"/>
                <w:szCs w:val="22"/>
              </w:rPr>
              <w:t>Chair:</w:t>
            </w:r>
          </w:p>
        </w:tc>
        <w:tc>
          <w:tcPr>
            <w:tcW w:w="4142" w:type="dxa"/>
            <w:tcBorders>
              <w:top w:val="nil"/>
              <w:left w:val="nil"/>
              <w:bottom w:val="nil"/>
              <w:right w:val="nil"/>
            </w:tcBorders>
            <w:shd w:val="clear" w:color="auto" w:fill="auto"/>
            <w:noWrap/>
          </w:tcPr>
          <w:p w14:paraId="7530B1B8" w14:textId="77777777" w:rsidR="00390ECE" w:rsidRPr="001F6CE5" w:rsidRDefault="00390ECE" w:rsidP="00390ECE">
            <w:pPr>
              <w:rPr>
                <w:rFonts w:ascii="Arial" w:hAnsi="Arial" w:cs="Arial"/>
                <w:color w:val="000000"/>
                <w:sz w:val="22"/>
                <w:szCs w:val="22"/>
              </w:rPr>
            </w:pPr>
            <w:r w:rsidRPr="001F6CE5">
              <w:rPr>
                <w:rFonts w:ascii="Arial" w:hAnsi="Arial" w:cs="Arial"/>
                <w:sz w:val="22"/>
                <w:szCs w:val="22"/>
              </w:rPr>
              <w:t>Cllr Kashif Haroon</w:t>
            </w:r>
          </w:p>
        </w:tc>
      </w:tr>
      <w:tr w:rsidR="00390ECE" w:rsidRPr="001F6CE5" w14:paraId="7E633892" w14:textId="77777777" w:rsidTr="00390ECE">
        <w:trPr>
          <w:trHeight w:val="306"/>
        </w:trPr>
        <w:tc>
          <w:tcPr>
            <w:tcW w:w="2095" w:type="dxa"/>
            <w:tcBorders>
              <w:top w:val="nil"/>
              <w:left w:val="nil"/>
              <w:bottom w:val="nil"/>
              <w:right w:val="nil"/>
            </w:tcBorders>
            <w:shd w:val="clear" w:color="auto" w:fill="auto"/>
            <w:noWrap/>
            <w:vAlign w:val="center"/>
            <w:hideMark/>
          </w:tcPr>
          <w:p w14:paraId="0274EA52" w14:textId="77777777" w:rsidR="00390ECE" w:rsidRPr="001F6CE5" w:rsidRDefault="00390ECE" w:rsidP="00390ECE">
            <w:pPr>
              <w:rPr>
                <w:rFonts w:ascii="Arial" w:hAnsi="Arial" w:cs="Arial"/>
                <w:b/>
                <w:color w:val="000000"/>
                <w:sz w:val="22"/>
                <w:szCs w:val="22"/>
              </w:rPr>
            </w:pPr>
            <w:r w:rsidRPr="001F6CE5">
              <w:rPr>
                <w:rFonts w:ascii="Arial" w:hAnsi="Arial" w:cs="Arial"/>
                <w:b/>
                <w:color w:val="000000"/>
                <w:sz w:val="22"/>
                <w:szCs w:val="22"/>
              </w:rPr>
              <w:t>Deputy:</w:t>
            </w:r>
          </w:p>
        </w:tc>
        <w:tc>
          <w:tcPr>
            <w:tcW w:w="4142" w:type="dxa"/>
            <w:tcBorders>
              <w:top w:val="nil"/>
              <w:left w:val="nil"/>
              <w:bottom w:val="nil"/>
              <w:right w:val="nil"/>
            </w:tcBorders>
            <w:shd w:val="clear" w:color="auto" w:fill="auto"/>
            <w:noWrap/>
          </w:tcPr>
          <w:p w14:paraId="5A4E06AE" w14:textId="77777777" w:rsidR="00390ECE" w:rsidRPr="001F6CE5" w:rsidRDefault="00390ECE" w:rsidP="00390ECE">
            <w:pPr>
              <w:rPr>
                <w:rFonts w:ascii="Arial" w:hAnsi="Arial" w:cs="Arial"/>
                <w:color w:val="000000"/>
                <w:sz w:val="22"/>
                <w:szCs w:val="22"/>
              </w:rPr>
            </w:pPr>
            <w:r w:rsidRPr="001F6CE5">
              <w:rPr>
                <w:rFonts w:ascii="Arial" w:hAnsi="Arial" w:cs="Arial"/>
                <w:sz w:val="22"/>
                <w:szCs w:val="22"/>
              </w:rPr>
              <w:t xml:space="preserve">Cllr </w:t>
            </w:r>
            <w:proofErr w:type="spellStart"/>
            <w:r w:rsidRPr="001F6CE5">
              <w:rPr>
                <w:rFonts w:ascii="Arial" w:hAnsi="Arial" w:cs="Arial"/>
                <w:sz w:val="22"/>
                <w:szCs w:val="22"/>
              </w:rPr>
              <w:t>Foyzur</w:t>
            </w:r>
            <w:proofErr w:type="spellEnd"/>
            <w:r w:rsidRPr="001F6CE5">
              <w:rPr>
                <w:rFonts w:ascii="Arial" w:hAnsi="Arial" w:cs="Arial"/>
                <w:sz w:val="22"/>
                <w:szCs w:val="22"/>
              </w:rPr>
              <w:t xml:space="preserve"> Rahman</w:t>
            </w:r>
          </w:p>
        </w:tc>
      </w:tr>
      <w:tr w:rsidR="00390ECE" w:rsidRPr="001F6CE5" w14:paraId="74DD370C" w14:textId="77777777" w:rsidTr="00390ECE">
        <w:trPr>
          <w:trHeight w:val="306"/>
        </w:trPr>
        <w:tc>
          <w:tcPr>
            <w:tcW w:w="2095" w:type="dxa"/>
            <w:tcBorders>
              <w:top w:val="nil"/>
              <w:left w:val="nil"/>
              <w:bottom w:val="nil"/>
              <w:right w:val="nil"/>
            </w:tcBorders>
            <w:shd w:val="clear" w:color="auto" w:fill="auto"/>
            <w:noWrap/>
            <w:vAlign w:val="bottom"/>
            <w:hideMark/>
          </w:tcPr>
          <w:p w14:paraId="3F7E3772" w14:textId="77777777" w:rsidR="00390ECE" w:rsidRPr="001F6CE5" w:rsidRDefault="00390ECE" w:rsidP="00390ECE">
            <w:pPr>
              <w:rPr>
                <w:rFonts w:ascii="Arial" w:hAnsi="Arial" w:cs="Arial"/>
                <w:color w:val="000000"/>
                <w:sz w:val="22"/>
                <w:szCs w:val="22"/>
              </w:rPr>
            </w:pPr>
          </w:p>
        </w:tc>
        <w:tc>
          <w:tcPr>
            <w:tcW w:w="4142" w:type="dxa"/>
            <w:tcBorders>
              <w:top w:val="nil"/>
              <w:left w:val="nil"/>
              <w:bottom w:val="nil"/>
              <w:right w:val="nil"/>
            </w:tcBorders>
            <w:shd w:val="clear" w:color="auto" w:fill="auto"/>
            <w:noWrap/>
          </w:tcPr>
          <w:p w14:paraId="6821D45F" w14:textId="77777777" w:rsidR="00390ECE" w:rsidRPr="001F6CE5" w:rsidRDefault="00390ECE" w:rsidP="00390ECE">
            <w:pPr>
              <w:rPr>
                <w:rFonts w:ascii="Arial" w:hAnsi="Arial" w:cs="Arial"/>
                <w:color w:val="000000"/>
                <w:sz w:val="22"/>
                <w:szCs w:val="22"/>
              </w:rPr>
            </w:pPr>
            <w:r w:rsidRPr="001F6CE5">
              <w:rPr>
                <w:rFonts w:ascii="Arial" w:hAnsi="Arial" w:cs="Arial"/>
                <w:sz w:val="22"/>
                <w:szCs w:val="22"/>
              </w:rPr>
              <w:t>Cllr Dave Miles</w:t>
            </w:r>
          </w:p>
        </w:tc>
      </w:tr>
      <w:tr w:rsidR="00390ECE" w:rsidRPr="001F6CE5" w14:paraId="3A71ECE4" w14:textId="77777777" w:rsidTr="00390ECE">
        <w:trPr>
          <w:trHeight w:val="306"/>
        </w:trPr>
        <w:tc>
          <w:tcPr>
            <w:tcW w:w="2095" w:type="dxa"/>
            <w:tcBorders>
              <w:top w:val="nil"/>
              <w:left w:val="nil"/>
              <w:bottom w:val="nil"/>
              <w:right w:val="nil"/>
            </w:tcBorders>
            <w:shd w:val="clear" w:color="auto" w:fill="auto"/>
            <w:noWrap/>
            <w:vAlign w:val="bottom"/>
            <w:hideMark/>
          </w:tcPr>
          <w:p w14:paraId="6595AED5" w14:textId="77777777" w:rsidR="00390ECE" w:rsidRPr="001F6CE5" w:rsidRDefault="00390ECE" w:rsidP="00390ECE">
            <w:pPr>
              <w:rPr>
                <w:rFonts w:ascii="Arial" w:hAnsi="Arial" w:cs="Arial"/>
                <w:color w:val="000000"/>
                <w:sz w:val="22"/>
                <w:szCs w:val="22"/>
              </w:rPr>
            </w:pPr>
          </w:p>
        </w:tc>
        <w:tc>
          <w:tcPr>
            <w:tcW w:w="4142" w:type="dxa"/>
            <w:tcBorders>
              <w:top w:val="nil"/>
              <w:left w:val="nil"/>
              <w:bottom w:val="nil"/>
              <w:right w:val="nil"/>
            </w:tcBorders>
            <w:shd w:val="clear" w:color="auto" w:fill="auto"/>
            <w:noWrap/>
          </w:tcPr>
          <w:p w14:paraId="3A611BBD" w14:textId="77777777" w:rsidR="00390ECE" w:rsidRPr="001F6CE5" w:rsidRDefault="00390ECE" w:rsidP="00390ECE">
            <w:pPr>
              <w:rPr>
                <w:rFonts w:ascii="Arial" w:hAnsi="Arial" w:cs="Arial"/>
                <w:color w:val="000000"/>
                <w:sz w:val="22"/>
                <w:szCs w:val="22"/>
              </w:rPr>
            </w:pPr>
            <w:r w:rsidRPr="001F6CE5">
              <w:rPr>
                <w:rFonts w:ascii="Arial" w:hAnsi="Arial" w:cs="Arial"/>
                <w:sz w:val="22"/>
                <w:szCs w:val="22"/>
              </w:rPr>
              <w:t>Cllr Rocky Gill</w:t>
            </w:r>
          </w:p>
        </w:tc>
      </w:tr>
      <w:tr w:rsidR="00390ECE" w:rsidRPr="001F6CE5" w14:paraId="4E420D8F" w14:textId="77777777" w:rsidTr="00390ECE">
        <w:trPr>
          <w:trHeight w:val="306"/>
        </w:trPr>
        <w:tc>
          <w:tcPr>
            <w:tcW w:w="2095" w:type="dxa"/>
            <w:tcBorders>
              <w:top w:val="nil"/>
              <w:left w:val="nil"/>
              <w:bottom w:val="nil"/>
              <w:right w:val="nil"/>
            </w:tcBorders>
            <w:shd w:val="clear" w:color="auto" w:fill="auto"/>
            <w:noWrap/>
            <w:vAlign w:val="bottom"/>
            <w:hideMark/>
          </w:tcPr>
          <w:p w14:paraId="3F99A864" w14:textId="77777777" w:rsidR="00390ECE" w:rsidRPr="001F6CE5" w:rsidRDefault="00390ECE" w:rsidP="00390ECE">
            <w:pPr>
              <w:rPr>
                <w:rFonts w:ascii="Arial" w:hAnsi="Arial" w:cs="Arial"/>
                <w:color w:val="000000"/>
                <w:sz w:val="22"/>
                <w:szCs w:val="22"/>
              </w:rPr>
            </w:pPr>
          </w:p>
        </w:tc>
        <w:tc>
          <w:tcPr>
            <w:tcW w:w="4142" w:type="dxa"/>
            <w:tcBorders>
              <w:top w:val="nil"/>
              <w:left w:val="nil"/>
              <w:bottom w:val="nil"/>
              <w:right w:val="nil"/>
            </w:tcBorders>
            <w:shd w:val="clear" w:color="auto" w:fill="auto"/>
            <w:noWrap/>
          </w:tcPr>
          <w:p w14:paraId="04DDDBB3" w14:textId="77777777" w:rsidR="00390ECE" w:rsidRPr="001F6CE5" w:rsidRDefault="00390ECE" w:rsidP="00390ECE">
            <w:pPr>
              <w:rPr>
                <w:rFonts w:ascii="Arial" w:hAnsi="Arial" w:cs="Arial"/>
                <w:color w:val="000000"/>
                <w:sz w:val="22"/>
                <w:szCs w:val="22"/>
              </w:rPr>
            </w:pPr>
            <w:r w:rsidRPr="001F6CE5">
              <w:rPr>
                <w:rFonts w:ascii="Arial" w:hAnsi="Arial" w:cs="Arial"/>
                <w:sz w:val="22"/>
                <w:szCs w:val="22"/>
              </w:rPr>
              <w:t>Cllr Amardeep Singh Jamu</w:t>
            </w:r>
          </w:p>
        </w:tc>
      </w:tr>
      <w:tr w:rsidR="00390ECE" w:rsidRPr="001F6CE5" w14:paraId="65FE39A0" w14:textId="77777777" w:rsidTr="00390ECE">
        <w:trPr>
          <w:trHeight w:val="306"/>
        </w:trPr>
        <w:tc>
          <w:tcPr>
            <w:tcW w:w="2095" w:type="dxa"/>
            <w:tcBorders>
              <w:top w:val="nil"/>
              <w:left w:val="nil"/>
              <w:bottom w:val="nil"/>
              <w:right w:val="nil"/>
            </w:tcBorders>
            <w:shd w:val="clear" w:color="auto" w:fill="auto"/>
            <w:noWrap/>
            <w:vAlign w:val="bottom"/>
            <w:hideMark/>
          </w:tcPr>
          <w:p w14:paraId="570F153E" w14:textId="77777777" w:rsidR="00390ECE" w:rsidRPr="001F6CE5" w:rsidRDefault="00390ECE" w:rsidP="00390ECE">
            <w:pPr>
              <w:rPr>
                <w:rFonts w:ascii="Arial" w:hAnsi="Arial" w:cs="Arial"/>
                <w:color w:val="000000"/>
                <w:sz w:val="22"/>
                <w:szCs w:val="22"/>
              </w:rPr>
            </w:pPr>
          </w:p>
        </w:tc>
        <w:tc>
          <w:tcPr>
            <w:tcW w:w="4142" w:type="dxa"/>
            <w:tcBorders>
              <w:top w:val="nil"/>
              <w:left w:val="nil"/>
              <w:bottom w:val="nil"/>
              <w:right w:val="nil"/>
            </w:tcBorders>
            <w:shd w:val="clear" w:color="auto" w:fill="auto"/>
            <w:noWrap/>
          </w:tcPr>
          <w:p w14:paraId="78AED3BF" w14:textId="77777777" w:rsidR="00390ECE" w:rsidRPr="001F6CE5" w:rsidRDefault="00390ECE" w:rsidP="00390ECE">
            <w:pPr>
              <w:rPr>
                <w:rFonts w:ascii="Arial" w:hAnsi="Arial" w:cs="Arial"/>
                <w:color w:val="000000"/>
                <w:sz w:val="22"/>
                <w:szCs w:val="22"/>
              </w:rPr>
            </w:pPr>
            <w:r w:rsidRPr="001F6CE5">
              <w:rPr>
                <w:rFonts w:ascii="Arial" w:hAnsi="Arial" w:cs="Arial"/>
                <w:sz w:val="22"/>
                <w:szCs w:val="22"/>
              </w:rPr>
              <w:t>Cllr Mick McCarthy</w:t>
            </w:r>
          </w:p>
        </w:tc>
      </w:tr>
      <w:tr w:rsidR="00390ECE" w:rsidRPr="001F6CE5" w14:paraId="5FBA3540" w14:textId="77777777" w:rsidTr="00390ECE">
        <w:trPr>
          <w:trHeight w:val="306"/>
        </w:trPr>
        <w:tc>
          <w:tcPr>
            <w:tcW w:w="2095" w:type="dxa"/>
            <w:tcBorders>
              <w:top w:val="nil"/>
              <w:left w:val="nil"/>
              <w:bottom w:val="nil"/>
              <w:right w:val="nil"/>
            </w:tcBorders>
            <w:shd w:val="clear" w:color="auto" w:fill="auto"/>
            <w:noWrap/>
            <w:vAlign w:val="bottom"/>
            <w:hideMark/>
          </w:tcPr>
          <w:p w14:paraId="64F5970C" w14:textId="77777777" w:rsidR="00390ECE" w:rsidRPr="001F6CE5" w:rsidRDefault="00390ECE" w:rsidP="00390ECE">
            <w:pPr>
              <w:rPr>
                <w:rFonts w:ascii="Arial" w:hAnsi="Arial" w:cs="Arial"/>
                <w:color w:val="000000"/>
                <w:sz w:val="22"/>
                <w:szCs w:val="22"/>
              </w:rPr>
            </w:pPr>
          </w:p>
        </w:tc>
        <w:tc>
          <w:tcPr>
            <w:tcW w:w="4142" w:type="dxa"/>
            <w:tcBorders>
              <w:top w:val="nil"/>
              <w:left w:val="nil"/>
              <w:bottom w:val="nil"/>
              <w:right w:val="nil"/>
            </w:tcBorders>
            <w:shd w:val="clear" w:color="auto" w:fill="auto"/>
            <w:noWrap/>
          </w:tcPr>
          <w:p w14:paraId="3CB0A517" w14:textId="77777777" w:rsidR="00390ECE" w:rsidRPr="001F6CE5" w:rsidRDefault="00390ECE" w:rsidP="00390ECE">
            <w:pPr>
              <w:rPr>
                <w:rFonts w:ascii="Arial" w:hAnsi="Arial" w:cs="Arial"/>
                <w:color w:val="000000"/>
                <w:sz w:val="22"/>
                <w:szCs w:val="22"/>
              </w:rPr>
            </w:pPr>
            <w:r w:rsidRPr="001F6CE5">
              <w:rPr>
                <w:rFonts w:ascii="Arial" w:hAnsi="Arial" w:cs="Arial"/>
                <w:color w:val="000000"/>
                <w:sz w:val="22"/>
                <w:szCs w:val="22"/>
              </w:rPr>
              <w:t>Cllr Tony Ramsay</w:t>
            </w:r>
          </w:p>
        </w:tc>
      </w:tr>
    </w:tbl>
    <w:p w14:paraId="6D162FB4" w14:textId="77777777" w:rsidR="009E4478" w:rsidRPr="00601B12" w:rsidRDefault="009E4478" w:rsidP="00AF17F2">
      <w:pPr>
        <w:pStyle w:val="HRbullet"/>
        <w:numPr>
          <w:ilvl w:val="0"/>
          <w:numId w:val="0"/>
        </w:numPr>
        <w:spacing w:after="0"/>
        <w:rPr>
          <w:rFonts w:ascii="Arial" w:hAnsi="Arial" w:cs="Arial"/>
          <w:color w:val="auto"/>
          <w:sz w:val="22"/>
          <w:szCs w:val="22"/>
        </w:rPr>
      </w:pPr>
    </w:p>
    <w:p w14:paraId="7762AAB8" w14:textId="77777777" w:rsidR="00390ECE" w:rsidRDefault="00390ECE" w:rsidP="00AF17F2">
      <w:pPr>
        <w:pStyle w:val="HRbullet"/>
        <w:numPr>
          <w:ilvl w:val="0"/>
          <w:numId w:val="0"/>
        </w:numPr>
        <w:spacing w:after="0"/>
        <w:rPr>
          <w:rFonts w:ascii="Arial" w:hAnsi="Arial" w:cs="Arial"/>
          <w:color w:val="auto"/>
          <w:sz w:val="22"/>
          <w:szCs w:val="22"/>
        </w:rPr>
      </w:pPr>
    </w:p>
    <w:p w14:paraId="66A6358D" w14:textId="77777777" w:rsidR="00390ECE" w:rsidRDefault="00390ECE" w:rsidP="00AF17F2">
      <w:pPr>
        <w:pStyle w:val="HRbullet"/>
        <w:numPr>
          <w:ilvl w:val="0"/>
          <w:numId w:val="0"/>
        </w:numPr>
        <w:spacing w:after="0"/>
        <w:rPr>
          <w:rFonts w:ascii="Arial" w:hAnsi="Arial" w:cs="Arial"/>
          <w:color w:val="auto"/>
          <w:sz w:val="22"/>
          <w:szCs w:val="22"/>
        </w:rPr>
      </w:pPr>
    </w:p>
    <w:p w14:paraId="5FAAE589" w14:textId="77777777" w:rsidR="00390ECE" w:rsidRDefault="00390ECE" w:rsidP="00AF17F2">
      <w:pPr>
        <w:pStyle w:val="HRbullet"/>
        <w:numPr>
          <w:ilvl w:val="0"/>
          <w:numId w:val="0"/>
        </w:numPr>
        <w:spacing w:after="0"/>
        <w:rPr>
          <w:rFonts w:ascii="Arial" w:hAnsi="Arial" w:cs="Arial"/>
          <w:color w:val="auto"/>
          <w:sz w:val="22"/>
          <w:szCs w:val="22"/>
        </w:rPr>
      </w:pPr>
    </w:p>
    <w:p w14:paraId="10F9F90A" w14:textId="77777777" w:rsidR="00390ECE" w:rsidRDefault="00390ECE" w:rsidP="00AF17F2">
      <w:pPr>
        <w:pStyle w:val="HRbullet"/>
        <w:numPr>
          <w:ilvl w:val="0"/>
          <w:numId w:val="0"/>
        </w:numPr>
        <w:spacing w:after="0"/>
        <w:rPr>
          <w:rFonts w:ascii="Arial" w:hAnsi="Arial" w:cs="Arial"/>
          <w:color w:val="auto"/>
          <w:sz w:val="22"/>
          <w:szCs w:val="22"/>
        </w:rPr>
      </w:pPr>
    </w:p>
    <w:p w14:paraId="36B38001" w14:textId="77777777" w:rsidR="00390ECE" w:rsidRDefault="00390ECE" w:rsidP="00AF17F2">
      <w:pPr>
        <w:pStyle w:val="HRbullet"/>
        <w:numPr>
          <w:ilvl w:val="0"/>
          <w:numId w:val="0"/>
        </w:numPr>
        <w:spacing w:after="0"/>
        <w:rPr>
          <w:rFonts w:ascii="Arial" w:hAnsi="Arial" w:cs="Arial"/>
          <w:color w:val="auto"/>
          <w:sz w:val="22"/>
          <w:szCs w:val="22"/>
        </w:rPr>
      </w:pPr>
    </w:p>
    <w:p w14:paraId="52C798E2" w14:textId="77777777" w:rsidR="00390ECE" w:rsidRDefault="00390ECE" w:rsidP="00AF17F2">
      <w:pPr>
        <w:pStyle w:val="HRbullet"/>
        <w:numPr>
          <w:ilvl w:val="0"/>
          <w:numId w:val="0"/>
        </w:numPr>
        <w:spacing w:after="0"/>
        <w:rPr>
          <w:rFonts w:ascii="Arial" w:hAnsi="Arial" w:cs="Arial"/>
          <w:color w:val="auto"/>
          <w:sz w:val="22"/>
          <w:szCs w:val="22"/>
        </w:rPr>
      </w:pPr>
    </w:p>
    <w:p w14:paraId="2F35C036" w14:textId="77777777" w:rsidR="00390ECE" w:rsidRDefault="00390ECE" w:rsidP="00AF17F2">
      <w:pPr>
        <w:pStyle w:val="HRbullet"/>
        <w:numPr>
          <w:ilvl w:val="0"/>
          <w:numId w:val="0"/>
        </w:numPr>
        <w:spacing w:after="0"/>
        <w:rPr>
          <w:rFonts w:ascii="Arial" w:hAnsi="Arial" w:cs="Arial"/>
          <w:color w:val="auto"/>
          <w:sz w:val="22"/>
          <w:szCs w:val="22"/>
        </w:rPr>
      </w:pPr>
    </w:p>
    <w:p w14:paraId="0BEF98A3" w14:textId="77777777" w:rsidR="00390ECE" w:rsidRDefault="00390ECE" w:rsidP="00AF17F2">
      <w:pPr>
        <w:pStyle w:val="HRbullet"/>
        <w:numPr>
          <w:ilvl w:val="0"/>
          <w:numId w:val="0"/>
        </w:numPr>
        <w:spacing w:after="0"/>
        <w:rPr>
          <w:rFonts w:ascii="Arial" w:hAnsi="Arial" w:cs="Arial"/>
          <w:color w:val="auto"/>
          <w:sz w:val="22"/>
          <w:szCs w:val="22"/>
        </w:rPr>
      </w:pPr>
    </w:p>
    <w:p w14:paraId="278BCF83" w14:textId="77777777" w:rsidR="00390ECE" w:rsidRDefault="00390ECE" w:rsidP="00AF17F2">
      <w:pPr>
        <w:pStyle w:val="HRbullet"/>
        <w:numPr>
          <w:ilvl w:val="0"/>
          <w:numId w:val="0"/>
        </w:numPr>
        <w:spacing w:after="0"/>
        <w:rPr>
          <w:rFonts w:ascii="Arial" w:hAnsi="Arial" w:cs="Arial"/>
          <w:color w:val="auto"/>
          <w:sz w:val="22"/>
          <w:szCs w:val="22"/>
        </w:rPr>
      </w:pPr>
    </w:p>
    <w:p w14:paraId="6D162FB5" w14:textId="39A4AF68" w:rsidR="00427FA7" w:rsidRPr="00601B12" w:rsidRDefault="00427FA7" w:rsidP="00AF17F2">
      <w:pPr>
        <w:pStyle w:val="HRbullet"/>
        <w:numPr>
          <w:ilvl w:val="0"/>
          <w:numId w:val="0"/>
        </w:numPr>
        <w:spacing w:after="0"/>
        <w:rPr>
          <w:rFonts w:ascii="Arial" w:hAnsi="Arial" w:cs="Arial"/>
          <w:color w:val="auto"/>
          <w:sz w:val="22"/>
          <w:szCs w:val="22"/>
        </w:rPr>
      </w:pPr>
      <w:r w:rsidRPr="00601B12">
        <w:rPr>
          <w:rFonts w:ascii="Arial" w:hAnsi="Arial" w:cs="Arial"/>
          <w:color w:val="auto"/>
          <w:sz w:val="22"/>
          <w:szCs w:val="22"/>
        </w:rPr>
        <w:t xml:space="preserve">Any changes to the membership of the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require the approval of the Executive. </w:t>
      </w:r>
    </w:p>
    <w:p w14:paraId="6D162FB6" w14:textId="77777777" w:rsidR="00427FA7" w:rsidRPr="00601B12" w:rsidRDefault="00427FA7" w:rsidP="00AF17F2">
      <w:pPr>
        <w:pStyle w:val="HRbullet"/>
        <w:numPr>
          <w:ilvl w:val="0"/>
          <w:numId w:val="0"/>
        </w:numPr>
        <w:spacing w:after="0"/>
        <w:rPr>
          <w:rFonts w:ascii="Arial" w:hAnsi="Arial" w:cs="Arial"/>
          <w:color w:val="auto"/>
          <w:sz w:val="22"/>
          <w:szCs w:val="22"/>
        </w:rPr>
      </w:pPr>
    </w:p>
    <w:p w14:paraId="6D162FB7" w14:textId="77777777" w:rsidR="00427FA7" w:rsidRPr="00601B12" w:rsidRDefault="00427FA7" w:rsidP="00AF17F2">
      <w:pPr>
        <w:pStyle w:val="HRbullet"/>
        <w:numPr>
          <w:ilvl w:val="0"/>
          <w:numId w:val="0"/>
        </w:numPr>
        <w:spacing w:after="0"/>
        <w:rPr>
          <w:rFonts w:ascii="Arial" w:hAnsi="Arial" w:cs="Arial"/>
          <w:color w:val="auto"/>
          <w:sz w:val="22"/>
          <w:szCs w:val="22"/>
        </w:rPr>
      </w:pPr>
      <w:r w:rsidRPr="00601B12">
        <w:rPr>
          <w:rFonts w:ascii="Arial" w:hAnsi="Arial" w:cs="Arial"/>
          <w:color w:val="auto"/>
          <w:sz w:val="22"/>
          <w:szCs w:val="22"/>
        </w:rPr>
        <w:t xml:space="preserve">Membership of the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consists of a minimum of two Members with a quorum of two Members.  All </w:t>
      </w:r>
      <w:r w:rsidR="00D576F8" w:rsidRPr="00601B12">
        <w:rPr>
          <w:rFonts w:ascii="Arial" w:hAnsi="Arial" w:cs="Arial"/>
          <w:color w:val="auto"/>
          <w:sz w:val="22"/>
          <w:szCs w:val="22"/>
        </w:rPr>
        <w:t>Committee</w:t>
      </w:r>
      <w:r w:rsidRPr="00601B12">
        <w:rPr>
          <w:rFonts w:ascii="Arial" w:hAnsi="Arial" w:cs="Arial"/>
          <w:color w:val="auto"/>
          <w:sz w:val="22"/>
          <w:szCs w:val="22"/>
        </w:rPr>
        <w:t xml:space="preserve"> members are expected to have or, for new members, to develop sufficient expertise in investment matters to be able to conduct their </w:t>
      </w:r>
      <w:proofErr w:type="gramStart"/>
      <w:r w:rsidR="00D576F8" w:rsidRPr="00601B12">
        <w:rPr>
          <w:rFonts w:ascii="Arial" w:hAnsi="Arial" w:cs="Arial"/>
          <w:color w:val="auto"/>
          <w:sz w:val="22"/>
          <w:szCs w:val="22"/>
        </w:rPr>
        <w:t>Committee</w:t>
      </w:r>
      <w:proofErr w:type="gramEnd"/>
      <w:r w:rsidRPr="00601B12">
        <w:rPr>
          <w:rFonts w:ascii="Arial" w:hAnsi="Arial" w:cs="Arial"/>
          <w:color w:val="auto"/>
          <w:sz w:val="22"/>
          <w:szCs w:val="22"/>
        </w:rPr>
        <w:t xml:space="preserve"> responsibilities and to interpret the advice which they receive.</w:t>
      </w:r>
    </w:p>
    <w:p w14:paraId="6D162FB8" w14:textId="77777777" w:rsidR="00D57E5D" w:rsidRPr="00601B12" w:rsidRDefault="00D57E5D" w:rsidP="00AF17F2">
      <w:pPr>
        <w:pStyle w:val="ListParagraph"/>
        <w:spacing w:after="0" w:line="240" w:lineRule="auto"/>
        <w:ind w:left="0"/>
        <w:jc w:val="both"/>
        <w:rPr>
          <w:rFonts w:ascii="Arial" w:hAnsi="Arial" w:cs="Arial"/>
          <w:b/>
          <w:bCs/>
        </w:rPr>
      </w:pPr>
    </w:p>
    <w:p w14:paraId="6D162FB9" w14:textId="77777777" w:rsidR="00427FA7" w:rsidRPr="00601B12" w:rsidRDefault="00427FA7" w:rsidP="00AF17F2">
      <w:pPr>
        <w:pStyle w:val="ListParagraph"/>
        <w:spacing w:after="0" w:line="240" w:lineRule="auto"/>
        <w:ind w:left="0"/>
        <w:jc w:val="both"/>
        <w:rPr>
          <w:rFonts w:ascii="Arial" w:hAnsi="Arial" w:cs="Arial"/>
          <w:b/>
          <w:bCs/>
        </w:rPr>
      </w:pPr>
      <w:r w:rsidRPr="00601B12">
        <w:rPr>
          <w:rFonts w:ascii="Arial" w:hAnsi="Arial" w:cs="Arial"/>
          <w:b/>
          <w:bCs/>
        </w:rPr>
        <w:t>Representation:</w:t>
      </w:r>
    </w:p>
    <w:p w14:paraId="6D162FBA" w14:textId="77777777" w:rsidR="00427FA7" w:rsidRPr="00601B12" w:rsidRDefault="00427FA7" w:rsidP="00AF17F2">
      <w:pPr>
        <w:jc w:val="both"/>
        <w:rPr>
          <w:rFonts w:ascii="Arial" w:hAnsi="Arial" w:cs="Arial"/>
          <w:sz w:val="22"/>
          <w:szCs w:val="22"/>
        </w:rPr>
      </w:pPr>
    </w:p>
    <w:p w14:paraId="6D162FBB"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All key stakeholders are afforded the opportunity to be represented within the main or secondary committee structure. These include:</w:t>
      </w:r>
    </w:p>
    <w:p w14:paraId="6D162FBC" w14:textId="77777777" w:rsidR="00427FA7" w:rsidRPr="00601B12" w:rsidRDefault="00427FA7" w:rsidP="00AF17F2">
      <w:pPr>
        <w:jc w:val="both"/>
        <w:rPr>
          <w:rFonts w:ascii="Arial" w:hAnsi="Arial" w:cs="Arial"/>
          <w:sz w:val="22"/>
          <w:szCs w:val="22"/>
        </w:rPr>
      </w:pPr>
    </w:p>
    <w:p w14:paraId="6D162FBD" w14:textId="77777777" w:rsidR="00427FA7" w:rsidRPr="00601B12" w:rsidRDefault="00427FA7" w:rsidP="004C17A4">
      <w:pPr>
        <w:pStyle w:val="ListParagraph"/>
        <w:numPr>
          <w:ilvl w:val="0"/>
          <w:numId w:val="14"/>
        </w:numPr>
        <w:spacing w:after="0" w:line="240" w:lineRule="auto"/>
        <w:ind w:left="360"/>
        <w:jc w:val="both"/>
        <w:rPr>
          <w:rFonts w:ascii="Arial" w:hAnsi="Arial" w:cs="Arial"/>
        </w:rPr>
      </w:pPr>
      <w:r w:rsidRPr="00601B12">
        <w:rPr>
          <w:rFonts w:ascii="Arial" w:hAnsi="Arial" w:cs="Arial"/>
        </w:rPr>
        <w:t xml:space="preserve">Employing </w:t>
      </w:r>
      <w:proofErr w:type="gramStart"/>
      <w:r w:rsidRPr="00601B12">
        <w:rPr>
          <w:rFonts w:ascii="Arial" w:hAnsi="Arial" w:cs="Arial"/>
        </w:rPr>
        <w:t>authorities;</w:t>
      </w:r>
      <w:proofErr w:type="gramEnd"/>
    </w:p>
    <w:p w14:paraId="6D162FBE" w14:textId="77777777" w:rsidR="00427FA7" w:rsidRPr="00601B12" w:rsidRDefault="00427FA7" w:rsidP="004C17A4">
      <w:pPr>
        <w:pStyle w:val="ListParagraph"/>
        <w:numPr>
          <w:ilvl w:val="0"/>
          <w:numId w:val="14"/>
        </w:numPr>
        <w:spacing w:after="0" w:line="240" w:lineRule="auto"/>
        <w:ind w:left="360"/>
        <w:jc w:val="both"/>
        <w:rPr>
          <w:rFonts w:ascii="Arial" w:hAnsi="Arial" w:cs="Arial"/>
        </w:rPr>
      </w:pPr>
      <w:r w:rsidRPr="00601B12">
        <w:rPr>
          <w:rFonts w:ascii="Arial" w:hAnsi="Arial" w:cs="Arial"/>
        </w:rPr>
        <w:t xml:space="preserve">Scheme </w:t>
      </w:r>
      <w:proofErr w:type="gramStart"/>
      <w:r w:rsidRPr="00601B12">
        <w:rPr>
          <w:rFonts w:ascii="Arial" w:hAnsi="Arial" w:cs="Arial"/>
        </w:rPr>
        <w:t>members;</w:t>
      </w:r>
      <w:proofErr w:type="gramEnd"/>
    </w:p>
    <w:p w14:paraId="6D162FBF" w14:textId="77777777" w:rsidR="00427FA7" w:rsidRPr="00601B12" w:rsidRDefault="00427FA7" w:rsidP="004C17A4">
      <w:pPr>
        <w:pStyle w:val="ListParagraph"/>
        <w:numPr>
          <w:ilvl w:val="0"/>
          <w:numId w:val="14"/>
        </w:numPr>
        <w:spacing w:after="0" w:line="240" w:lineRule="auto"/>
        <w:ind w:left="360"/>
        <w:jc w:val="both"/>
        <w:rPr>
          <w:rFonts w:ascii="Arial" w:hAnsi="Arial" w:cs="Arial"/>
        </w:rPr>
      </w:pPr>
      <w:r w:rsidRPr="00601B12">
        <w:rPr>
          <w:rFonts w:ascii="Arial" w:hAnsi="Arial" w:cs="Arial"/>
        </w:rPr>
        <w:t>Independent professional observers; and</w:t>
      </w:r>
    </w:p>
    <w:p w14:paraId="6D162FC0" w14:textId="77777777" w:rsidR="00427FA7" w:rsidRPr="00601B12" w:rsidRDefault="00427FA7" w:rsidP="004C17A4">
      <w:pPr>
        <w:pStyle w:val="ListParagraph"/>
        <w:numPr>
          <w:ilvl w:val="0"/>
          <w:numId w:val="14"/>
        </w:numPr>
        <w:spacing w:after="0" w:line="240" w:lineRule="auto"/>
        <w:ind w:left="360"/>
        <w:jc w:val="both"/>
        <w:rPr>
          <w:rFonts w:ascii="Arial" w:hAnsi="Arial" w:cs="Arial"/>
        </w:rPr>
      </w:pPr>
      <w:r w:rsidRPr="00601B12">
        <w:rPr>
          <w:rFonts w:ascii="Arial" w:hAnsi="Arial" w:cs="Arial"/>
        </w:rPr>
        <w:t xml:space="preserve">Expert advisors. </w:t>
      </w:r>
    </w:p>
    <w:p w14:paraId="6D162FC1" w14:textId="77777777" w:rsidR="00427FA7" w:rsidRPr="00601B12" w:rsidRDefault="00427FA7" w:rsidP="00AF17F2">
      <w:pPr>
        <w:jc w:val="both"/>
        <w:rPr>
          <w:rFonts w:ascii="Arial" w:hAnsi="Arial" w:cs="Arial"/>
          <w:sz w:val="22"/>
          <w:szCs w:val="22"/>
        </w:rPr>
      </w:pPr>
    </w:p>
    <w:p w14:paraId="6D162FC2"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Where lay members sit on the main or secondary </w:t>
      </w:r>
      <w:r w:rsidR="00D576F8" w:rsidRPr="00601B12">
        <w:rPr>
          <w:rFonts w:ascii="Arial" w:hAnsi="Arial" w:cs="Arial"/>
          <w:sz w:val="22"/>
          <w:szCs w:val="22"/>
        </w:rPr>
        <w:t>Committee</w:t>
      </w:r>
      <w:r w:rsidRPr="00601B12">
        <w:rPr>
          <w:rFonts w:ascii="Arial" w:hAnsi="Arial" w:cs="Arial"/>
          <w:sz w:val="22"/>
          <w:szCs w:val="22"/>
        </w:rPr>
        <w:t xml:space="preserve">, they are treated equally in terms of access to papers and meetings, training and are given full opportunity to contribute to the </w:t>
      </w:r>
      <w:r w:rsidR="009E4478" w:rsidRPr="00601B12">
        <w:rPr>
          <w:rFonts w:ascii="Arial" w:hAnsi="Arial" w:cs="Arial"/>
          <w:sz w:val="22"/>
          <w:szCs w:val="22"/>
        </w:rPr>
        <w:t>decision-making</w:t>
      </w:r>
      <w:r w:rsidRPr="00601B12">
        <w:rPr>
          <w:rFonts w:ascii="Arial" w:hAnsi="Arial" w:cs="Arial"/>
          <w:sz w:val="22"/>
          <w:szCs w:val="22"/>
        </w:rPr>
        <w:t xml:space="preserve"> process, with or without voting rights. </w:t>
      </w:r>
    </w:p>
    <w:p w14:paraId="6D162FC3" w14:textId="77777777" w:rsidR="00427FA7" w:rsidRPr="00601B12" w:rsidRDefault="00427FA7" w:rsidP="00AF17F2">
      <w:pPr>
        <w:jc w:val="both"/>
        <w:rPr>
          <w:rFonts w:ascii="Arial" w:hAnsi="Arial" w:cs="Arial"/>
          <w:sz w:val="22"/>
          <w:szCs w:val="22"/>
        </w:rPr>
      </w:pPr>
    </w:p>
    <w:p w14:paraId="6D162FC4"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Admitted bodies are not currently represented at Pension </w:t>
      </w:r>
      <w:r w:rsidR="00D576F8" w:rsidRPr="00601B12">
        <w:rPr>
          <w:rFonts w:ascii="Arial" w:hAnsi="Arial" w:cs="Arial"/>
          <w:sz w:val="22"/>
          <w:szCs w:val="22"/>
        </w:rPr>
        <w:t>Committee</w:t>
      </w:r>
      <w:r w:rsidRPr="00601B12">
        <w:rPr>
          <w:rFonts w:ascii="Arial" w:hAnsi="Arial" w:cs="Arial"/>
          <w:sz w:val="22"/>
          <w:szCs w:val="22"/>
        </w:rPr>
        <w:t xml:space="preserve"> meetings. Professional advice is offered to the Pension </w:t>
      </w:r>
      <w:r w:rsidR="00D576F8" w:rsidRPr="00601B12">
        <w:rPr>
          <w:rFonts w:ascii="Arial" w:hAnsi="Arial" w:cs="Arial"/>
          <w:sz w:val="22"/>
          <w:szCs w:val="22"/>
        </w:rPr>
        <w:t>Committee</w:t>
      </w:r>
      <w:r w:rsidRPr="00601B12">
        <w:rPr>
          <w:rFonts w:ascii="Arial" w:hAnsi="Arial" w:cs="Arial"/>
          <w:sz w:val="22"/>
          <w:szCs w:val="22"/>
        </w:rPr>
        <w:t xml:space="preserve"> by the Fund’s investment advisor, </w:t>
      </w:r>
      <w:r w:rsidR="00897436" w:rsidRPr="00601B12">
        <w:rPr>
          <w:rFonts w:ascii="Arial" w:hAnsi="Arial" w:cs="Arial"/>
          <w:sz w:val="22"/>
          <w:szCs w:val="22"/>
        </w:rPr>
        <w:t>Aon Hewitt</w:t>
      </w:r>
      <w:r w:rsidRPr="00601B12">
        <w:rPr>
          <w:rFonts w:ascii="Arial" w:hAnsi="Arial" w:cs="Arial"/>
          <w:sz w:val="22"/>
          <w:szCs w:val="22"/>
        </w:rPr>
        <w:t xml:space="preserve">, and by the Chief Financial Officer for the Council.  </w:t>
      </w:r>
    </w:p>
    <w:p w14:paraId="6D162FC5" w14:textId="77777777" w:rsidR="00427FA7" w:rsidRPr="00601B12" w:rsidRDefault="00427FA7" w:rsidP="00AF17F2">
      <w:pPr>
        <w:jc w:val="both"/>
        <w:rPr>
          <w:rFonts w:ascii="Arial" w:hAnsi="Arial" w:cs="Arial"/>
          <w:sz w:val="22"/>
          <w:szCs w:val="22"/>
        </w:rPr>
      </w:pPr>
    </w:p>
    <w:p w14:paraId="6D162FC6"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Pension </w:t>
      </w:r>
      <w:r w:rsidR="00D576F8" w:rsidRPr="00601B12">
        <w:rPr>
          <w:rFonts w:ascii="Arial" w:hAnsi="Arial" w:cs="Arial"/>
          <w:sz w:val="22"/>
          <w:szCs w:val="22"/>
        </w:rPr>
        <w:t>Committee</w:t>
      </w:r>
      <w:r w:rsidRPr="00601B12">
        <w:rPr>
          <w:rFonts w:ascii="Arial" w:hAnsi="Arial" w:cs="Arial"/>
          <w:sz w:val="22"/>
          <w:szCs w:val="22"/>
        </w:rPr>
        <w:t xml:space="preserve"> regularly receive training on current issues from professional advisors. Comprehensive training is given to new lay members who join the </w:t>
      </w:r>
      <w:r w:rsidR="00D576F8" w:rsidRPr="00601B12">
        <w:rPr>
          <w:rFonts w:ascii="Arial" w:hAnsi="Arial" w:cs="Arial"/>
          <w:sz w:val="22"/>
          <w:szCs w:val="22"/>
        </w:rPr>
        <w:t>Committee</w:t>
      </w:r>
      <w:r w:rsidRPr="00601B12">
        <w:rPr>
          <w:rFonts w:ascii="Arial" w:hAnsi="Arial" w:cs="Arial"/>
          <w:sz w:val="22"/>
          <w:szCs w:val="22"/>
        </w:rPr>
        <w:t xml:space="preserve">. </w:t>
      </w:r>
    </w:p>
    <w:p w14:paraId="6D162FC7" w14:textId="77777777" w:rsidR="00427FA7" w:rsidRPr="00601B12" w:rsidRDefault="00427FA7" w:rsidP="00AF17F2">
      <w:pPr>
        <w:jc w:val="both"/>
        <w:rPr>
          <w:rFonts w:ascii="Arial" w:hAnsi="Arial" w:cs="Arial"/>
          <w:sz w:val="22"/>
          <w:szCs w:val="22"/>
        </w:rPr>
      </w:pPr>
    </w:p>
    <w:p w14:paraId="6D162FC8" w14:textId="77777777" w:rsidR="00427FA7" w:rsidRPr="00601B12" w:rsidRDefault="00427FA7" w:rsidP="00AF17F2">
      <w:pPr>
        <w:pStyle w:val="ListParagraph"/>
        <w:spacing w:after="0" w:line="240" w:lineRule="auto"/>
        <w:ind w:left="0"/>
        <w:jc w:val="both"/>
        <w:rPr>
          <w:rFonts w:ascii="Arial" w:hAnsi="Arial" w:cs="Arial"/>
        </w:rPr>
      </w:pPr>
      <w:r w:rsidRPr="00601B12">
        <w:rPr>
          <w:rFonts w:ascii="Arial" w:hAnsi="Arial" w:cs="Arial"/>
          <w:b/>
          <w:bCs/>
        </w:rPr>
        <w:t>Selection and role of lay members</w:t>
      </w:r>
    </w:p>
    <w:p w14:paraId="6D162FC9" w14:textId="77777777" w:rsidR="00427FA7" w:rsidRPr="00601B12" w:rsidRDefault="00427FA7" w:rsidP="00AF17F2">
      <w:pPr>
        <w:jc w:val="both"/>
        <w:rPr>
          <w:rFonts w:ascii="Arial" w:hAnsi="Arial" w:cs="Arial"/>
          <w:sz w:val="22"/>
          <w:szCs w:val="22"/>
        </w:rPr>
      </w:pPr>
    </w:p>
    <w:p w14:paraId="6D162FCA" w14:textId="77777777" w:rsidR="00427FA7" w:rsidRPr="00601B12" w:rsidRDefault="00D576F8" w:rsidP="00AF17F2">
      <w:pPr>
        <w:jc w:val="both"/>
        <w:rPr>
          <w:rFonts w:ascii="Arial" w:hAnsi="Arial" w:cs="Arial"/>
          <w:sz w:val="22"/>
          <w:szCs w:val="22"/>
        </w:rPr>
      </w:pPr>
      <w:r w:rsidRPr="00601B12">
        <w:rPr>
          <w:rFonts w:ascii="Arial" w:hAnsi="Arial" w:cs="Arial"/>
          <w:sz w:val="22"/>
          <w:szCs w:val="22"/>
        </w:rPr>
        <w:t>Committee</w:t>
      </w:r>
      <w:r w:rsidR="00427FA7" w:rsidRPr="00601B12">
        <w:rPr>
          <w:rFonts w:ascii="Arial" w:hAnsi="Arial" w:cs="Arial"/>
          <w:sz w:val="22"/>
          <w:szCs w:val="22"/>
        </w:rPr>
        <w:t xml:space="preserve"> members are made fully aware of the status, role and function they are required to perform on either a main or secondary </w:t>
      </w:r>
      <w:r w:rsidRPr="00601B12">
        <w:rPr>
          <w:rFonts w:ascii="Arial" w:hAnsi="Arial" w:cs="Arial"/>
          <w:sz w:val="22"/>
          <w:szCs w:val="22"/>
        </w:rPr>
        <w:t>Committee</w:t>
      </w:r>
      <w:r w:rsidR="00427FA7" w:rsidRPr="00601B12">
        <w:rPr>
          <w:rFonts w:ascii="Arial" w:hAnsi="Arial" w:cs="Arial"/>
          <w:sz w:val="22"/>
          <w:szCs w:val="22"/>
        </w:rPr>
        <w:t xml:space="preserve">. The Pension </w:t>
      </w:r>
      <w:r w:rsidRPr="00601B12">
        <w:rPr>
          <w:rFonts w:ascii="Arial" w:hAnsi="Arial" w:cs="Arial"/>
          <w:sz w:val="22"/>
          <w:szCs w:val="22"/>
        </w:rPr>
        <w:t>Committee</w:t>
      </w:r>
      <w:r w:rsidR="00427FA7" w:rsidRPr="00601B12">
        <w:rPr>
          <w:rFonts w:ascii="Arial" w:hAnsi="Arial" w:cs="Arial"/>
          <w:sz w:val="22"/>
          <w:szCs w:val="22"/>
        </w:rPr>
        <w:t xml:space="preserve"> regularly receive training on current issues from professional advisors. Comprehensive training is given to new lay members who join the Pension </w:t>
      </w:r>
      <w:r w:rsidRPr="00601B12">
        <w:rPr>
          <w:rFonts w:ascii="Arial" w:hAnsi="Arial" w:cs="Arial"/>
          <w:sz w:val="22"/>
          <w:szCs w:val="22"/>
        </w:rPr>
        <w:t>Committee</w:t>
      </w:r>
      <w:r w:rsidR="00427FA7" w:rsidRPr="00601B12">
        <w:rPr>
          <w:rFonts w:ascii="Arial" w:hAnsi="Arial" w:cs="Arial"/>
          <w:sz w:val="22"/>
          <w:szCs w:val="22"/>
        </w:rPr>
        <w:t xml:space="preserve">. </w:t>
      </w:r>
    </w:p>
    <w:p w14:paraId="6D162FCB" w14:textId="77777777" w:rsidR="00427FA7" w:rsidRPr="00601B12" w:rsidRDefault="00427FA7" w:rsidP="00AF17F2">
      <w:pPr>
        <w:jc w:val="both"/>
        <w:rPr>
          <w:rFonts w:ascii="Arial" w:hAnsi="Arial" w:cs="Arial"/>
          <w:b/>
          <w:bCs/>
          <w:sz w:val="22"/>
          <w:szCs w:val="22"/>
          <w:u w:val="single"/>
        </w:rPr>
      </w:pPr>
    </w:p>
    <w:p w14:paraId="6D162FCC" w14:textId="77777777" w:rsidR="00427FA7" w:rsidRPr="00601B12" w:rsidRDefault="00427FA7" w:rsidP="00AF17F2">
      <w:pPr>
        <w:pStyle w:val="ListParagraph"/>
        <w:spacing w:after="0" w:line="240" w:lineRule="auto"/>
        <w:ind w:left="0"/>
        <w:jc w:val="both"/>
        <w:rPr>
          <w:rFonts w:ascii="Arial" w:hAnsi="Arial" w:cs="Arial"/>
        </w:rPr>
      </w:pPr>
      <w:r w:rsidRPr="00601B12">
        <w:rPr>
          <w:rFonts w:ascii="Arial" w:hAnsi="Arial" w:cs="Arial"/>
          <w:b/>
          <w:bCs/>
        </w:rPr>
        <w:t>Voting</w:t>
      </w:r>
    </w:p>
    <w:p w14:paraId="6D162FCD" w14:textId="77777777" w:rsidR="00427FA7" w:rsidRPr="00601B12" w:rsidRDefault="00427FA7" w:rsidP="00AF17F2">
      <w:pPr>
        <w:jc w:val="both"/>
        <w:rPr>
          <w:rFonts w:ascii="Arial" w:hAnsi="Arial" w:cs="Arial"/>
          <w:sz w:val="22"/>
          <w:szCs w:val="22"/>
        </w:rPr>
      </w:pPr>
    </w:p>
    <w:p w14:paraId="6D162FCE"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policy of individual administering authorities on voting rights is clear and transparent, including the justification for not extending voting rights to each body or group represented on main LGPS committees. </w:t>
      </w:r>
    </w:p>
    <w:p w14:paraId="6D162FCF" w14:textId="77777777" w:rsidR="00427FA7" w:rsidRPr="00601B12" w:rsidRDefault="00427FA7" w:rsidP="00AF17F2">
      <w:pPr>
        <w:jc w:val="both"/>
        <w:rPr>
          <w:rFonts w:ascii="Arial" w:hAnsi="Arial" w:cs="Arial"/>
          <w:sz w:val="22"/>
          <w:szCs w:val="22"/>
        </w:rPr>
      </w:pPr>
    </w:p>
    <w:p w14:paraId="6D162FD0"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Voting rights remain with Councillors, </w:t>
      </w:r>
      <w:r w:rsidR="009E4478" w:rsidRPr="00601B12">
        <w:rPr>
          <w:rFonts w:ascii="Arial" w:hAnsi="Arial" w:cs="Arial"/>
          <w:sz w:val="22"/>
          <w:szCs w:val="22"/>
        </w:rPr>
        <w:t>as</w:t>
      </w:r>
      <w:r w:rsidRPr="00601B12">
        <w:rPr>
          <w:rFonts w:ascii="Arial" w:hAnsi="Arial" w:cs="Arial"/>
          <w:sz w:val="22"/>
          <w:szCs w:val="22"/>
        </w:rPr>
        <w:t xml:space="preserve"> the Council retains legal responsibility as administering authority. The Chairman has the casting vote. In practical terms, decisions on the Fund are usually made by consensus. </w:t>
      </w:r>
    </w:p>
    <w:p w14:paraId="6D162FD1" w14:textId="77777777" w:rsidR="00427FA7" w:rsidRPr="00601B12" w:rsidRDefault="00427FA7" w:rsidP="00AF17F2">
      <w:pPr>
        <w:jc w:val="both"/>
        <w:rPr>
          <w:rFonts w:ascii="Arial" w:hAnsi="Arial" w:cs="Arial"/>
          <w:b/>
          <w:bCs/>
          <w:sz w:val="22"/>
          <w:szCs w:val="22"/>
          <w:u w:val="single"/>
        </w:rPr>
      </w:pPr>
    </w:p>
    <w:p w14:paraId="6D162FD2" w14:textId="77777777" w:rsidR="00427FA7" w:rsidRPr="00601B12" w:rsidRDefault="00427FA7" w:rsidP="00AF17F2">
      <w:pPr>
        <w:pStyle w:val="ListParagraph"/>
        <w:spacing w:after="0" w:line="240" w:lineRule="auto"/>
        <w:ind w:left="0"/>
        <w:jc w:val="both"/>
        <w:rPr>
          <w:rFonts w:ascii="Arial" w:hAnsi="Arial" w:cs="Arial"/>
        </w:rPr>
      </w:pPr>
      <w:r w:rsidRPr="00601B12">
        <w:rPr>
          <w:rFonts w:ascii="Arial" w:hAnsi="Arial" w:cs="Arial"/>
          <w:b/>
          <w:bCs/>
        </w:rPr>
        <w:t>Training, Facility Time, Expenses</w:t>
      </w:r>
    </w:p>
    <w:p w14:paraId="6D162FD3" w14:textId="77777777" w:rsidR="00427FA7" w:rsidRPr="00601B12" w:rsidRDefault="00427FA7" w:rsidP="00AF17F2">
      <w:pPr>
        <w:jc w:val="both"/>
        <w:rPr>
          <w:rFonts w:ascii="Arial" w:hAnsi="Arial" w:cs="Arial"/>
          <w:sz w:val="22"/>
          <w:szCs w:val="22"/>
        </w:rPr>
      </w:pPr>
    </w:p>
    <w:p w14:paraId="6D162FD4"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There is a clear policy on training, facility time and reimbursement of expenses in respect of members involved in the </w:t>
      </w:r>
      <w:r w:rsidR="009E4478" w:rsidRPr="00601B12">
        <w:rPr>
          <w:rFonts w:ascii="Arial" w:hAnsi="Arial" w:cs="Arial"/>
          <w:sz w:val="22"/>
          <w:szCs w:val="22"/>
        </w:rPr>
        <w:t>decision-making</w:t>
      </w:r>
      <w:r w:rsidRPr="00601B12">
        <w:rPr>
          <w:rFonts w:ascii="Arial" w:hAnsi="Arial" w:cs="Arial"/>
          <w:sz w:val="22"/>
          <w:szCs w:val="22"/>
        </w:rPr>
        <w:t xml:space="preserve"> process which applies equally to all members of committees, sub-committees advisory </w:t>
      </w:r>
      <w:r w:rsidR="00D576F8" w:rsidRPr="00601B12">
        <w:rPr>
          <w:rFonts w:ascii="Arial" w:hAnsi="Arial" w:cs="Arial"/>
          <w:sz w:val="22"/>
          <w:szCs w:val="22"/>
        </w:rPr>
        <w:t>Committee</w:t>
      </w:r>
      <w:r w:rsidRPr="00601B12">
        <w:rPr>
          <w:rFonts w:ascii="Arial" w:hAnsi="Arial" w:cs="Arial"/>
          <w:sz w:val="22"/>
          <w:szCs w:val="22"/>
        </w:rPr>
        <w:t xml:space="preserve">s or any other form of secondary forum. </w:t>
      </w:r>
    </w:p>
    <w:p w14:paraId="6D162FD5" w14:textId="77777777" w:rsidR="00427FA7" w:rsidRPr="00601B12" w:rsidRDefault="00427FA7" w:rsidP="00AF17F2">
      <w:pPr>
        <w:jc w:val="both"/>
        <w:rPr>
          <w:rFonts w:ascii="Arial" w:hAnsi="Arial" w:cs="Arial"/>
          <w:sz w:val="22"/>
          <w:szCs w:val="22"/>
        </w:rPr>
      </w:pPr>
    </w:p>
    <w:p w14:paraId="6D162FD6"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Council’s policy on expenses applies in these instances, and there are no specific policies in place for the Pension </w:t>
      </w:r>
      <w:r w:rsidR="00D576F8" w:rsidRPr="00601B12">
        <w:rPr>
          <w:rFonts w:ascii="Arial" w:hAnsi="Arial" w:cs="Arial"/>
          <w:sz w:val="22"/>
          <w:szCs w:val="22"/>
        </w:rPr>
        <w:t>Committee</w:t>
      </w:r>
      <w:r w:rsidRPr="00601B12">
        <w:rPr>
          <w:rFonts w:ascii="Arial" w:hAnsi="Arial" w:cs="Arial"/>
          <w:sz w:val="22"/>
          <w:szCs w:val="22"/>
        </w:rPr>
        <w:t xml:space="preserve">. Training is provided to all attendees of the Pension </w:t>
      </w:r>
      <w:r w:rsidR="00D576F8" w:rsidRPr="00601B12">
        <w:rPr>
          <w:rFonts w:ascii="Arial" w:hAnsi="Arial" w:cs="Arial"/>
          <w:sz w:val="22"/>
          <w:szCs w:val="22"/>
        </w:rPr>
        <w:t>Committee</w:t>
      </w:r>
      <w:r w:rsidRPr="00601B12">
        <w:rPr>
          <w:rFonts w:ascii="Arial" w:hAnsi="Arial" w:cs="Arial"/>
          <w:sz w:val="22"/>
          <w:szCs w:val="22"/>
        </w:rPr>
        <w:t xml:space="preserve"> as stated previously. </w:t>
      </w:r>
    </w:p>
    <w:p w14:paraId="6D162FD7" w14:textId="77777777" w:rsidR="00427FA7" w:rsidRPr="00601B12" w:rsidRDefault="00427FA7" w:rsidP="00AF17F2">
      <w:pPr>
        <w:jc w:val="both"/>
        <w:rPr>
          <w:rFonts w:ascii="Arial" w:hAnsi="Arial" w:cs="Arial"/>
          <w:b/>
          <w:bCs/>
          <w:sz w:val="22"/>
          <w:szCs w:val="22"/>
          <w:u w:val="single"/>
        </w:rPr>
      </w:pPr>
    </w:p>
    <w:p w14:paraId="6D162FD8" w14:textId="77777777" w:rsidR="00427FA7" w:rsidRPr="00601B12" w:rsidRDefault="00427FA7" w:rsidP="00AF17F2">
      <w:pPr>
        <w:pStyle w:val="ListParagraph"/>
        <w:spacing w:after="0" w:line="240" w:lineRule="auto"/>
        <w:ind w:left="0"/>
        <w:jc w:val="both"/>
        <w:rPr>
          <w:rFonts w:ascii="Arial" w:hAnsi="Arial" w:cs="Arial"/>
        </w:rPr>
      </w:pPr>
      <w:r w:rsidRPr="00601B12">
        <w:rPr>
          <w:rFonts w:ascii="Arial" w:hAnsi="Arial" w:cs="Arial"/>
          <w:b/>
          <w:bCs/>
        </w:rPr>
        <w:t>Meetings (frequency, quorum)</w:t>
      </w:r>
    </w:p>
    <w:p w14:paraId="6D162FD9" w14:textId="77777777" w:rsidR="00427FA7" w:rsidRPr="00601B12" w:rsidRDefault="00427FA7" w:rsidP="00AF17F2">
      <w:pPr>
        <w:jc w:val="both"/>
        <w:rPr>
          <w:rFonts w:ascii="Arial" w:hAnsi="Arial" w:cs="Arial"/>
          <w:sz w:val="22"/>
          <w:szCs w:val="22"/>
        </w:rPr>
      </w:pPr>
    </w:p>
    <w:p w14:paraId="6D162FDA"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The administering authority’s main committee or committees meet at least quarterly. The administering authority provides a forum outside of those arrangements by which the interests of key stakeholders can be represented.</w:t>
      </w:r>
      <w:r w:rsidR="009E4478" w:rsidRPr="00601B12">
        <w:rPr>
          <w:rFonts w:ascii="Arial" w:hAnsi="Arial" w:cs="Arial"/>
          <w:sz w:val="22"/>
          <w:szCs w:val="22"/>
        </w:rPr>
        <w:t xml:space="preserve"> </w:t>
      </w:r>
      <w:r w:rsidRPr="00601B12">
        <w:rPr>
          <w:rFonts w:ascii="Arial" w:hAnsi="Arial" w:cs="Arial"/>
          <w:sz w:val="22"/>
          <w:szCs w:val="22"/>
        </w:rPr>
        <w:t xml:space="preserve">The Pension </w:t>
      </w:r>
      <w:r w:rsidR="00D576F8" w:rsidRPr="00601B12">
        <w:rPr>
          <w:rFonts w:ascii="Arial" w:hAnsi="Arial" w:cs="Arial"/>
          <w:sz w:val="22"/>
          <w:szCs w:val="22"/>
        </w:rPr>
        <w:t>Committee</w:t>
      </w:r>
      <w:r w:rsidRPr="00601B12">
        <w:rPr>
          <w:rFonts w:ascii="Arial" w:hAnsi="Arial" w:cs="Arial"/>
          <w:sz w:val="22"/>
          <w:szCs w:val="22"/>
        </w:rPr>
        <w:t xml:space="preserve"> sits on a quarterly basis. </w:t>
      </w:r>
    </w:p>
    <w:p w14:paraId="6D162FDB" w14:textId="77777777" w:rsidR="009E4478" w:rsidRPr="00601B12" w:rsidRDefault="009E4478" w:rsidP="00AF17F2">
      <w:pPr>
        <w:jc w:val="both"/>
        <w:rPr>
          <w:rFonts w:ascii="Arial" w:hAnsi="Arial" w:cs="Arial"/>
          <w:sz w:val="22"/>
          <w:szCs w:val="22"/>
        </w:rPr>
      </w:pPr>
    </w:p>
    <w:p w14:paraId="6D162FDC" w14:textId="77777777" w:rsidR="00427FA7" w:rsidRPr="00601B12" w:rsidRDefault="00427FA7" w:rsidP="00AF17F2">
      <w:pPr>
        <w:pStyle w:val="ListParagraph"/>
        <w:spacing w:after="0" w:line="240" w:lineRule="auto"/>
        <w:ind w:left="0"/>
        <w:jc w:val="both"/>
        <w:rPr>
          <w:rFonts w:ascii="Arial" w:hAnsi="Arial" w:cs="Arial"/>
        </w:rPr>
      </w:pPr>
      <w:r w:rsidRPr="00601B12">
        <w:rPr>
          <w:rFonts w:ascii="Arial" w:hAnsi="Arial" w:cs="Arial"/>
          <w:b/>
          <w:bCs/>
        </w:rPr>
        <w:t>Access</w:t>
      </w:r>
    </w:p>
    <w:p w14:paraId="6D162FDD" w14:textId="77777777" w:rsidR="00427FA7" w:rsidRPr="00601B12" w:rsidRDefault="00427FA7" w:rsidP="00AF17F2">
      <w:pPr>
        <w:jc w:val="both"/>
        <w:rPr>
          <w:rFonts w:ascii="Arial" w:hAnsi="Arial" w:cs="Arial"/>
          <w:sz w:val="22"/>
          <w:szCs w:val="22"/>
        </w:rPr>
      </w:pPr>
    </w:p>
    <w:p w14:paraId="6D162FDE"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Subject to any rules in the Council’s constitution, all members of main and secondary committees or </w:t>
      </w:r>
      <w:r w:rsidR="00D576F8" w:rsidRPr="00601B12">
        <w:rPr>
          <w:rFonts w:ascii="Arial" w:hAnsi="Arial" w:cs="Arial"/>
          <w:sz w:val="22"/>
          <w:szCs w:val="22"/>
        </w:rPr>
        <w:t>Committee</w:t>
      </w:r>
      <w:r w:rsidRPr="00601B12">
        <w:rPr>
          <w:rFonts w:ascii="Arial" w:hAnsi="Arial" w:cs="Arial"/>
          <w:sz w:val="22"/>
          <w:szCs w:val="22"/>
        </w:rPr>
        <w:t>s have equal access to committee papers, documents and advice that fails to be considered at meetings of the main committee.  Barking and Dagenham is fully compliant with this principle.</w:t>
      </w:r>
    </w:p>
    <w:p w14:paraId="6D162FDF" w14:textId="77777777" w:rsidR="00427FA7" w:rsidRPr="00601B12" w:rsidRDefault="00427FA7" w:rsidP="00AF17F2">
      <w:pPr>
        <w:jc w:val="both"/>
        <w:rPr>
          <w:rFonts w:ascii="Arial" w:hAnsi="Arial" w:cs="Arial"/>
          <w:b/>
          <w:bCs/>
          <w:sz w:val="22"/>
          <w:szCs w:val="22"/>
          <w:u w:val="single"/>
        </w:rPr>
      </w:pPr>
    </w:p>
    <w:p w14:paraId="6D162FE0" w14:textId="77777777" w:rsidR="00427FA7" w:rsidRPr="00601B12" w:rsidRDefault="00427FA7" w:rsidP="00AF17F2">
      <w:pPr>
        <w:pStyle w:val="ListParagraph"/>
        <w:spacing w:after="0" w:line="240" w:lineRule="auto"/>
        <w:ind w:left="0"/>
        <w:jc w:val="both"/>
        <w:rPr>
          <w:rFonts w:ascii="Arial" w:hAnsi="Arial" w:cs="Arial"/>
        </w:rPr>
      </w:pPr>
      <w:r w:rsidRPr="00601B12">
        <w:rPr>
          <w:rFonts w:ascii="Arial" w:hAnsi="Arial" w:cs="Arial"/>
          <w:b/>
          <w:bCs/>
        </w:rPr>
        <w:t>Scope</w:t>
      </w:r>
    </w:p>
    <w:p w14:paraId="6D162FE1" w14:textId="77777777" w:rsidR="00427FA7" w:rsidRPr="00601B12" w:rsidRDefault="00427FA7" w:rsidP="00AF17F2">
      <w:pPr>
        <w:jc w:val="both"/>
        <w:rPr>
          <w:rFonts w:ascii="Arial" w:hAnsi="Arial" w:cs="Arial"/>
          <w:sz w:val="22"/>
          <w:szCs w:val="22"/>
        </w:rPr>
      </w:pPr>
    </w:p>
    <w:p w14:paraId="6D162FE2"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administering authority has taken steps to bring wider scheme issues within the scope of their governance arrangements. </w:t>
      </w:r>
    </w:p>
    <w:p w14:paraId="6D162FE3" w14:textId="77777777" w:rsidR="00427FA7" w:rsidRPr="00601B12" w:rsidRDefault="00427FA7" w:rsidP="00AF17F2">
      <w:pPr>
        <w:jc w:val="both"/>
        <w:rPr>
          <w:rFonts w:ascii="Arial" w:hAnsi="Arial" w:cs="Arial"/>
          <w:sz w:val="22"/>
          <w:szCs w:val="22"/>
        </w:rPr>
      </w:pPr>
    </w:p>
    <w:p w14:paraId="6D162FE4"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Pension </w:t>
      </w:r>
      <w:r w:rsidR="00D576F8" w:rsidRPr="00601B12">
        <w:rPr>
          <w:rFonts w:ascii="Arial" w:hAnsi="Arial" w:cs="Arial"/>
          <w:sz w:val="22"/>
          <w:szCs w:val="22"/>
        </w:rPr>
        <w:t>Committee</w:t>
      </w:r>
      <w:r w:rsidRPr="00601B12">
        <w:rPr>
          <w:rFonts w:ascii="Arial" w:hAnsi="Arial" w:cs="Arial"/>
          <w:sz w:val="22"/>
          <w:szCs w:val="22"/>
        </w:rPr>
        <w:t xml:space="preserve"> has a broad work programme which is regularly reviewed and updated </w:t>
      </w:r>
      <w:proofErr w:type="gramStart"/>
      <w:r w:rsidRPr="00601B12">
        <w:rPr>
          <w:rFonts w:ascii="Arial" w:hAnsi="Arial" w:cs="Arial"/>
          <w:sz w:val="22"/>
          <w:szCs w:val="22"/>
        </w:rPr>
        <w:t>in light of</w:t>
      </w:r>
      <w:proofErr w:type="gramEnd"/>
      <w:r w:rsidRPr="00601B12">
        <w:rPr>
          <w:rFonts w:ascii="Arial" w:hAnsi="Arial" w:cs="Arial"/>
          <w:sz w:val="22"/>
          <w:szCs w:val="22"/>
        </w:rPr>
        <w:t xml:space="preserve"> current developments. Key issues such as investment performance are considered on a quarterly basis, documents such as the statement of investment principles is reviewed at least annually, and current developments are a regular agenda item for the </w:t>
      </w:r>
      <w:r w:rsidR="00D576F8" w:rsidRPr="00601B12">
        <w:rPr>
          <w:rFonts w:ascii="Arial" w:hAnsi="Arial" w:cs="Arial"/>
          <w:sz w:val="22"/>
          <w:szCs w:val="22"/>
        </w:rPr>
        <w:t>Committee</w:t>
      </w:r>
      <w:r w:rsidRPr="00601B12">
        <w:rPr>
          <w:rFonts w:ascii="Arial" w:hAnsi="Arial" w:cs="Arial"/>
          <w:sz w:val="22"/>
          <w:szCs w:val="22"/>
        </w:rPr>
        <w:t xml:space="preserve">. </w:t>
      </w:r>
    </w:p>
    <w:p w14:paraId="6D162FE5" w14:textId="77777777" w:rsidR="00427FA7" w:rsidRPr="00601B12" w:rsidRDefault="00427FA7" w:rsidP="00AF17F2">
      <w:pPr>
        <w:jc w:val="both"/>
        <w:rPr>
          <w:rFonts w:ascii="Arial" w:hAnsi="Arial" w:cs="Arial"/>
          <w:sz w:val="22"/>
          <w:szCs w:val="22"/>
        </w:rPr>
      </w:pPr>
    </w:p>
    <w:p w14:paraId="6D162FE6" w14:textId="77777777" w:rsidR="00427FA7" w:rsidRPr="00601B12" w:rsidRDefault="00427FA7" w:rsidP="00AF17F2">
      <w:pPr>
        <w:pStyle w:val="ListParagraph"/>
        <w:spacing w:after="0" w:line="240" w:lineRule="auto"/>
        <w:ind w:left="0"/>
        <w:jc w:val="both"/>
        <w:rPr>
          <w:rFonts w:ascii="Arial" w:hAnsi="Arial" w:cs="Arial"/>
        </w:rPr>
      </w:pPr>
      <w:r w:rsidRPr="00601B12">
        <w:rPr>
          <w:rFonts w:ascii="Arial" w:hAnsi="Arial" w:cs="Arial"/>
          <w:b/>
          <w:bCs/>
        </w:rPr>
        <w:t>Publicity</w:t>
      </w:r>
    </w:p>
    <w:p w14:paraId="6D162FE7" w14:textId="77777777" w:rsidR="00427FA7" w:rsidRPr="00601B12" w:rsidRDefault="00427FA7" w:rsidP="00AF17F2">
      <w:pPr>
        <w:jc w:val="both"/>
        <w:rPr>
          <w:rFonts w:ascii="Arial" w:hAnsi="Arial" w:cs="Arial"/>
          <w:sz w:val="22"/>
          <w:szCs w:val="22"/>
        </w:rPr>
      </w:pPr>
    </w:p>
    <w:p w14:paraId="6D162FE8"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 xml:space="preserve">The administering authority has published details of their governance arrangements in such a way that stakeholders with an interest in the way in which a scheme is governed can express an interest in wanting to be part of those arrangements. </w:t>
      </w:r>
    </w:p>
    <w:p w14:paraId="6D162FE9" w14:textId="77777777" w:rsidR="00427FA7" w:rsidRPr="00601B12" w:rsidRDefault="00427FA7" w:rsidP="00AF17F2">
      <w:pPr>
        <w:jc w:val="both"/>
        <w:rPr>
          <w:rFonts w:ascii="Arial" w:hAnsi="Arial" w:cs="Arial"/>
          <w:sz w:val="22"/>
          <w:szCs w:val="22"/>
        </w:rPr>
      </w:pPr>
    </w:p>
    <w:p w14:paraId="6D162FEA" w14:textId="77777777" w:rsidR="00427FA7" w:rsidRPr="00601B12" w:rsidRDefault="00427FA7" w:rsidP="00AF17F2">
      <w:pPr>
        <w:jc w:val="both"/>
        <w:rPr>
          <w:rFonts w:ascii="Arial" w:hAnsi="Arial" w:cs="Arial"/>
          <w:sz w:val="22"/>
          <w:szCs w:val="22"/>
        </w:rPr>
      </w:pPr>
      <w:r w:rsidRPr="00601B12">
        <w:rPr>
          <w:rFonts w:ascii="Arial" w:hAnsi="Arial" w:cs="Arial"/>
          <w:sz w:val="22"/>
          <w:szCs w:val="22"/>
        </w:rPr>
        <w:t>The Fund has a communication policy that sets out how it communicates with stakeholders. The Fund’s Annual Report is reported to the Council’s Executive on an annual basis. This document is published on the Council’s website and is included in the Fund Annual Report.</w:t>
      </w:r>
    </w:p>
    <w:p w14:paraId="527425DA" w14:textId="77777777" w:rsidR="00056A02" w:rsidRDefault="00056A02" w:rsidP="00AF17F2">
      <w:pPr>
        <w:jc w:val="both"/>
        <w:rPr>
          <w:rFonts w:ascii="Arial" w:hAnsi="Arial" w:cs="Arial"/>
          <w:i/>
          <w:iCs/>
          <w:color w:val="000000"/>
          <w:sz w:val="22"/>
          <w:szCs w:val="22"/>
        </w:rPr>
      </w:pPr>
    </w:p>
    <w:p w14:paraId="10EE64BD" w14:textId="77777777" w:rsidR="007A338B" w:rsidRDefault="007A338B" w:rsidP="00427FA7">
      <w:pPr>
        <w:spacing w:line="20" w:lineRule="atLeast"/>
        <w:rPr>
          <w:rFonts w:ascii="Arial" w:hAnsi="Arial" w:cs="Arial"/>
          <w:b/>
          <w:color w:val="A71937"/>
          <w:sz w:val="28"/>
          <w:szCs w:val="28"/>
        </w:rPr>
      </w:pPr>
    </w:p>
    <w:p w14:paraId="7A531A8D" w14:textId="77777777" w:rsidR="007A338B" w:rsidRDefault="007A338B" w:rsidP="00427FA7">
      <w:pPr>
        <w:spacing w:line="20" w:lineRule="atLeast"/>
        <w:rPr>
          <w:rFonts w:ascii="Arial" w:hAnsi="Arial" w:cs="Arial"/>
          <w:b/>
          <w:color w:val="A71937"/>
          <w:sz w:val="28"/>
          <w:szCs w:val="28"/>
        </w:rPr>
      </w:pPr>
    </w:p>
    <w:p w14:paraId="524AD4CF" w14:textId="77777777" w:rsidR="007A338B" w:rsidRDefault="007A338B" w:rsidP="00427FA7">
      <w:pPr>
        <w:spacing w:line="20" w:lineRule="atLeast"/>
        <w:rPr>
          <w:rFonts w:ascii="Arial" w:hAnsi="Arial" w:cs="Arial"/>
          <w:b/>
          <w:color w:val="A71937"/>
          <w:sz w:val="28"/>
          <w:szCs w:val="28"/>
        </w:rPr>
      </w:pPr>
    </w:p>
    <w:p w14:paraId="0779047C" w14:textId="77777777" w:rsidR="007A338B" w:rsidRDefault="007A338B" w:rsidP="00427FA7">
      <w:pPr>
        <w:spacing w:line="20" w:lineRule="atLeast"/>
        <w:rPr>
          <w:rFonts w:ascii="Arial" w:hAnsi="Arial" w:cs="Arial"/>
          <w:b/>
          <w:color w:val="A71937"/>
          <w:sz w:val="28"/>
          <w:szCs w:val="28"/>
        </w:rPr>
      </w:pPr>
    </w:p>
    <w:p w14:paraId="6DEB9A01" w14:textId="77777777" w:rsidR="0048492C" w:rsidRDefault="0048492C" w:rsidP="00427FA7">
      <w:pPr>
        <w:spacing w:line="20" w:lineRule="atLeast"/>
        <w:rPr>
          <w:rFonts w:ascii="Arial" w:hAnsi="Arial" w:cs="Arial"/>
          <w:b/>
          <w:color w:val="A71937"/>
          <w:sz w:val="28"/>
          <w:szCs w:val="28"/>
        </w:rPr>
      </w:pPr>
    </w:p>
    <w:p w14:paraId="072FC4F2" w14:textId="77777777" w:rsidR="0048492C" w:rsidRDefault="0048492C" w:rsidP="00427FA7">
      <w:pPr>
        <w:spacing w:line="20" w:lineRule="atLeast"/>
        <w:rPr>
          <w:rFonts w:ascii="Arial" w:hAnsi="Arial" w:cs="Arial"/>
          <w:b/>
          <w:color w:val="A71937"/>
          <w:sz w:val="28"/>
          <w:szCs w:val="28"/>
        </w:rPr>
      </w:pPr>
    </w:p>
    <w:p w14:paraId="62773E81" w14:textId="77777777" w:rsidR="0048492C" w:rsidRDefault="0048492C" w:rsidP="00427FA7">
      <w:pPr>
        <w:spacing w:line="20" w:lineRule="atLeast"/>
        <w:rPr>
          <w:rFonts w:ascii="Arial" w:hAnsi="Arial" w:cs="Arial"/>
          <w:b/>
          <w:color w:val="A71937"/>
          <w:sz w:val="28"/>
          <w:szCs w:val="28"/>
        </w:rPr>
      </w:pPr>
    </w:p>
    <w:p w14:paraId="593A163B" w14:textId="77777777" w:rsidR="0048492C" w:rsidRDefault="0048492C" w:rsidP="00427FA7">
      <w:pPr>
        <w:spacing w:line="20" w:lineRule="atLeast"/>
        <w:rPr>
          <w:rFonts w:ascii="Arial" w:hAnsi="Arial" w:cs="Arial"/>
          <w:b/>
          <w:color w:val="A71937"/>
          <w:sz w:val="28"/>
          <w:szCs w:val="28"/>
        </w:rPr>
      </w:pPr>
    </w:p>
    <w:p w14:paraId="072E8A0D" w14:textId="77777777" w:rsidR="0048492C" w:rsidRDefault="0048492C" w:rsidP="00427FA7">
      <w:pPr>
        <w:spacing w:line="20" w:lineRule="atLeast"/>
        <w:rPr>
          <w:rFonts w:ascii="Arial" w:hAnsi="Arial" w:cs="Arial"/>
          <w:b/>
          <w:color w:val="A71937"/>
          <w:sz w:val="28"/>
          <w:szCs w:val="28"/>
        </w:rPr>
      </w:pPr>
    </w:p>
    <w:p w14:paraId="11829DAF" w14:textId="77777777" w:rsidR="0048492C" w:rsidRDefault="0048492C" w:rsidP="00427FA7">
      <w:pPr>
        <w:spacing w:line="20" w:lineRule="atLeast"/>
        <w:rPr>
          <w:rFonts w:ascii="Arial" w:hAnsi="Arial" w:cs="Arial"/>
          <w:b/>
          <w:color w:val="A71937"/>
          <w:sz w:val="28"/>
          <w:szCs w:val="28"/>
        </w:rPr>
      </w:pPr>
    </w:p>
    <w:p w14:paraId="130D3D69" w14:textId="77777777" w:rsidR="0048492C" w:rsidRDefault="0048492C" w:rsidP="00427FA7">
      <w:pPr>
        <w:spacing w:line="20" w:lineRule="atLeast"/>
        <w:rPr>
          <w:rFonts w:ascii="Arial" w:hAnsi="Arial" w:cs="Arial"/>
          <w:b/>
          <w:color w:val="A71937"/>
          <w:sz w:val="28"/>
          <w:szCs w:val="28"/>
        </w:rPr>
      </w:pPr>
    </w:p>
    <w:p w14:paraId="6CE7CBD8" w14:textId="77777777" w:rsidR="0048492C" w:rsidRDefault="0048492C" w:rsidP="00427FA7">
      <w:pPr>
        <w:spacing w:line="20" w:lineRule="atLeast"/>
        <w:rPr>
          <w:rFonts w:ascii="Arial" w:hAnsi="Arial" w:cs="Arial"/>
          <w:b/>
          <w:color w:val="A71937"/>
          <w:sz w:val="28"/>
          <w:szCs w:val="28"/>
        </w:rPr>
      </w:pPr>
    </w:p>
    <w:p w14:paraId="4AE6CA19" w14:textId="77777777" w:rsidR="0048492C" w:rsidRDefault="0048492C" w:rsidP="00427FA7">
      <w:pPr>
        <w:spacing w:line="20" w:lineRule="atLeast"/>
        <w:rPr>
          <w:rFonts w:ascii="Arial" w:hAnsi="Arial" w:cs="Arial"/>
          <w:b/>
          <w:color w:val="A71937"/>
          <w:sz w:val="28"/>
          <w:szCs w:val="28"/>
        </w:rPr>
      </w:pPr>
    </w:p>
    <w:p w14:paraId="4FC799C6" w14:textId="77777777" w:rsidR="0048492C" w:rsidRDefault="0048492C" w:rsidP="00427FA7">
      <w:pPr>
        <w:spacing w:line="20" w:lineRule="atLeast"/>
        <w:rPr>
          <w:rFonts w:ascii="Arial" w:hAnsi="Arial" w:cs="Arial"/>
          <w:b/>
          <w:color w:val="A71937"/>
          <w:sz w:val="28"/>
          <w:szCs w:val="28"/>
        </w:rPr>
      </w:pPr>
    </w:p>
    <w:p w14:paraId="73C3FE2B" w14:textId="77777777" w:rsidR="0048492C" w:rsidRDefault="0048492C" w:rsidP="00427FA7">
      <w:pPr>
        <w:spacing w:line="20" w:lineRule="atLeast"/>
        <w:rPr>
          <w:rFonts w:ascii="Arial" w:hAnsi="Arial" w:cs="Arial"/>
          <w:b/>
          <w:color w:val="A71937"/>
          <w:sz w:val="28"/>
          <w:szCs w:val="28"/>
        </w:rPr>
      </w:pPr>
    </w:p>
    <w:p w14:paraId="6EA9FD1E" w14:textId="77777777" w:rsidR="0048492C" w:rsidRDefault="0048492C" w:rsidP="00427FA7">
      <w:pPr>
        <w:spacing w:line="20" w:lineRule="atLeast"/>
        <w:rPr>
          <w:rFonts w:ascii="Arial" w:hAnsi="Arial" w:cs="Arial"/>
          <w:b/>
          <w:color w:val="A71937"/>
          <w:sz w:val="28"/>
          <w:szCs w:val="28"/>
        </w:rPr>
      </w:pPr>
    </w:p>
    <w:p w14:paraId="2C3C4529" w14:textId="77777777" w:rsidR="0048492C" w:rsidRDefault="0048492C" w:rsidP="00427FA7">
      <w:pPr>
        <w:spacing w:line="20" w:lineRule="atLeast"/>
        <w:rPr>
          <w:rFonts w:ascii="Arial" w:hAnsi="Arial" w:cs="Arial"/>
          <w:b/>
          <w:color w:val="A71937"/>
          <w:sz w:val="28"/>
          <w:szCs w:val="28"/>
        </w:rPr>
      </w:pPr>
    </w:p>
    <w:p w14:paraId="77069C7A" w14:textId="77777777" w:rsidR="0048492C" w:rsidRDefault="0048492C" w:rsidP="00427FA7">
      <w:pPr>
        <w:spacing w:line="20" w:lineRule="atLeast"/>
        <w:rPr>
          <w:rFonts w:ascii="Arial" w:hAnsi="Arial" w:cs="Arial"/>
          <w:b/>
          <w:color w:val="A71937"/>
          <w:sz w:val="28"/>
          <w:szCs w:val="28"/>
        </w:rPr>
      </w:pPr>
    </w:p>
    <w:p w14:paraId="50F2883A" w14:textId="77777777" w:rsidR="0048492C" w:rsidRDefault="0048492C" w:rsidP="00427FA7">
      <w:pPr>
        <w:spacing w:line="20" w:lineRule="atLeast"/>
        <w:rPr>
          <w:rFonts w:ascii="Arial" w:hAnsi="Arial" w:cs="Arial"/>
          <w:b/>
          <w:color w:val="A71937"/>
          <w:sz w:val="28"/>
          <w:szCs w:val="28"/>
        </w:rPr>
      </w:pPr>
    </w:p>
    <w:p w14:paraId="38315361" w14:textId="77777777" w:rsidR="0048492C" w:rsidRDefault="0048492C" w:rsidP="00427FA7">
      <w:pPr>
        <w:spacing w:line="20" w:lineRule="atLeast"/>
        <w:rPr>
          <w:rFonts w:ascii="Arial" w:hAnsi="Arial" w:cs="Arial"/>
          <w:b/>
          <w:color w:val="A71937"/>
          <w:sz w:val="28"/>
          <w:szCs w:val="28"/>
        </w:rPr>
      </w:pPr>
    </w:p>
    <w:p w14:paraId="79C75DAB" w14:textId="77777777" w:rsidR="0048492C" w:rsidRDefault="0048492C" w:rsidP="00427FA7">
      <w:pPr>
        <w:spacing w:line="20" w:lineRule="atLeast"/>
        <w:rPr>
          <w:rFonts w:ascii="Arial" w:hAnsi="Arial" w:cs="Arial"/>
          <w:b/>
          <w:color w:val="A71937"/>
          <w:sz w:val="28"/>
          <w:szCs w:val="28"/>
        </w:rPr>
      </w:pPr>
    </w:p>
    <w:p w14:paraId="63858D4F" w14:textId="77777777" w:rsidR="0048492C" w:rsidRDefault="0048492C" w:rsidP="00427FA7">
      <w:pPr>
        <w:spacing w:line="20" w:lineRule="atLeast"/>
        <w:rPr>
          <w:rFonts w:ascii="Arial" w:hAnsi="Arial" w:cs="Arial"/>
          <w:b/>
          <w:color w:val="A71937"/>
          <w:sz w:val="28"/>
          <w:szCs w:val="28"/>
        </w:rPr>
      </w:pPr>
    </w:p>
    <w:p w14:paraId="10BA7BF1" w14:textId="77777777" w:rsidR="0048492C" w:rsidRDefault="0048492C" w:rsidP="00427FA7">
      <w:pPr>
        <w:spacing w:line="20" w:lineRule="atLeast"/>
        <w:rPr>
          <w:rFonts w:ascii="Arial" w:hAnsi="Arial" w:cs="Arial"/>
          <w:b/>
          <w:color w:val="A71937"/>
          <w:sz w:val="28"/>
          <w:szCs w:val="28"/>
        </w:rPr>
      </w:pPr>
    </w:p>
    <w:p w14:paraId="4F489B5E" w14:textId="77777777" w:rsidR="0048492C" w:rsidRDefault="0048492C" w:rsidP="00427FA7">
      <w:pPr>
        <w:spacing w:line="20" w:lineRule="atLeast"/>
        <w:rPr>
          <w:rFonts w:ascii="Arial" w:hAnsi="Arial" w:cs="Arial"/>
          <w:b/>
          <w:color w:val="A71937"/>
          <w:sz w:val="28"/>
          <w:szCs w:val="28"/>
        </w:rPr>
      </w:pPr>
    </w:p>
    <w:p w14:paraId="767E1832" w14:textId="77777777" w:rsidR="0048492C" w:rsidRDefault="0048492C" w:rsidP="00427FA7">
      <w:pPr>
        <w:spacing w:line="20" w:lineRule="atLeast"/>
        <w:rPr>
          <w:rFonts w:ascii="Arial" w:hAnsi="Arial" w:cs="Arial"/>
          <w:b/>
          <w:color w:val="A71937"/>
          <w:sz w:val="28"/>
          <w:szCs w:val="28"/>
        </w:rPr>
      </w:pPr>
    </w:p>
    <w:p w14:paraId="02C05F81" w14:textId="77777777" w:rsidR="0048492C" w:rsidRDefault="0048492C" w:rsidP="00427FA7">
      <w:pPr>
        <w:spacing w:line="20" w:lineRule="atLeast"/>
        <w:rPr>
          <w:rFonts w:ascii="Arial" w:hAnsi="Arial" w:cs="Arial"/>
          <w:b/>
          <w:color w:val="A71937"/>
          <w:sz w:val="28"/>
          <w:szCs w:val="28"/>
        </w:rPr>
      </w:pPr>
    </w:p>
    <w:p w14:paraId="49A11D2E" w14:textId="77777777" w:rsidR="0048492C" w:rsidRDefault="0048492C" w:rsidP="00427FA7">
      <w:pPr>
        <w:spacing w:line="20" w:lineRule="atLeast"/>
        <w:rPr>
          <w:rFonts w:ascii="Arial" w:hAnsi="Arial" w:cs="Arial"/>
          <w:b/>
          <w:color w:val="A71937"/>
          <w:sz w:val="28"/>
          <w:szCs w:val="28"/>
        </w:rPr>
      </w:pPr>
    </w:p>
    <w:p w14:paraId="46D1E238" w14:textId="77777777" w:rsidR="0048492C" w:rsidRDefault="0048492C" w:rsidP="00427FA7">
      <w:pPr>
        <w:spacing w:line="20" w:lineRule="atLeast"/>
        <w:rPr>
          <w:rFonts w:ascii="Arial" w:hAnsi="Arial" w:cs="Arial"/>
          <w:b/>
          <w:color w:val="A71937"/>
          <w:sz w:val="28"/>
          <w:szCs w:val="28"/>
        </w:rPr>
      </w:pPr>
    </w:p>
    <w:p w14:paraId="45A3D4BF" w14:textId="77777777" w:rsidR="0048492C" w:rsidRDefault="0048492C" w:rsidP="00427FA7">
      <w:pPr>
        <w:spacing w:line="20" w:lineRule="atLeast"/>
        <w:rPr>
          <w:rFonts w:ascii="Arial" w:hAnsi="Arial" w:cs="Arial"/>
          <w:b/>
          <w:color w:val="A71937"/>
          <w:sz w:val="28"/>
          <w:szCs w:val="28"/>
        </w:rPr>
      </w:pPr>
    </w:p>
    <w:p w14:paraId="6E366C42" w14:textId="77777777" w:rsidR="0048492C" w:rsidRDefault="0048492C" w:rsidP="00427FA7">
      <w:pPr>
        <w:spacing w:line="20" w:lineRule="atLeast"/>
        <w:rPr>
          <w:rFonts w:ascii="Arial" w:hAnsi="Arial" w:cs="Arial"/>
          <w:b/>
          <w:color w:val="A71937"/>
          <w:sz w:val="28"/>
          <w:szCs w:val="28"/>
        </w:rPr>
      </w:pPr>
    </w:p>
    <w:p w14:paraId="1F5ABD00" w14:textId="77777777" w:rsidR="0048492C" w:rsidRDefault="0048492C" w:rsidP="00427FA7">
      <w:pPr>
        <w:spacing w:line="20" w:lineRule="atLeast"/>
        <w:rPr>
          <w:rFonts w:ascii="Arial" w:hAnsi="Arial" w:cs="Arial"/>
          <w:b/>
          <w:color w:val="A71937"/>
          <w:sz w:val="28"/>
          <w:szCs w:val="28"/>
        </w:rPr>
      </w:pPr>
    </w:p>
    <w:p w14:paraId="7120D9F6" w14:textId="77777777" w:rsidR="0048492C" w:rsidRDefault="0048492C" w:rsidP="00427FA7">
      <w:pPr>
        <w:spacing w:line="20" w:lineRule="atLeast"/>
        <w:rPr>
          <w:rFonts w:ascii="Arial" w:hAnsi="Arial" w:cs="Arial"/>
          <w:b/>
          <w:color w:val="A71937"/>
          <w:sz w:val="28"/>
          <w:szCs w:val="28"/>
        </w:rPr>
      </w:pPr>
    </w:p>
    <w:p w14:paraId="5D0D5CC9" w14:textId="77777777" w:rsidR="0048492C" w:rsidRDefault="0048492C" w:rsidP="00427FA7">
      <w:pPr>
        <w:spacing w:line="20" w:lineRule="atLeast"/>
        <w:rPr>
          <w:rFonts w:ascii="Arial" w:hAnsi="Arial" w:cs="Arial"/>
          <w:b/>
          <w:color w:val="A71937"/>
          <w:sz w:val="28"/>
          <w:szCs w:val="28"/>
        </w:rPr>
      </w:pPr>
    </w:p>
    <w:p w14:paraId="6BFD3257" w14:textId="77777777" w:rsidR="0048492C" w:rsidRDefault="0048492C" w:rsidP="00427FA7">
      <w:pPr>
        <w:spacing w:line="20" w:lineRule="atLeast"/>
        <w:rPr>
          <w:rFonts w:ascii="Arial" w:hAnsi="Arial" w:cs="Arial"/>
          <w:b/>
          <w:color w:val="A71937"/>
          <w:sz w:val="28"/>
          <w:szCs w:val="28"/>
        </w:rPr>
      </w:pPr>
    </w:p>
    <w:p w14:paraId="549F5589" w14:textId="77777777" w:rsidR="0048492C" w:rsidRDefault="0048492C" w:rsidP="00427FA7">
      <w:pPr>
        <w:spacing w:line="20" w:lineRule="atLeast"/>
        <w:rPr>
          <w:rFonts w:ascii="Arial" w:hAnsi="Arial" w:cs="Arial"/>
          <w:b/>
          <w:color w:val="A71937"/>
          <w:sz w:val="28"/>
          <w:szCs w:val="28"/>
        </w:rPr>
      </w:pPr>
    </w:p>
    <w:p w14:paraId="57960CEB" w14:textId="77777777" w:rsidR="009B381C" w:rsidRDefault="009B381C" w:rsidP="00427FA7">
      <w:pPr>
        <w:spacing w:line="20" w:lineRule="atLeast"/>
        <w:rPr>
          <w:rFonts w:ascii="Arial" w:hAnsi="Arial" w:cs="Arial"/>
          <w:b/>
          <w:color w:val="A71937"/>
          <w:sz w:val="28"/>
          <w:szCs w:val="28"/>
        </w:rPr>
        <w:sectPr w:rsidR="009B381C" w:rsidSect="0036077A">
          <w:headerReference w:type="default" r:id="rId42"/>
          <w:pgSz w:w="11906" w:h="16838"/>
          <w:pgMar w:top="1021" w:right="1440" w:bottom="1440" w:left="1440" w:header="709" w:footer="709" w:gutter="0"/>
          <w:cols w:space="708"/>
          <w:docGrid w:linePitch="360"/>
        </w:sectPr>
      </w:pPr>
    </w:p>
    <w:p w14:paraId="6D162FEC" w14:textId="6B812618" w:rsidR="00897436" w:rsidRDefault="00897436" w:rsidP="00427FA7">
      <w:pPr>
        <w:spacing w:line="20" w:lineRule="atLeast"/>
        <w:rPr>
          <w:rFonts w:ascii="Arial" w:hAnsi="Arial" w:cs="Arial"/>
          <w:b/>
          <w:color w:val="A71937"/>
          <w:sz w:val="28"/>
          <w:szCs w:val="28"/>
        </w:rPr>
      </w:pPr>
      <w:r w:rsidRPr="000C13FF">
        <w:rPr>
          <w:rFonts w:ascii="Arial" w:hAnsi="Arial" w:cs="Arial"/>
          <w:b/>
          <w:color w:val="A71937"/>
          <w:sz w:val="28"/>
          <w:szCs w:val="28"/>
        </w:rPr>
        <w:t xml:space="preserve">Appendix </w:t>
      </w:r>
      <w:r w:rsidR="00AF17F2">
        <w:rPr>
          <w:rFonts w:ascii="Arial" w:hAnsi="Arial" w:cs="Arial"/>
          <w:b/>
          <w:color w:val="A71937"/>
          <w:sz w:val="28"/>
          <w:szCs w:val="28"/>
        </w:rPr>
        <w:t>3</w:t>
      </w:r>
      <w:r w:rsidRPr="000C13FF">
        <w:rPr>
          <w:rFonts w:ascii="Arial" w:hAnsi="Arial" w:cs="Arial"/>
          <w:b/>
          <w:color w:val="A71937"/>
          <w:sz w:val="28"/>
          <w:szCs w:val="28"/>
        </w:rPr>
        <w:t>:</w:t>
      </w:r>
    </w:p>
    <w:p w14:paraId="6D162FED" w14:textId="77777777" w:rsidR="00CE7E8A" w:rsidRDefault="00CE7E8A" w:rsidP="00CE7E8A"/>
    <w:tbl>
      <w:tblPr>
        <w:tblStyle w:val="TableGrid"/>
        <w:tblW w:w="1024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241"/>
      </w:tblGrid>
      <w:tr w:rsidR="00CE7E8A" w14:paraId="6D162FF7" w14:textId="77777777" w:rsidTr="00CE7E8A">
        <w:trPr>
          <w:cantSplit/>
          <w:trHeight w:val="4057"/>
        </w:trPr>
        <w:tc>
          <w:tcPr>
            <w:tcW w:w="10241" w:type="dxa"/>
          </w:tcPr>
          <w:p w14:paraId="6D162FEE" w14:textId="007ACE4D" w:rsidR="00CE7E8A" w:rsidRDefault="00CE7E8A" w:rsidP="00CE7E8A">
            <w:pPr>
              <w:pStyle w:val="TenderVerticalBigBlue"/>
              <w:spacing w:after="20"/>
              <w:rPr>
                <w:caps w:val="0"/>
                <w:snapToGrid w:val="0"/>
                <w:sz w:val="52"/>
                <w:szCs w:val="52"/>
              </w:rPr>
            </w:pPr>
            <w:r>
              <w:rPr>
                <w:noProof/>
              </w:rPr>
              <w:drawing>
                <wp:inline distT="0" distB="0" distL="0" distR="0" wp14:anchorId="6D164084" wp14:editId="6D164085">
                  <wp:extent cx="5534025" cy="2190750"/>
                  <wp:effectExtent l="0" t="0" r="9525" b="0"/>
                  <wp:docPr id="12" name="Picture 12" descr="B&amp;D LOGO sml"/>
                  <wp:cNvGraphicFramePr/>
                  <a:graphic xmlns:a="http://schemas.openxmlformats.org/drawingml/2006/main">
                    <a:graphicData uri="http://schemas.openxmlformats.org/drawingml/2006/picture">
                      <pic:pic xmlns:pic="http://schemas.openxmlformats.org/drawingml/2006/picture">
                        <pic:nvPicPr>
                          <pic:cNvPr id="2" name="Picture 2" descr="B&amp;D LOGO sml"/>
                          <pic:cNvPicPr/>
                        </pic:nvPicPr>
                        <pic:blipFill>
                          <a:blip r:embed="rId18" cstate="print"/>
                          <a:srcRect/>
                          <a:stretch>
                            <a:fillRect/>
                          </a:stretch>
                        </pic:blipFill>
                        <pic:spPr bwMode="auto">
                          <a:xfrm>
                            <a:off x="0" y="0"/>
                            <a:ext cx="5534025" cy="2190750"/>
                          </a:xfrm>
                          <a:prstGeom prst="rect">
                            <a:avLst/>
                          </a:prstGeom>
                          <a:noFill/>
                        </pic:spPr>
                      </pic:pic>
                    </a:graphicData>
                  </a:graphic>
                </wp:inline>
              </w:drawing>
            </w:r>
          </w:p>
          <w:p w14:paraId="6D162FEF" w14:textId="77777777" w:rsidR="00CE7E8A" w:rsidRDefault="00CE7E8A" w:rsidP="00CE7E8A">
            <w:pPr>
              <w:pStyle w:val="TenderVerticalBigBlue"/>
              <w:spacing w:after="20"/>
              <w:rPr>
                <w:caps w:val="0"/>
                <w:snapToGrid w:val="0"/>
                <w:sz w:val="52"/>
                <w:szCs w:val="52"/>
              </w:rPr>
            </w:pPr>
          </w:p>
          <w:p w14:paraId="6D162FF0" w14:textId="77777777" w:rsidR="00CE7E8A" w:rsidRPr="00B77C6F" w:rsidRDefault="00CE7E8A" w:rsidP="00CE7E8A">
            <w:pPr>
              <w:pStyle w:val="TenderVerticalBigBlue"/>
              <w:spacing w:after="20"/>
              <w:jc w:val="center"/>
              <w:rPr>
                <w:b/>
                <w:caps w:val="0"/>
                <w:snapToGrid w:val="0"/>
                <w:color w:val="C00000"/>
                <w:sz w:val="48"/>
                <w:szCs w:val="48"/>
              </w:rPr>
            </w:pPr>
            <w:r w:rsidRPr="00B77C6F">
              <w:rPr>
                <w:b/>
                <w:caps w:val="0"/>
                <w:snapToGrid w:val="0"/>
                <w:color w:val="C00000"/>
                <w:sz w:val="48"/>
                <w:szCs w:val="48"/>
              </w:rPr>
              <w:t>London Borough of Barking and Dagenham Pension Fund</w:t>
            </w:r>
          </w:p>
          <w:p w14:paraId="6D162FF1" w14:textId="77777777" w:rsidR="00CE7E8A" w:rsidRDefault="00CE7E8A" w:rsidP="00CE7E8A">
            <w:pPr>
              <w:pStyle w:val="TenderVerticalBigBlue"/>
              <w:spacing w:after="20"/>
              <w:rPr>
                <w:caps w:val="0"/>
                <w:snapToGrid w:val="0"/>
                <w:sz w:val="52"/>
                <w:szCs w:val="52"/>
              </w:rPr>
            </w:pPr>
          </w:p>
          <w:p w14:paraId="6D162FF2" w14:textId="3E18291E" w:rsidR="00CE7E8A" w:rsidRDefault="00CE7E8A" w:rsidP="00CE7E8A">
            <w:pPr>
              <w:pStyle w:val="TenderVerticalBigBlue"/>
              <w:spacing w:after="20"/>
              <w:jc w:val="center"/>
              <w:rPr>
                <w:caps w:val="0"/>
                <w:snapToGrid w:val="0"/>
                <w:sz w:val="52"/>
                <w:szCs w:val="52"/>
              </w:rPr>
            </w:pPr>
            <w:r>
              <w:rPr>
                <w:noProof/>
              </w:rPr>
              <w:drawing>
                <wp:inline distT="0" distB="0" distL="0" distR="0" wp14:anchorId="6D164086" wp14:editId="6D164087">
                  <wp:extent cx="2838450" cy="2550795"/>
                  <wp:effectExtent l="0" t="0" r="0" b="1905"/>
                  <wp:docPr id="1" name="Picture 1" descr="Image result for pictures of barking and dagenham">
                    <a:hlinkClick xmlns:a="http://schemas.openxmlformats.org/drawingml/2006/main" r:id="rId43"/>
                  </wp:docPr>
                  <wp:cNvGraphicFramePr/>
                  <a:graphic xmlns:a="http://schemas.openxmlformats.org/drawingml/2006/main">
                    <a:graphicData uri="http://schemas.openxmlformats.org/drawingml/2006/picture">
                      <pic:pic xmlns:pic="http://schemas.openxmlformats.org/drawingml/2006/picture">
                        <pic:nvPicPr>
                          <pic:cNvPr id="3" name="Picture 3" descr="Image result for pictures of barking and dagenham">
                            <a:hlinkClick r:id="rId43"/>
                          </pic:cNvPr>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38450" cy="2550795"/>
                          </a:xfrm>
                          <a:prstGeom prst="rect">
                            <a:avLst/>
                          </a:prstGeom>
                          <a:noFill/>
                          <a:ln>
                            <a:noFill/>
                          </a:ln>
                        </pic:spPr>
                      </pic:pic>
                    </a:graphicData>
                  </a:graphic>
                </wp:inline>
              </w:drawing>
            </w:r>
          </w:p>
          <w:p w14:paraId="6D162FF3" w14:textId="77777777" w:rsidR="00CE7E8A" w:rsidRPr="00B77C6F" w:rsidRDefault="00CE7E8A" w:rsidP="00CE7E8A">
            <w:pPr>
              <w:pStyle w:val="TenderVerticalBigBlue"/>
              <w:spacing w:after="20"/>
              <w:jc w:val="center"/>
              <w:rPr>
                <w:caps w:val="0"/>
                <w:snapToGrid w:val="0"/>
                <w:sz w:val="52"/>
                <w:szCs w:val="52"/>
              </w:rPr>
            </w:pPr>
          </w:p>
          <w:p w14:paraId="6D162FF4" w14:textId="77777777" w:rsidR="00CE7E8A" w:rsidRPr="00415568" w:rsidRDefault="00CE7E8A" w:rsidP="00CE7E8A">
            <w:pPr>
              <w:pStyle w:val="Heading3"/>
              <w:jc w:val="center"/>
              <w:rPr>
                <w:color w:val="C00000"/>
                <w:sz w:val="48"/>
                <w:szCs w:val="48"/>
              </w:rPr>
            </w:pPr>
            <w:r w:rsidRPr="00415568">
              <w:rPr>
                <w:color w:val="C00000"/>
                <w:sz w:val="48"/>
                <w:szCs w:val="48"/>
              </w:rPr>
              <w:t>Fun</w:t>
            </w:r>
            <w:r w:rsidR="000A5084" w:rsidRPr="00415568">
              <w:rPr>
                <w:color w:val="C00000"/>
                <w:sz w:val="48"/>
                <w:szCs w:val="48"/>
              </w:rPr>
              <w:t>ding Strategy Statement</w:t>
            </w:r>
          </w:p>
          <w:p w14:paraId="6D162FF5" w14:textId="539F03E7" w:rsidR="00CE7E8A" w:rsidRPr="00B77C6F" w:rsidRDefault="009E4478" w:rsidP="00CE7E8A">
            <w:pPr>
              <w:pStyle w:val="Heading3"/>
              <w:jc w:val="center"/>
              <w:rPr>
                <w:color w:val="C00000"/>
                <w:sz w:val="48"/>
                <w:szCs w:val="48"/>
              </w:rPr>
            </w:pPr>
            <w:r w:rsidRPr="00415568">
              <w:rPr>
                <w:color w:val="C00000"/>
                <w:sz w:val="48"/>
                <w:szCs w:val="48"/>
              </w:rPr>
              <w:t>20</w:t>
            </w:r>
            <w:r w:rsidR="00A27614" w:rsidRPr="00415568">
              <w:rPr>
                <w:color w:val="C00000"/>
                <w:sz w:val="48"/>
                <w:szCs w:val="48"/>
              </w:rPr>
              <w:t>2</w:t>
            </w:r>
            <w:r w:rsidR="00415568" w:rsidRPr="00415568">
              <w:rPr>
                <w:color w:val="C00000"/>
                <w:sz w:val="48"/>
                <w:szCs w:val="48"/>
              </w:rPr>
              <w:t>2</w:t>
            </w:r>
          </w:p>
          <w:p w14:paraId="6D162FF6" w14:textId="77777777" w:rsidR="00CE7E8A" w:rsidRPr="00297CA1" w:rsidRDefault="00CE7E8A" w:rsidP="00CE7E8A">
            <w:pPr>
              <w:pStyle w:val="Heading3"/>
              <w:jc w:val="center"/>
              <w:rPr>
                <w:color w:val="4B4B4B"/>
                <w:sz w:val="36"/>
                <w:szCs w:val="36"/>
              </w:rPr>
            </w:pPr>
          </w:p>
        </w:tc>
      </w:tr>
    </w:tbl>
    <w:p w14:paraId="6D162FFA" w14:textId="77777777" w:rsidR="006D2AFD" w:rsidRPr="00601B12" w:rsidRDefault="006D2AFD" w:rsidP="00CE7E8A">
      <w:pPr>
        <w:pStyle w:val="BodyTextGrey"/>
      </w:pPr>
      <w:bookmarkStart w:id="8" w:name="Report_Description"/>
      <w:bookmarkEnd w:id="8"/>
    </w:p>
    <w:p w14:paraId="1535E7F0" w14:textId="77777777" w:rsidR="00453499" w:rsidRDefault="00453499" w:rsidP="004F7D8F">
      <w:pPr>
        <w:pStyle w:val="BodyText"/>
        <w:rPr>
          <w:rFonts w:ascii="Segoe UI Semibold" w:eastAsia="Segoe UI" w:hAnsi="Segoe UI Semibold" w:cs="Segoe UI Semibold"/>
          <w:color w:val="0069B4"/>
          <w:sz w:val="36"/>
          <w:szCs w:val="36"/>
        </w:rPr>
        <w:sectPr w:rsidR="00453499" w:rsidSect="00F532F8">
          <w:pgSz w:w="11906" w:h="16838"/>
          <w:pgMar w:top="1440" w:right="1440" w:bottom="1440" w:left="1440" w:header="709" w:footer="709" w:gutter="0"/>
          <w:cols w:space="708"/>
          <w:titlePg/>
          <w:docGrid w:linePitch="360"/>
        </w:sectPr>
      </w:pPr>
    </w:p>
    <w:p w14:paraId="5641E640" w14:textId="2D92B9FB" w:rsidR="004F7D8F" w:rsidRDefault="004F7D8F" w:rsidP="005515DF">
      <w:pPr>
        <w:tabs>
          <w:tab w:val="left" w:pos="3665"/>
        </w:tabs>
        <w:rPr>
          <w:rFonts w:ascii="Segoe UI Semibold" w:eastAsia="Segoe UI" w:hAnsi="Segoe UI Semibold" w:cs="Segoe UI Semibold"/>
          <w:color w:val="0069B4"/>
          <w:sz w:val="36"/>
          <w:szCs w:val="36"/>
        </w:rPr>
      </w:pPr>
      <w:r w:rsidRPr="004F7D8F">
        <w:rPr>
          <w:rFonts w:ascii="Segoe UI Semibold" w:eastAsia="Segoe UI" w:hAnsi="Segoe UI Semibold" w:cs="Segoe UI Semibold"/>
          <w:color w:val="0069B4"/>
          <w:sz w:val="36"/>
          <w:szCs w:val="36"/>
        </w:rPr>
        <w:t>Contents</w:t>
      </w:r>
    </w:p>
    <w:p w14:paraId="2407C887" w14:textId="77777777" w:rsidR="005515DF" w:rsidRPr="004F7D8F" w:rsidRDefault="005515DF" w:rsidP="005515DF">
      <w:pPr>
        <w:tabs>
          <w:tab w:val="left" w:pos="3665"/>
        </w:tabs>
        <w:rPr>
          <w:rFonts w:ascii="Segoe UI Semibold" w:eastAsia="Segoe UI" w:hAnsi="Segoe UI Semibold" w:cs="Segoe UI Semibold"/>
          <w:color w:val="0069B4"/>
          <w:sz w:val="36"/>
          <w:szCs w:val="36"/>
        </w:rPr>
      </w:pPr>
    </w:p>
    <w:p w14:paraId="392B1216" w14:textId="77777777" w:rsidR="004F7D8F" w:rsidRPr="004F7D8F" w:rsidRDefault="004F7D8F" w:rsidP="004F7D8F">
      <w:pPr>
        <w:tabs>
          <w:tab w:val="right" w:leader="dot" w:pos="9856"/>
        </w:tabs>
        <w:spacing w:after="100"/>
        <w:rPr>
          <w:rFonts w:ascii="Segoe UI" w:hAnsi="Segoe UI"/>
          <w:noProof/>
          <w:sz w:val="22"/>
          <w:szCs w:val="22"/>
        </w:rPr>
      </w:pPr>
      <w:r w:rsidRPr="004F7D8F">
        <w:rPr>
          <w:rFonts w:ascii="Segoe UI" w:eastAsia="Segoe UI" w:hAnsi="Segoe UI"/>
          <w:sz w:val="20"/>
          <w:lang w:val="en-US" w:eastAsia="en-US" w:bidi="en-US"/>
        </w:rPr>
        <w:fldChar w:fldCharType="begin"/>
      </w:r>
      <w:r w:rsidRPr="004F7D8F">
        <w:rPr>
          <w:rFonts w:ascii="Segoe UI" w:eastAsia="Segoe UI" w:hAnsi="Segoe UI"/>
          <w:sz w:val="20"/>
          <w:lang w:val="en-US" w:eastAsia="en-US" w:bidi="en-US"/>
        </w:rPr>
        <w:instrText xml:space="preserve"> TOC \o "2-2" \h \z \t "Heading 1,1" </w:instrText>
      </w:r>
      <w:r w:rsidRPr="004F7D8F">
        <w:rPr>
          <w:rFonts w:ascii="Segoe UI" w:eastAsia="Segoe UI" w:hAnsi="Segoe UI"/>
          <w:sz w:val="20"/>
          <w:lang w:val="en-US" w:eastAsia="en-US" w:bidi="en-US"/>
        </w:rPr>
        <w:fldChar w:fldCharType="separate"/>
      </w:r>
      <w:hyperlink w:anchor="_Toc16069699" w:history="1">
        <w:r w:rsidRPr="004F7D8F">
          <w:rPr>
            <w:rFonts w:ascii="Segoe UI" w:eastAsia="Segoe UI" w:hAnsi="Segoe UI"/>
            <w:noProof/>
            <w:sz w:val="20"/>
            <w:u w:val="single"/>
            <w:lang w:val="en-US" w:eastAsia="en-US" w:bidi="en-US"/>
          </w:rPr>
          <w:t>Introduction</w:t>
        </w:r>
        <w:r w:rsidRPr="004F7D8F">
          <w:rPr>
            <w:rFonts w:ascii="Segoe UI" w:eastAsia="Segoe UI" w:hAnsi="Segoe UI"/>
            <w:noProof/>
            <w:webHidden/>
            <w:sz w:val="20"/>
            <w:lang w:val="en-US" w:eastAsia="en-US" w:bidi="en-US"/>
          </w:rPr>
          <w:tab/>
        </w:r>
        <w:r w:rsidRPr="004F7D8F">
          <w:rPr>
            <w:rFonts w:ascii="Segoe UI" w:eastAsia="Segoe UI" w:hAnsi="Segoe UI"/>
            <w:noProof/>
            <w:webHidden/>
            <w:sz w:val="20"/>
            <w:lang w:val="en-US" w:eastAsia="en-US" w:bidi="en-US"/>
          </w:rPr>
          <w:fldChar w:fldCharType="begin"/>
        </w:r>
        <w:r w:rsidRPr="004F7D8F">
          <w:rPr>
            <w:rFonts w:ascii="Segoe UI" w:eastAsia="Segoe UI" w:hAnsi="Segoe UI"/>
            <w:noProof/>
            <w:webHidden/>
            <w:sz w:val="20"/>
            <w:lang w:val="en-US" w:eastAsia="en-US" w:bidi="en-US"/>
          </w:rPr>
          <w:instrText xml:space="preserve"> PAGEREF _Toc16069699 \h </w:instrText>
        </w:r>
        <w:r w:rsidRPr="004F7D8F">
          <w:rPr>
            <w:rFonts w:ascii="Segoe UI" w:eastAsia="Segoe UI" w:hAnsi="Segoe UI"/>
            <w:noProof/>
            <w:webHidden/>
            <w:sz w:val="20"/>
            <w:lang w:val="en-US" w:eastAsia="en-US" w:bidi="en-US"/>
          </w:rPr>
        </w:r>
        <w:r w:rsidRPr="004F7D8F">
          <w:rPr>
            <w:rFonts w:ascii="Segoe UI" w:eastAsia="Segoe UI" w:hAnsi="Segoe UI"/>
            <w:noProof/>
            <w:webHidden/>
            <w:sz w:val="20"/>
            <w:lang w:val="en-US" w:eastAsia="en-US" w:bidi="en-US"/>
          </w:rPr>
          <w:fldChar w:fldCharType="separate"/>
        </w:r>
        <w:r w:rsidRPr="004F7D8F">
          <w:rPr>
            <w:rFonts w:ascii="Segoe UI" w:eastAsia="Segoe UI" w:hAnsi="Segoe UI"/>
            <w:noProof/>
            <w:webHidden/>
            <w:sz w:val="20"/>
            <w:lang w:val="en-US" w:eastAsia="en-US" w:bidi="en-US"/>
          </w:rPr>
          <w:t>3</w:t>
        </w:r>
        <w:r w:rsidRPr="004F7D8F">
          <w:rPr>
            <w:rFonts w:ascii="Segoe UI" w:eastAsia="Segoe UI" w:hAnsi="Segoe UI"/>
            <w:noProof/>
            <w:webHidden/>
            <w:sz w:val="20"/>
            <w:lang w:val="en-US" w:eastAsia="en-US" w:bidi="en-US"/>
          </w:rPr>
          <w:fldChar w:fldCharType="end"/>
        </w:r>
      </w:hyperlink>
    </w:p>
    <w:p w14:paraId="44619648" w14:textId="77777777" w:rsidR="004F7D8F" w:rsidRPr="004F7D8F" w:rsidRDefault="00FF40A3" w:rsidP="004F7D8F">
      <w:pPr>
        <w:tabs>
          <w:tab w:val="right" w:leader="dot" w:pos="9856"/>
        </w:tabs>
        <w:spacing w:after="100"/>
        <w:rPr>
          <w:rFonts w:ascii="Segoe UI" w:hAnsi="Segoe UI"/>
          <w:noProof/>
          <w:sz w:val="22"/>
          <w:szCs w:val="22"/>
        </w:rPr>
      </w:pPr>
      <w:hyperlink w:anchor="_Toc16069700" w:history="1">
        <w:r w:rsidR="004F7D8F" w:rsidRPr="004F7D8F">
          <w:rPr>
            <w:rFonts w:ascii="Segoe UI" w:eastAsia="Segoe UI" w:hAnsi="Segoe UI"/>
            <w:noProof/>
            <w:sz w:val="20"/>
            <w:lang w:val="en-US" w:eastAsia="en-US" w:bidi="en-US"/>
          </w:rPr>
          <w:t>Purpose of the Funding Strategy Statement</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_Toc16069700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3</w:t>
        </w:r>
        <w:r w:rsidR="004F7D8F" w:rsidRPr="004F7D8F">
          <w:rPr>
            <w:rFonts w:ascii="Segoe UI" w:eastAsia="Segoe UI" w:hAnsi="Segoe UI"/>
            <w:noProof/>
            <w:webHidden/>
            <w:sz w:val="20"/>
            <w:lang w:val="en-US" w:eastAsia="en-US" w:bidi="en-US"/>
          </w:rPr>
          <w:fldChar w:fldCharType="end"/>
        </w:r>
      </w:hyperlink>
    </w:p>
    <w:p w14:paraId="6ECF1C26" w14:textId="77777777" w:rsidR="004F7D8F" w:rsidRPr="004F7D8F" w:rsidRDefault="00FF40A3" w:rsidP="004F7D8F">
      <w:pPr>
        <w:tabs>
          <w:tab w:val="right" w:leader="dot" w:pos="9856"/>
        </w:tabs>
        <w:spacing w:after="100"/>
        <w:rPr>
          <w:rFonts w:ascii="Segoe UI" w:hAnsi="Segoe UI"/>
          <w:noProof/>
          <w:sz w:val="22"/>
          <w:szCs w:val="22"/>
        </w:rPr>
      </w:pPr>
      <w:hyperlink w:anchor="_Toc16069701" w:history="1">
        <w:r w:rsidR="004F7D8F" w:rsidRPr="004F7D8F">
          <w:rPr>
            <w:rFonts w:ascii="Segoe UI" w:eastAsia="Segoe UI" w:hAnsi="Segoe UI"/>
            <w:noProof/>
            <w:sz w:val="20"/>
            <w:lang w:val="en-US" w:eastAsia="en-US" w:bidi="en-US"/>
          </w:rPr>
          <w:t>Aims and purposes of the Fund</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_Toc16069701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3</w:t>
        </w:r>
        <w:r w:rsidR="004F7D8F" w:rsidRPr="004F7D8F">
          <w:rPr>
            <w:rFonts w:ascii="Segoe UI" w:eastAsia="Segoe UI" w:hAnsi="Segoe UI"/>
            <w:noProof/>
            <w:webHidden/>
            <w:sz w:val="20"/>
            <w:lang w:val="en-US" w:eastAsia="en-US" w:bidi="en-US"/>
          </w:rPr>
          <w:fldChar w:fldCharType="end"/>
        </w:r>
      </w:hyperlink>
    </w:p>
    <w:p w14:paraId="1A77CF66"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02" w:history="1">
        <w:r w:rsidR="004F7D8F" w:rsidRPr="004F7D8F">
          <w:rPr>
            <w:rFonts w:ascii="Segoe UI" w:eastAsia="Segoe UI" w:hAnsi="Segoe UI"/>
            <w:noProof/>
            <w:sz w:val="20"/>
            <w:lang w:val="en-US" w:eastAsia="en-US" w:bidi="en-US"/>
          </w:rPr>
          <w:t>Funding objectives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_Toc16069702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4</w:t>
        </w:r>
        <w:r w:rsidR="004F7D8F" w:rsidRPr="004F7D8F">
          <w:rPr>
            <w:rFonts w:ascii="Segoe UI" w:eastAsia="Segoe UI" w:hAnsi="Segoe UI"/>
            <w:noProof/>
            <w:webHidden/>
            <w:sz w:val="20"/>
            <w:lang w:val="en-US" w:eastAsia="en-US" w:bidi="en-US"/>
          </w:rPr>
          <w:fldChar w:fldCharType="end"/>
        </w:r>
      </w:hyperlink>
    </w:p>
    <w:p w14:paraId="015C3D9F"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03" w:history="1">
        <w:r w:rsidR="004F7D8F" w:rsidRPr="004F7D8F">
          <w:rPr>
            <w:rFonts w:ascii="Segoe UI" w:eastAsia="Segoe UI" w:hAnsi="Segoe UI"/>
            <w:noProof/>
            <w:sz w:val="20"/>
            <w:lang w:val="en-US" w:eastAsia="en-US" w:bidi="en-US"/>
          </w:rPr>
          <w:t>Key parties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_Toc16069703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4</w:t>
        </w:r>
        <w:r w:rsidR="004F7D8F" w:rsidRPr="004F7D8F">
          <w:rPr>
            <w:rFonts w:ascii="Segoe UI" w:eastAsia="Segoe UI" w:hAnsi="Segoe UI"/>
            <w:noProof/>
            <w:webHidden/>
            <w:sz w:val="20"/>
            <w:lang w:val="en-US" w:eastAsia="en-US" w:bidi="en-US"/>
          </w:rPr>
          <w:fldChar w:fldCharType="end"/>
        </w:r>
      </w:hyperlink>
    </w:p>
    <w:p w14:paraId="4AB4ADC4" w14:textId="77777777" w:rsidR="004F7D8F" w:rsidRPr="004F7D8F" w:rsidRDefault="00FF40A3" w:rsidP="004F7D8F">
      <w:pPr>
        <w:tabs>
          <w:tab w:val="right" w:leader="dot" w:pos="9856"/>
        </w:tabs>
        <w:spacing w:after="100"/>
        <w:rPr>
          <w:rFonts w:ascii="Segoe UI" w:hAnsi="Segoe UI"/>
          <w:noProof/>
          <w:sz w:val="22"/>
          <w:szCs w:val="22"/>
        </w:rPr>
      </w:pPr>
      <w:hyperlink w:anchor="_Toc16069704" w:history="1">
        <w:r w:rsidR="004F7D8F" w:rsidRPr="004F7D8F">
          <w:rPr>
            <w:rFonts w:ascii="Segoe UI" w:eastAsia="Segoe UI" w:hAnsi="Segoe UI"/>
            <w:noProof/>
            <w:sz w:val="20"/>
            <w:lang w:val="en-US" w:eastAsia="en-US" w:bidi="en-US"/>
          </w:rPr>
          <w:t>Funding strategy</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_Toc16069704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5</w:t>
        </w:r>
        <w:r w:rsidR="004F7D8F" w:rsidRPr="004F7D8F">
          <w:rPr>
            <w:rFonts w:ascii="Segoe UI" w:eastAsia="Segoe UI" w:hAnsi="Segoe UI"/>
            <w:noProof/>
            <w:webHidden/>
            <w:sz w:val="20"/>
            <w:lang w:val="en-US" w:eastAsia="en-US" w:bidi="en-US"/>
          </w:rPr>
          <w:fldChar w:fldCharType="end"/>
        </w:r>
      </w:hyperlink>
    </w:p>
    <w:p w14:paraId="107B0A1B"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05" w:history="1">
        <w:r w:rsidR="004F7D8F" w:rsidRPr="004F7D8F">
          <w:rPr>
            <w:rFonts w:ascii="Segoe UI" w:eastAsia="Segoe UI" w:hAnsi="Segoe UI"/>
            <w:noProof/>
            <w:sz w:val="20"/>
            <w:lang w:val="en-US" w:eastAsia="en-US" w:bidi="en-US"/>
          </w:rPr>
          <w:t>Funding method</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_Toc16069705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6</w:t>
        </w:r>
        <w:r w:rsidR="004F7D8F" w:rsidRPr="004F7D8F">
          <w:rPr>
            <w:rFonts w:ascii="Segoe UI" w:eastAsia="Segoe UI" w:hAnsi="Segoe UI"/>
            <w:noProof/>
            <w:webHidden/>
            <w:sz w:val="20"/>
            <w:lang w:val="en-US" w:eastAsia="en-US" w:bidi="en-US"/>
          </w:rPr>
          <w:fldChar w:fldCharType="end"/>
        </w:r>
      </w:hyperlink>
    </w:p>
    <w:p w14:paraId="5B3F5AD7"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06" w:history="1">
        <w:r w:rsidR="004F7D8F" w:rsidRPr="004F7D8F">
          <w:rPr>
            <w:rFonts w:ascii="Segoe UI" w:eastAsia="Segoe UI" w:hAnsi="Segoe UI"/>
            <w:noProof/>
            <w:sz w:val="20"/>
            <w:lang w:val="en-US" w:eastAsia="en-US" w:bidi="en-US"/>
          </w:rPr>
          <w:t>Valuation assumptions and funding model</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_Toc16069706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6</w:t>
        </w:r>
        <w:r w:rsidR="004F7D8F" w:rsidRPr="004F7D8F">
          <w:rPr>
            <w:rFonts w:ascii="Segoe UI" w:eastAsia="Segoe UI" w:hAnsi="Segoe UI"/>
            <w:noProof/>
            <w:webHidden/>
            <w:sz w:val="20"/>
            <w:lang w:val="en-US" w:eastAsia="en-US" w:bidi="en-US"/>
          </w:rPr>
          <w:fldChar w:fldCharType="end"/>
        </w:r>
      </w:hyperlink>
    </w:p>
    <w:p w14:paraId="288CCA51"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07" w:history="1">
        <w:r w:rsidR="004F7D8F" w:rsidRPr="004F7D8F">
          <w:rPr>
            <w:rFonts w:ascii="Segoe UI" w:eastAsia="Segoe UI" w:hAnsi="Segoe UI"/>
            <w:noProof/>
            <w:sz w:val="20"/>
            <w:lang w:val="en-US" w:eastAsia="en-US" w:bidi="en-US"/>
          </w:rPr>
          <w:t>Pooling of individual employers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_Toc16069707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8</w:t>
        </w:r>
        <w:r w:rsidR="004F7D8F" w:rsidRPr="004F7D8F">
          <w:rPr>
            <w:rFonts w:ascii="Segoe UI" w:eastAsia="Segoe UI" w:hAnsi="Segoe UI"/>
            <w:noProof/>
            <w:webHidden/>
            <w:sz w:val="20"/>
            <w:lang w:val="en-US" w:eastAsia="en-US" w:bidi="en-US"/>
          </w:rPr>
          <w:fldChar w:fldCharType="end"/>
        </w:r>
      </w:hyperlink>
    </w:p>
    <w:p w14:paraId="3C3A4198" w14:textId="77777777" w:rsidR="004F7D8F" w:rsidRPr="004F7D8F" w:rsidRDefault="00FF40A3" w:rsidP="004F7D8F">
      <w:pPr>
        <w:tabs>
          <w:tab w:val="right" w:leader="dot" w:pos="9856"/>
        </w:tabs>
        <w:spacing w:after="100"/>
        <w:rPr>
          <w:rFonts w:ascii="Segoe UI" w:hAnsi="Segoe UI"/>
          <w:noProof/>
          <w:sz w:val="22"/>
          <w:szCs w:val="22"/>
        </w:rPr>
      </w:pPr>
      <w:hyperlink w:anchor="_Toc16069708" w:history="1">
        <w:r w:rsidR="004F7D8F" w:rsidRPr="004F7D8F">
          <w:rPr>
            <w:rFonts w:ascii="Segoe UI" w:eastAsia="Segoe UI" w:hAnsi="Segoe UI"/>
            <w:noProof/>
            <w:sz w:val="20"/>
            <w:lang w:val="en-US" w:eastAsia="en-US" w:bidi="en-US"/>
          </w:rPr>
          <w:t>New employers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_Toc16069708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9</w:t>
        </w:r>
        <w:r w:rsidR="004F7D8F" w:rsidRPr="004F7D8F">
          <w:rPr>
            <w:rFonts w:ascii="Segoe UI" w:eastAsia="Segoe UI" w:hAnsi="Segoe UI"/>
            <w:noProof/>
            <w:webHidden/>
            <w:sz w:val="20"/>
            <w:lang w:val="en-US" w:eastAsia="en-US" w:bidi="en-US"/>
          </w:rPr>
          <w:fldChar w:fldCharType="end"/>
        </w:r>
      </w:hyperlink>
    </w:p>
    <w:p w14:paraId="21F33897"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09" w:history="1">
        <w:r w:rsidR="004F7D8F" w:rsidRPr="004F7D8F">
          <w:rPr>
            <w:rFonts w:ascii="Segoe UI" w:eastAsia="Segoe UI" w:hAnsi="Segoe UI"/>
            <w:noProof/>
            <w:sz w:val="20"/>
            <w:lang w:val="en-US" w:eastAsia="en-US" w:bidi="en-US"/>
          </w:rPr>
          <w:t>Admission bodies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_Toc16069709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9</w:t>
        </w:r>
        <w:r w:rsidR="004F7D8F" w:rsidRPr="004F7D8F">
          <w:rPr>
            <w:rFonts w:ascii="Segoe UI" w:eastAsia="Segoe UI" w:hAnsi="Segoe UI"/>
            <w:noProof/>
            <w:webHidden/>
            <w:sz w:val="20"/>
            <w:lang w:val="en-US" w:eastAsia="en-US" w:bidi="en-US"/>
          </w:rPr>
          <w:fldChar w:fldCharType="end"/>
        </w:r>
      </w:hyperlink>
    </w:p>
    <w:p w14:paraId="0ACEC091"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10" w:history="1">
        <w:r w:rsidR="004F7D8F" w:rsidRPr="004F7D8F">
          <w:rPr>
            <w:rFonts w:ascii="Segoe UI" w:eastAsia="Segoe UI" w:hAnsi="Segoe UI"/>
            <w:noProof/>
            <w:sz w:val="20"/>
            <w:lang w:val="en-US" w:eastAsia="en-US" w:bidi="en-US"/>
          </w:rPr>
          <w:t>New academies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_Toc16069710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9</w:t>
        </w:r>
        <w:r w:rsidR="004F7D8F" w:rsidRPr="004F7D8F">
          <w:rPr>
            <w:rFonts w:ascii="Segoe UI" w:eastAsia="Segoe UI" w:hAnsi="Segoe UI"/>
            <w:noProof/>
            <w:webHidden/>
            <w:sz w:val="20"/>
            <w:lang w:val="en-US" w:eastAsia="en-US" w:bidi="en-US"/>
          </w:rPr>
          <w:fldChar w:fldCharType="end"/>
        </w:r>
      </w:hyperlink>
    </w:p>
    <w:p w14:paraId="38BE27A2" w14:textId="77777777" w:rsidR="004F7D8F" w:rsidRPr="004F7D8F" w:rsidRDefault="00FF40A3" w:rsidP="004F7D8F">
      <w:pPr>
        <w:tabs>
          <w:tab w:val="right" w:leader="dot" w:pos="9856"/>
        </w:tabs>
        <w:spacing w:after="100"/>
        <w:rPr>
          <w:rFonts w:ascii="Segoe UI" w:hAnsi="Segoe UI"/>
          <w:noProof/>
          <w:sz w:val="22"/>
          <w:szCs w:val="22"/>
        </w:rPr>
      </w:pPr>
      <w:hyperlink w:anchor="_Toc16069711" w:history="1">
        <w:r w:rsidR="004F7D8F" w:rsidRPr="004F7D8F">
          <w:rPr>
            <w:rFonts w:ascii="Segoe UI" w:eastAsia="Segoe UI" w:hAnsi="Segoe UI"/>
            <w:noProof/>
            <w:sz w:val="20"/>
            <w:lang w:val="en-US" w:eastAsia="en-US" w:bidi="en-US"/>
          </w:rPr>
          <w:t>Cessation valuations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_Toc16069711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10</w:t>
        </w:r>
        <w:r w:rsidR="004F7D8F" w:rsidRPr="004F7D8F">
          <w:rPr>
            <w:rFonts w:ascii="Segoe UI" w:eastAsia="Segoe UI" w:hAnsi="Segoe UI"/>
            <w:noProof/>
            <w:webHidden/>
            <w:sz w:val="20"/>
            <w:lang w:val="en-US" w:eastAsia="en-US" w:bidi="en-US"/>
          </w:rPr>
          <w:fldChar w:fldCharType="end"/>
        </w:r>
      </w:hyperlink>
    </w:p>
    <w:p w14:paraId="72034B17" w14:textId="77777777" w:rsidR="004F7D8F" w:rsidRPr="004F7D8F" w:rsidRDefault="00FF40A3" w:rsidP="004F7D8F">
      <w:pPr>
        <w:tabs>
          <w:tab w:val="right" w:leader="dot" w:pos="9856"/>
        </w:tabs>
        <w:spacing w:after="100"/>
        <w:rPr>
          <w:rFonts w:ascii="Segoe UI" w:hAnsi="Segoe UI"/>
          <w:noProof/>
          <w:sz w:val="22"/>
          <w:szCs w:val="22"/>
        </w:rPr>
      </w:pPr>
      <w:hyperlink w:anchor="_Toc16069712" w:history="1">
        <w:r w:rsidR="004F7D8F" w:rsidRPr="004F7D8F">
          <w:rPr>
            <w:rFonts w:ascii="Segoe UI" w:eastAsia="Segoe UI" w:hAnsi="Segoe UI"/>
            <w:noProof/>
            <w:sz w:val="20"/>
            <w:lang w:val="en-US" w:eastAsia="en-US" w:bidi="en-US"/>
          </w:rPr>
          <w:t>Links with the Investment Strategy Statement (ISS)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_Toc16069712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10</w:t>
        </w:r>
        <w:r w:rsidR="004F7D8F" w:rsidRPr="004F7D8F">
          <w:rPr>
            <w:rFonts w:ascii="Segoe UI" w:eastAsia="Segoe UI" w:hAnsi="Segoe UI"/>
            <w:noProof/>
            <w:webHidden/>
            <w:sz w:val="20"/>
            <w:lang w:val="en-US" w:eastAsia="en-US" w:bidi="en-US"/>
          </w:rPr>
          <w:fldChar w:fldCharType="end"/>
        </w:r>
      </w:hyperlink>
    </w:p>
    <w:p w14:paraId="03649803" w14:textId="77777777" w:rsidR="004F7D8F" w:rsidRPr="004F7D8F" w:rsidRDefault="00FF40A3" w:rsidP="004F7D8F">
      <w:pPr>
        <w:tabs>
          <w:tab w:val="right" w:leader="dot" w:pos="9856"/>
        </w:tabs>
        <w:spacing w:after="100"/>
        <w:rPr>
          <w:rFonts w:ascii="Segoe UI" w:hAnsi="Segoe UI"/>
          <w:noProof/>
          <w:sz w:val="22"/>
          <w:szCs w:val="22"/>
        </w:rPr>
      </w:pPr>
      <w:hyperlink w:anchor="_Toc16069713" w:history="1">
        <w:r w:rsidR="004F7D8F" w:rsidRPr="004F7D8F">
          <w:rPr>
            <w:rFonts w:ascii="Segoe UI" w:eastAsia="Segoe UI" w:hAnsi="Segoe UI"/>
            <w:noProof/>
            <w:sz w:val="20"/>
            <w:lang w:val="en-US" w:eastAsia="en-US" w:bidi="en-US"/>
          </w:rPr>
          <w:t>Risks and counter measures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_Toc16069713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10</w:t>
        </w:r>
        <w:r w:rsidR="004F7D8F" w:rsidRPr="004F7D8F">
          <w:rPr>
            <w:rFonts w:ascii="Segoe UI" w:eastAsia="Segoe UI" w:hAnsi="Segoe UI"/>
            <w:noProof/>
            <w:webHidden/>
            <w:sz w:val="20"/>
            <w:lang w:val="en-US" w:eastAsia="en-US" w:bidi="en-US"/>
          </w:rPr>
          <w:fldChar w:fldCharType="end"/>
        </w:r>
      </w:hyperlink>
    </w:p>
    <w:p w14:paraId="452858DF"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14" w:history="1">
        <w:r w:rsidR="004F7D8F" w:rsidRPr="004F7D8F">
          <w:rPr>
            <w:rFonts w:ascii="Segoe UI" w:eastAsia="Segoe UI" w:hAnsi="Segoe UI"/>
            <w:noProof/>
            <w:sz w:val="20"/>
            <w:lang w:val="en-US" w:eastAsia="en-US" w:bidi="en-US"/>
          </w:rPr>
          <w:t>Financial risks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_Toc16069714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10</w:t>
        </w:r>
        <w:r w:rsidR="004F7D8F" w:rsidRPr="004F7D8F">
          <w:rPr>
            <w:rFonts w:ascii="Segoe UI" w:eastAsia="Segoe UI" w:hAnsi="Segoe UI"/>
            <w:noProof/>
            <w:webHidden/>
            <w:sz w:val="20"/>
            <w:lang w:val="en-US" w:eastAsia="en-US" w:bidi="en-US"/>
          </w:rPr>
          <w:fldChar w:fldCharType="end"/>
        </w:r>
      </w:hyperlink>
    </w:p>
    <w:p w14:paraId="37E63C2D"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15" w:history="1">
        <w:r w:rsidR="004F7D8F" w:rsidRPr="004F7D8F">
          <w:rPr>
            <w:rFonts w:ascii="Segoe UI" w:eastAsia="Segoe UI" w:hAnsi="Segoe UI"/>
            <w:noProof/>
            <w:sz w:val="20"/>
            <w:lang w:val="en-US" w:eastAsia="en-US" w:bidi="en-US"/>
          </w:rPr>
          <w:t>Demographic risks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_Toc16069715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11</w:t>
        </w:r>
        <w:r w:rsidR="004F7D8F" w:rsidRPr="004F7D8F">
          <w:rPr>
            <w:rFonts w:ascii="Segoe UI" w:eastAsia="Segoe UI" w:hAnsi="Segoe UI"/>
            <w:noProof/>
            <w:webHidden/>
            <w:sz w:val="20"/>
            <w:lang w:val="en-US" w:eastAsia="en-US" w:bidi="en-US"/>
          </w:rPr>
          <w:fldChar w:fldCharType="end"/>
        </w:r>
      </w:hyperlink>
    </w:p>
    <w:p w14:paraId="169F6A09"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16" w:history="1">
        <w:r w:rsidR="004F7D8F" w:rsidRPr="004F7D8F">
          <w:rPr>
            <w:rFonts w:ascii="Segoe UI" w:eastAsia="Segoe UI" w:hAnsi="Segoe UI"/>
            <w:noProof/>
            <w:sz w:val="20"/>
            <w:lang w:val="en-US" w:eastAsia="en-US" w:bidi="en-US"/>
          </w:rPr>
          <w:t>Regulatory risks</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_Toc16069716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11</w:t>
        </w:r>
        <w:r w:rsidR="004F7D8F" w:rsidRPr="004F7D8F">
          <w:rPr>
            <w:rFonts w:ascii="Segoe UI" w:eastAsia="Segoe UI" w:hAnsi="Segoe UI"/>
            <w:noProof/>
            <w:webHidden/>
            <w:sz w:val="20"/>
            <w:lang w:val="en-US" w:eastAsia="en-US" w:bidi="en-US"/>
          </w:rPr>
          <w:fldChar w:fldCharType="end"/>
        </w:r>
      </w:hyperlink>
    </w:p>
    <w:p w14:paraId="7CB38D05"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17" w:history="1">
        <w:r w:rsidR="004F7D8F" w:rsidRPr="004F7D8F">
          <w:rPr>
            <w:rFonts w:ascii="Segoe UI" w:eastAsia="Segoe UI" w:hAnsi="Segoe UI"/>
            <w:noProof/>
            <w:sz w:val="20"/>
            <w:lang w:val="en-US" w:eastAsia="en-US" w:bidi="en-US"/>
          </w:rPr>
          <w:t>Governance</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_Toc16069717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11</w:t>
        </w:r>
        <w:r w:rsidR="004F7D8F" w:rsidRPr="004F7D8F">
          <w:rPr>
            <w:rFonts w:ascii="Segoe UI" w:eastAsia="Segoe UI" w:hAnsi="Segoe UI"/>
            <w:noProof/>
            <w:webHidden/>
            <w:sz w:val="20"/>
            <w:lang w:val="en-US" w:eastAsia="en-US" w:bidi="en-US"/>
          </w:rPr>
          <w:fldChar w:fldCharType="end"/>
        </w:r>
      </w:hyperlink>
    </w:p>
    <w:p w14:paraId="0F35EA09" w14:textId="77777777" w:rsidR="004F7D8F" w:rsidRPr="004F7D8F" w:rsidRDefault="00FF40A3" w:rsidP="004F7D8F">
      <w:pPr>
        <w:tabs>
          <w:tab w:val="right" w:leader="dot" w:pos="9856"/>
        </w:tabs>
        <w:spacing w:after="100"/>
        <w:ind w:left="200"/>
        <w:rPr>
          <w:rFonts w:ascii="Segoe UI" w:hAnsi="Segoe UI"/>
          <w:noProof/>
          <w:sz w:val="22"/>
          <w:szCs w:val="22"/>
        </w:rPr>
      </w:pPr>
      <w:hyperlink w:anchor="_Toc16069718" w:history="1">
        <w:r w:rsidR="004F7D8F" w:rsidRPr="004F7D8F">
          <w:rPr>
            <w:rFonts w:ascii="Segoe UI" w:eastAsia="Segoe UI" w:hAnsi="Segoe UI"/>
            <w:noProof/>
            <w:sz w:val="20"/>
            <w:lang w:val="en-US" w:eastAsia="en-US" w:bidi="en-US"/>
          </w:rPr>
          <w:t>Monitoring and review</w:t>
        </w:r>
        <w:r w:rsidR="004F7D8F" w:rsidRPr="004F7D8F">
          <w:rPr>
            <w:rFonts w:ascii="Segoe UI" w:eastAsia="Segoe UI" w:hAnsi="Segoe UI"/>
            <w:noProof/>
            <w:webHidden/>
            <w:sz w:val="20"/>
            <w:lang w:val="en-US" w:eastAsia="en-US" w:bidi="en-US"/>
          </w:rPr>
          <w:tab/>
        </w:r>
        <w:r w:rsidR="004F7D8F" w:rsidRPr="004F7D8F">
          <w:rPr>
            <w:rFonts w:ascii="Segoe UI" w:eastAsia="Segoe UI" w:hAnsi="Segoe UI"/>
            <w:noProof/>
            <w:webHidden/>
            <w:sz w:val="20"/>
            <w:lang w:val="en-US" w:eastAsia="en-US" w:bidi="en-US"/>
          </w:rPr>
          <w:fldChar w:fldCharType="begin"/>
        </w:r>
        <w:r w:rsidR="004F7D8F" w:rsidRPr="004F7D8F">
          <w:rPr>
            <w:rFonts w:ascii="Segoe UI" w:eastAsia="Segoe UI" w:hAnsi="Segoe UI"/>
            <w:noProof/>
            <w:webHidden/>
            <w:sz w:val="20"/>
            <w:lang w:val="en-US" w:eastAsia="en-US" w:bidi="en-US"/>
          </w:rPr>
          <w:instrText xml:space="preserve"> PAGEREF _Toc16069718 \h </w:instrText>
        </w:r>
        <w:r w:rsidR="004F7D8F" w:rsidRPr="004F7D8F">
          <w:rPr>
            <w:rFonts w:ascii="Segoe UI" w:eastAsia="Segoe UI" w:hAnsi="Segoe UI"/>
            <w:noProof/>
            <w:webHidden/>
            <w:sz w:val="20"/>
            <w:lang w:val="en-US" w:eastAsia="en-US" w:bidi="en-US"/>
          </w:rPr>
        </w:r>
        <w:r w:rsidR="004F7D8F" w:rsidRPr="004F7D8F">
          <w:rPr>
            <w:rFonts w:ascii="Segoe UI" w:eastAsia="Segoe UI" w:hAnsi="Segoe UI"/>
            <w:noProof/>
            <w:webHidden/>
            <w:sz w:val="20"/>
            <w:lang w:val="en-US" w:eastAsia="en-US" w:bidi="en-US"/>
          </w:rPr>
          <w:fldChar w:fldCharType="separate"/>
        </w:r>
        <w:r w:rsidR="004F7D8F" w:rsidRPr="004F7D8F">
          <w:rPr>
            <w:rFonts w:ascii="Segoe UI" w:eastAsia="Segoe UI" w:hAnsi="Segoe UI"/>
            <w:noProof/>
            <w:webHidden/>
            <w:sz w:val="20"/>
            <w:lang w:val="en-US" w:eastAsia="en-US" w:bidi="en-US"/>
          </w:rPr>
          <w:t>11</w:t>
        </w:r>
        <w:r w:rsidR="004F7D8F" w:rsidRPr="004F7D8F">
          <w:rPr>
            <w:rFonts w:ascii="Segoe UI" w:eastAsia="Segoe UI" w:hAnsi="Segoe UI"/>
            <w:noProof/>
            <w:webHidden/>
            <w:sz w:val="20"/>
            <w:lang w:val="en-US" w:eastAsia="en-US" w:bidi="en-US"/>
          </w:rPr>
          <w:fldChar w:fldCharType="end"/>
        </w:r>
      </w:hyperlink>
    </w:p>
    <w:p w14:paraId="6D1634A8" w14:textId="2260206E" w:rsidR="00427FA7" w:rsidRDefault="004F7D8F" w:rsidP="004F7D8F">
      <w:pPr>
        <w:pStyle w:val="BodyText"/>
        <w:rPr>
          <w:rFonts w:ascii="Segoe UI" w:eastAsia="Segoe UI" w:hAnsi="Segoe UI"/>
          <w:sz w:val="20"/>
          <w:szCs w:val="24"/>
          <w:lang w:val="en-US" w:bidi="en-US"/>
        </w:rPr>
      </w:pPr>
      <w:r w:rsidRPr="004F7D8F">
        <w:rPr>
          <w:rFonts w:ascii="Segoe UI" w:eastAsia="Segoe UI" w:hAnsi="Segoe UI"/>
          <w:sz w:val="20"/>
          <w:szCs w:val="24"/>
          <w:lang w:val="en-US" w:bidi="en-US"/>
        </w:rPr>
        <w:fldChar w:fldCharType="end"/>
      </w:r>
    </w:p>
    <w:p w14:paraId="41917B02" w14:textId="77777777" w:rsidR="004F7D8F" w:rsidRDefault="004F7D8F" w:rsidP="004F7D8F">
      <w:pPr>
        <w:pStyle w:val="BodyText"/>
        <w:rPr>
          <w:rFonts w:ascii="Segoe UI" w:eastAsia="Segoe UI" w:hAnsi="Segoe UI"/>
          <w:sz w:val="20"/>
          <w:szCs w:val="24"/>
          <w:lang w:val="en-US" w:bidi="en-US"/>
        </w:rPr>
      </w:pPr>
    </w:p>
    <w:p w14:paraId="086E062F" w14:textId="77777777" w:rsidR="004F7D8F" w:rsidRDefault="004F7D8F" w:rsidP="004F7D8F">
      <w:pPr>
        <w:pStyle w:val="BodyText"/>
        <w:rPr>
          <w:rFonts w:ascii="Segoe UI" w:eastAsia="Segoe UI" w:hAnsi="Segoe UI"/>
          <w:sz w:val="20"/>
          <w:szCs w:val="24"/>
          <w:lang w:val="en-US" w:bidi="en-US"/>
        </w:rPr>
      </w:pPr>
    </w:p>
    <w:p w14:paraId="30198881" w14:textId="77777777" w:rsidR="004F7D8F" w:rsidRDefault="004F7D8F" w:rsidP="004F7D8F">
      <w:pPr>
        <w:pStyle w:val="BodyText"/>
        <w:rPr>
          <w:rFonts w:ascii="Segoe UI" w:eastAsia="Segoe UI" w:hAnsi="Segoe UI"/>
          <w:sz w:val="20"/>
          <w:szCs w:val="24"/>
          <w:lang w:val="en-US" w:bidi="en-US"/>
        </w:rPr>
      </w:pPr>
    </w:p>
    <w:p w14:paraId="4DDBFA35" w14:textId="77777777" w:rsidR="004F7D8F" w:rsidRDefault="004F7D8F" w:rsidP="004F7D8F">
      <w:pPr>
        <w:pStyle w:val="BodyText"/>
        <w:rPr>
          <w:rFonts w:ascii="Segoe UI" w:eastAsia="Segoe UI" w:hAnsi="Segoe UI"/>
          <w:sz w:val="20"/>
          <w:szCs w:val="24"/>
          <w:lang w:val="en-US" w:bidi="en-US"/>
        </w:rPr>
      </w:pPr>
    </w:p>
    <w:p w14:paraId="15EFC011" w14:textId="77777777" w:rsidR="004F7D8F" w:rsidRDefault="004F7D8F" w:rsidP="004F7D8F">
      <w:pPr>
        <w:pStyle w:val="BodyText"/>
        <w:rPr>
          <w:rFonts w:ascii="Segoe UI" w:eastAsia="Segoe UI" w:hAnsi="Segoe UI"/>
          <w:sz w:val="20"/>
          <w:szCs w:val="24"/>
          <w:lang w:val="en-US" w:bidi="en-US"/>
        </w:rPr>
      </w:pPr>
    </w:p>
    <w:p w14:paraId="68F8EF6E" w14:textId="77777777" w:rsidR="00E21DBE" w:rsidRDefault="00E21DBE" w:rsidP="004F7D8F">
      <w:pPr>
        <w:pStyle w:val="BodyText"/>
        <w:rPr>
          <w:rFonts w:ascii="Segoe UI" w:eastAsia="Segoe UI" w:hAnsi="Segoe UI"/>
          <w:sz w:val="20"/>
          <w:szCs w:val="24"/>
          <w:lang w:val="en-US" w:bidi="en-US"/>
        </w:rPr>
      </w:pPr>
    </w:p>
    <w:p w14:paraId="57FB683E" w14:textId="77777777" w:rsidR="00E21DBE" w:rsidRDefault="00E21DBE" w:rsidP="004F7D8F">
      <w:pPr>
        <w:pStyle w:val="BodyText"/>
        <w:rPr>
          <w:rFonts w:ascii="Segoe UI" w:eastAsia="Segoe UI" w:hAnsi="Segoe UI"/>
          <w:sz w:val="20"/>
          <w:szCs w:val="24"/>
          <w:lang w:val="en-US" w:bidi="en-US"/>
        </w:rPr>
      </w:pPr>
    </w:p>
    <w:p w14:paraId="04B8B14E" w14:textId="77777777" w:rsidR="00E21DBE" w:rsidRDefault="00E21DBE" w:rsidP="004F7D8F">
      <w:pPr>
        <w:pStyle w:val="BodyText"/>
        <w:rPr>
          <w:rFonts w:ascii="Segoe UI" w:eastAsia="Segoe UI" w:hAnsi="Segoe UI"/>
          <w:sz w:val="20"/>
          <w:szCs w:val="24"/>
          <w:lang w:val="en-US" w:bidi="en-US"/>
        </w:rPr>
      </w:pPr>
    </w:p>
    <w:p w14:paraId="2FC8F47A" w14:textId="77777777" w:rsidR="00E21DBE" w:rsidRDefault="00E21DBE" w:rsidP="004F7D8F">
      <w:pPr>
        <w:pStyle w:val="BodyText"/>
        <w:rPr>
          <w:rFonts w:ascii="Segoe UI" w:eastAsia="Segoe UI" w:hAnsi="Segoe UI"/>
          <w:sz w:val="20"/>
          <w:szCs w:val="24"/>
          <w:lang w:val="en-US" w:bidi="en-US"/>
        </w:rPr>
      </w:pPr>
    </w:p>
    <w:p w14:paraId="015FA450" w14:textId="77777777" w:rsidR="00E21DBE" w:rsidRDefault="00E21DBE" w:rsidP="004F7D8F">
      <w:pPr>
        <w:pStyle w:val="BodyText"/>
        <w:rPr>
          <w:rFonts w:ascii="Segoe UI" w:eastAsia="Segoe UI" w:hAnsi="Segoe UI"/>
          <w:sz w:val="20"/>
          <w:szCs w:val="24"/>
          <w:lang w:val="en-US" w:bidi="en-US"/>
        </w:rPr>
      </w:pPr>
    </w:p>
    <w:p w14:paraId="2817C2CF" w14:textId="77777777" w:rsidR="00E21DBE" w:rsidRDefault="00E21DBE" w:rsidP="004F7D8F">
      <w:pPr>
        <w:pStyle w:val="BodyText"/>
        <w:rPr>
          <w:rFonts w:ascii="Segoe UI" w:eastAsia="Segoe UI" w:hAnsi="Segoe UI"/>
          <w:sz w:val="20"/>
          <w:szCs w:val="24"/>
          <w:lang w:val="en-US" w:bidi="en-US"/>
        </w:rPr>
      </w:pPr>
    </w:p>
    <w:p w14:paraId="3E86D6FD" w14:textId="77777777" w:rsidR="00E21DBE" w:rsidRDefault="00E21DBE" w:rsidP="004F7D8F">
      <w:pPr>
        <w:pStyle w:val="BodyText"/>
        <w:rPr>
          <w:rFonts w:ascii="Segoe UI" w:eastAsia="Segoe UI" w:hAnsi="Segoe UI"/>
          <w:sz w:val="20"/>
          <w:szCs w:val="24"/>
          <w:lang w:val="en-US" w:bidi="en-US"/>
        </w:rPr>
      </w:pPr>
    </w:p>
    <w:p w14:paraId="0AAAE125" w14:textId="77777777" w:rsidR="00EB4DB6" w:rsidRDefault="00EB4DB6" w:rsidP="0000778F">
      <w:pPr>
        <w:tabs>
          <w:tab w:val="left" w:pos="1733"/>
        </w:tabs>
        <w:rPr>
          <w:rFonts w:ascii="Segoe UI Semibold" w:hAnsi="Segoe UI Semibold"/>
          <w:bCs/>
          <w:color w:val="0069B4"/>
          <w:kern w:val="32"/>
          <w:sz w:val="36"/>
          <w:szCs w:val="32"/>
          <w:lang w:eastAsia="en-US"/>
        </w:rPr>
      </w:pPr>
      <w:bookmarkStart w:id="9" w:name="_Toc16069699"/>
    </w:p>
    <w:p w14:paraId="703D80E5" w14:textId="700854D2" w:rsidR="00D106DF" w:rsidRDefault="00D106DF" w:rsidP="0000778F">
      <w:pPr>
        <w:tabs>
          <w:tab w:val="left" w:pos="1733"/>
        </w:tabs>
        <w:rPr>
          <w:rFonts w:ascii="Segoe UI Semibold" w:hAnsi="Segoe UI Semibold"/>
          <w:bCs/>
          <w:color w:val="0069B4"/>
          <w:kern w:val="32"/>
          <w:sz w:val="36"/>
          <w:szCs w:val="32"/>
          <w:lang w:eastAsia="en-US"/>
        </w:rPr>
      </w:pPr>
      <w:r w:rsidRPr="00D106DF">
        <w:rPr>
          <w:rFonts w:ascii="Segoe UI Semibold" w:hAnsi="Segoe UI Semibold"/>
          <w:bCs/>
          <w:color w:val="0069B4"/>
          <w:kern w:val="32"/>
          <w:sz w:val="36"/>
          <w:szCs w:val="32"/>
          <w:lang w:eastAsia="en-US"/>
        </w:rPr>
        <w:t>Introduction</w:t>
      </w:r>
      <w:bookmarkEnd w:id="9"/>
    </w:p>
    <w:p w14:paraId="2CCD5A74" w14:textId="77777777" w:rsidR="0000778F" w:rsidRPr="00D106DF" w:rsidRDefault="0000778F" w:rsidP="0000778F">
      <w:pPr>
        <w:tabs>
          <w:tab w:val="left" w:pos="1733"/>
        </w:tabs>
        <w:rPr>
          <w:rFonts w:ascii="Segoe UI Semibold" w:hAnsi="Segoe UI Semibold"/>
          <w:bCs/>
          <w:color w:val="0069B4"/>
          <w:kern w:val="32"/>
          <w:sz w:val="36"/>
          <w:szCs w:val="32"/>
          <w:lang w:eastAsia="en-US"/>
        </w:rPr>
      </w:pPr>
    </w:p>
    <w:p w14:paraId="0286C110" w14:textId="77777777" w:rsidR="00D106DF" w:rsidRPr="00D106DF" w:rsidRDefault="00D106DF" w:rsidP="00D106DF">
      <w:pPr>
        <w:spacing w:after="200"/>
        <w:rPr>
          <w:rFonts w:ascii="Segoe UI" w:eastAsia="Segoe UI" w:hAnsi="Segoe UI"/>
          <w:sz w:val="20"/>
          <w:szCs w:val="20"/>
          <w:lang w:eastAsia="en-US"/>
        </w:rPr>
      </w:pPr>
      <w:r w:rsidRPr="00D106DF">
        <w:rPr>
          <w:rFonts w:ascii="Segoe UI" w:eastAsia="Segoe UI" w:hAnsi="Segoe UI"/>
          <w:sz w:val="20"/>
          <w:szCs w:val="20"/>
          <w:lang w:eastAsia="en-US"/>
        </w:rPr>
        <w:t xml:space="preserve">This is the Funding Strategy Statement for the London Borough of Barking and Dagenham Pension Fund (the Fund). It has been prepared in accordance with Regulation 58 of the Local Government Pension Scheme Regulations 2013 as amended (the Regulations) and describes the London Borough of Barking and Dagenham’s strategy, in its capacity as administering authority, for the funding of the London Borough of Barking and Dagenham Pension Fund. </w:t>
      </w:r>
    </w:p>
    <w:p w14:paraId="06A93DA3" w14:textId="77777777" w:rsidR="00D106DF" w:rsidRPr="00D106DF" w:rsidRDefault="00D106DF" w:rsidP="00D106DF">
      <w:pPr>
        <w:spacing w:after="200"/>
        <w:rPr>
          <w:rFonts w:ascii="Segoe UI" w:eastAsia="Segoe UI" w:hAnsi="Segoe UI"/>
          <w:sz w:val="20"/>
          <w:szCs w:val="20"/>
          <w:lang w:eastAsia="en-US"/>
        </w:rPr>
      </w:pPr>
      <w:r w:rsidRPr="00D106DF">
        <w:rPr>
          <w:rFonts w:ascii="Segoe UI" w:eastAsia="Segoe UI" w:hAnsi="Segoe UI"/>
          <w:sz w:val="20"/>
          <w:szCs w:val="20"/>
          <w:lang w:eastAsia="en-US"/>
        </w:rPr>
        <w:t>The Fund’s employers and the Fund Actuary, Barnett Waddingham LLP, have been consulted on the contents of this statement.</w:t>
      </w:r>
      <w:r w:rsidRPr="00D106DF">
        <w:rPr>
          <w:rFonts w:ascii="Segoe UI" w:eastAsia="Segoe UI" w:hAnsi="Segoe UI"/>
          <w:sz w:val="20"/>
          <w:szCs w:val="20"/>
          <w:lang w:eastAsia="en-US"/>
        </w:rPr>
        <w:tab/>
      </w:r>
      <w:r w:rsidRPr="00D106DF">
        <w:rPr>
          <w:rFonts w:ascii="Segoe UI" w:eastAsia="Segoe UI" w:hAnsi="Segoe UI"/>
          <w:sz w:val="20"/>
          <w:szCs w:val="20"/>
          <w:lang w:eastAsia="en-US"/>
        </w:rPr>
        <w:tab/>
      </w:r>
    </w:p>
    <w:p w14:paraId="25AE39E3" w14:textId="77777777" w:rsidR="00D106DF" w:rsidRPr="00D106DF" w:rsidRDefault="00D106DF" w:rsidP="00D106DF">
      <w:pPr>
        <w:spacing w:after="200"/>
        <w:rPr>
          <w:rFonts w:ascii="Segoe UI" w:eastAsia="Segoe UI" w:hAnsi="Segoe UI"/>
          <w:sz w:val="20"/>
          <w:szCs w:val="20"/>
          <w:lang w:eastAsia="en-US"/>
        </w:rPr>
      </w:pPr>
      <w:r w:rsidRPr="00D106DF">
        <w:rPr>
          <w:rFonts w:ascii="Segoe UI" w:eastAsia="Segoe UI" w:hAnsi="Segoe UI"/>
          <w:sz w:val="20"/>
          <w:szCs w:val="20"/>
          <w:lang w:eastAsia="en-US"/>
        </w:rPr>
        <w:t xml:space="preserve">This statement should be read in conjunction with the Fund’s Investment Strategy Statement (ISS) and has been prepared </w:t>
      </w:r>
      <w:proofErr w:type="gramStart"/>
      <w:r w:rsidRPr="00D106DF">
        <w:rPr>
          <w:rFonts w:ascii="Segoe UI" w:eastAsia="Segoe UI" w:hAnsi="Segoe UI"/>
          <w:sz w:val="20"/>
          <w:szCs w:val="20"/>
          <w:lang w:eastAsia="en-US"/>
        </w:rPr>
        <w:t>with regard to</w:t>
      </w:r>
      <w:proofErr w:type="gramEnd"/>
      <w:r w:rsidRPr="00D106DF">
        <w:rPr>
          <w:rFonts w:ascii="Segoe UI" w:eastAsia="Segoe UI" w:hAnsi="Segoe UI"/>
          <w:sz w:val="20"/>
          <w:szCs w:val="20"/>
          <w:lang w:eastAsia="en-US"/>
        </w:rPr>
        <w:t xml:space="preserve"> the guidance (</w:t>
      </w:r>
      <w:r w:rsidRPr="00D106DF">
        <w:rPr>
          <w:rFonts w:ascii="Segoe UI" w:eastAsia="Segoe UI" w:hAnsi="Segoe UI"/>
          <w:i/>
          <w:sz w:val="20"/>
          <w:szCs w:val="20"/>
          <w:lang w:eastAsia="en-US"/>
        </w:rPr>
        <w:t>Preparing and Maintaining a funding strategy statement in the LGPS 2016 edition)</w:t>
      </w:r>
      <w:r w:rsidRPr="00D106DF">
        <w:rPr>
          <w:rFonts w:ascii="Segoe UI" w:eastAsia="Segoe UI" w:hAnsi="Segoe UI"/>
          <w:sz w:val="20"/>
          <w:szCs w:val="20"/>
          <w:lang w:eastAsia="en-US"/>
        </w:rPr>
        <w:t xml:space="preserve"> issued by the Chartered Institute of Public Finance and Accountancy (CIPFA).</w:t>
      </w:r>
    </w:p>
    <w:p w14:paraId="27EF6F41" w14:textId="77777777" w:rsidR="00D106DF" w:rsidRPr="00D106DF" w:rsidRDefault="00D106DF" w:rsidP="00D106DF">
      <w:pPr>
        <w:keepNext/>
        <w:pageBreakBefore/>
        <w:spacing w:before="240" w:after="240"/>
        <w:outlineLvl w:val="0"/>
        <w:rPr>
          <w:rFonts w:ascii="Segoe UI Semibold" w:hAnsi="Segoe UI Semibold"/>
          <w:bCs/>
          <w:color w:val="0069B4"/>
          <w:kern w:val="32"/>
          <w:sz w:val="36"/>
          <w:szCs w:val="32"/>
          <w:lang w:eastAsia="en-US"/>
        </w:rPr>
      </w:pPr>
      <w:bookmarkStart w:id="10" w:name="_Toc16069700"/>
      <w:r w:rsidRPr="00D106DF">
        <w:rPr>
          <w:rFonts w:ascii="Segoe UI Semibold" w:hAnsi="Segoe UI Semibold"/>
          <w:bCs/>
          <w:color w:val="0069B4"/>
          <w:kern w:val="32"/>
          <w:sz w:val="36"/>
          <w:szCs w:val="32"/>
          <w:lang w:eastAsia="en-US"/>
        </w:rPr>
        <w:t>Purpose of the Funding Strategy Statement</w:t>
      </w:r>
      <w:bookmarkEnd w:id="10"/>
    </w:p>
    <w:p w14:paraId="278BEB3E" w14:textId="77777777" w:rsidR="00D106DF" w:rsidRPr="00D106DF" w:rsidRDefault="00D106DF" w:rsidP="00D106DF">
      <w:pPr>
        <w:spacing w:after="200"/>
        <w:rPr>
          <w:rFonts w:ascii="Segoe UI" w:eastAsia="Segoe UI" w:hAnsi="Segoe UI"/>
          <w:sz w:val="20"/>
          <w:szCs w:val="20"/>
          <w:lang w:eastAsia="en-US"/>
        </w:rPr>
      </w:pPr>
      <w:r w:rsidRPr="00D106DF">
        <w:rPr>
          <w:rFonts w:ascii="Segoe UI" w:eastAsia="Segoe UI" w:hAnsi="Segoe UI"/>
          <w:sz w:val="20"/>
          <w:szCs w:val="20"/>
          <w:lang w:eastAsia="en-US"/>
        </w:rPr>
        <w:t>The purpose of this Funding Strategy Statement (FSS) is to:</w:t>
      </w:r>
    </w:p>
    <w:p w14:paraId="38E5C5B4" w14:textId="77777777" w:rsidR="00335AF1" w:rsidRDefault="00D106DF" w:rsidP="007337FE">
      <w:pPr>
        <w:pStyle w:val="ListParagraph"/>
        <w:numPr>
          <w:ilvl w:val="0"/>
          <w:numId w:val="107"/>
        </w:numPr>
        <w:rPr>
          <w:rFonts w:ascii="Segoe UI" w:eastAsia="Segoe UI" w:hAnsi="Segoe UI"/>
          <w:sz w:val="20"/>
          <w:szCs w:val="20"/>
        </w:rPr>
      </w:pPr>
      <w:r w:rsidRPr="002E4C81">
        <w:rPr>
          <w:rFonts w:ascii="Segoe UI" w:eastAsia="Segoe UI" w:hAnsi="Segoe UI"/>
          <w:sz w:val="20"/>
          <w:szCs w:val="20"/>
        </w:rPr>
        <w:t xml:space="preserve">Establish a clear and transparent fund-specific strategy that will identify how employers’ pension liabilities are best met going </w:t>
      </w:r>
      <w:proofErr w:type="gramStart"/>
      <w:r w:rsidRPr="002E4C81">
        <w:rPr>
          <w:rFonts w:ascii="Segoe UI" w:eastAsia="Segoe UI" w:hAnsi="Segoe UI"/>
          <w:sz w:val="20"/>
          <w:szCs w:val="20"/>
        </w:rPr>
        <w:t>forward;</w:t>
      </w:r>
      <w:proofErr w:type="gramEnd"/>
    </w:p>
    <w:p w14:paraId="355189DE" w14:textId="77777777" w:rsidR="00335AF1" w:rsidRDefault="00D106DF" w:rsidP="007337FE">
      <w:pPr>
        <w:pStyle w:val="ListParagraph"/>
        <w:numPr>
          <w:ilvl w:val="0"/>
          <w:numId w:val="107"/>
        </w:numPr>
        <w:rPr>
          <w:rFonts w:ascii="Segoe UI" w:eastAsia="Segoe UI" w:hAnsi="Segoe UI"/>
          <w:sz w:val="20"/>
          <w:szCs w:val="20"/>
        </w:rPr>
      </w:pPr>
      <w:r w:rsidRPr="00335AF1">
        <w:rPr>
          <w:rFonts w:ascii="Segoe UI" w:eastAsia="Segoe UI" w:hAnsi="Segoe UI"/>
          <w:sz w:val="20"/>
          <w:szCs w:val="20"/>
        </w:rPr>
        <w:t xml:space="preserve">Support the desirability of maintaining as nearly constant a primary contribution rate as possible, as defined in Regulation 62(6) of the </w:t>
      </w:r>
      <w:proofErr w:type="gramStart"/>
      <w:r w:rsidRPr="00335AF1">
        <w:rPr>
          <w:rFonts w:ascii="Segoe UI" w:eastAsia="Segoe UI" w:hAnsi="Segoe UI"/>
          <w:sz w:val="20"/>
          <w:szCs w:val="20"/>
        </w:rPr>
        <w:t>Regulations;</w:t>
      </w:r>
      <w:proofErr w:type="gramEnd"/>
    </w:p>
    <w:p w14:paraId="3AF1DB12" w14:textId="77777777" w:rsidR="00335AF1" w:rsidRDefault="00D106DF" w:rsidP="007337FE">
      <w:pPr>
        <w:pStyle w:val="ListParagraph"/>
        <w:numPr>
          <w:ilvl w:val="0"/>
          <w:numId w:val="107"/>
        </w:numPr>
        <w:rPr>
          <w:rFonts w:ascii="Segoe UI" w:eastAsia="Segoe UI" w:hAnsi="Segoe UI"/>
          <w:sz w:val="20"/>
          <w:szCs w:val="20"/>
        </w:rPr>
      </w:pPr>
      <w:r w:rsidRPr="00335AF1">
        <w:rPr>
          <w:rFonts w:ascii="Segoe UI" w:eastAsia="Segoe UI" w:hAnsi="Segoe UI"/>
          <w:sz w:val="20"/>
          <w:szCs w:val="20"/>
        </w:rPr>
        <w:t>Ensure that the regulatory requirements to set contributions to meet the future liability to provide Scheme member benefits in a way that ensures the solvency and long-term cost efficiency of the Fund are met; and</w:t>
      </w:r>
    </w:p>
    <w:p w14:paraId="62FAC8D7" w14:textId="6B306725" w:rsidR="00D106DF" w:rsidRPr="00335AF1" w:rsidRDefault="00D106DF" w:rsidP="007337FE">
      <w:pPr>
        <w:pStyle w:val="ListParagraph"/>
        <w:numPr>
          <w:ilvl w:val="0"/>
          <w:numId w:val="107"/>
        </w:numPr>
        <w:rPr>
          <w:rFonts w:ascii="Segoe UI" w:eastAsia="Segoe UI" w:hAnsi="Segoe UI"/>
          <w:sz w:val="20"/>
          <w:szCs w:val="20"/>
        </w:rPr>
      </w:pPr>
      <w:r w:rsidRPr="00335AF1">
        <w:rPr>
          <w:rFonts w:ascii="Segoe UI" w:eastAsia="Segoe UI" w:hAnsi="Segoe UI"/>
          <w:sz w:val="20"/>
          <w:szCs w:val="20"/>
        </w:rPr>
        <w:t>Take a prudent longer-term view of funding those liabilities.</w:t>
      </w:r>
    </w:p>
    <w:p w14:paraId="1F186E26" w14:textId="77777777" w:rsidR="00E21DBE" w:rsidRDefault="00E21DBE" w:rsidP="004F7D8F">
      <w:pPr>
        <w:pStyle w:val="BodyText"/>
        <w:rPr>
          <w:rFonts w:ascii="Segoe UI" w:eastAsia="Segoe UI" w:hAnsi="Segoe UI"/>
          <w:sz w:val="20"/>
          <w:szCs w:val="24"/>
          <w:lang w:val="en-US" w:bidi="en-US"/>
        </w:rPr>
      </w:pPr>
    </w:p>
    <w:p w14:paraId="2FFE5933" w14:textId="77777777" w:rsidR="004F7D8F" w:rsidRDefault="004F7D8F" w:rsidP="004F7D8F">
      <w:pPr>
        <w:pStyle w:val="BodyText"/>
        <w:rPr>
          <w:rFonts w:ascii="Segoe UI" w:eastAsia="Segoe UI" w:hAnsi="Segoe UI"/>
          <w:sz w:val="20"/>
          <w:szCs w:val="24"/>
          <w:lang w:val="en-US" w:bidi="en-US"/>
        </w:rPr>
      </w:pPr>
    </w:p>
    <w:p w14:paraId="57876764" w14:textId="77777777" w:rsidR="004F7D8F" w:rsidRDefault="004F7D8F" w:rsidP="004F7D8F">
      <w:pPr>
        <w:pStyle w:val="BodyText"/>
        <w:rPr>
          <w:rFonts w:ascii="Segoe UI" w:eastAsia="Segoe UI" w:hAnsi="Segoe UI"/>
          <w:sz w:val="20"/>
          <w:szCs w:val="24"/>
          <w:lang w:val="en-US" w:bidi="en-US"/>
        </w:rPr>
      </w:pPr>
    </w:p>
    <w:p w14:paraId="219945EA" w14:textId="77777777" w:rsidR="004F7D8F" w:rsidRDefault="004F7D8F" w:rsidP="004F7D8F">
      <w:pPr>
        <w:pStyle w:val="BodyText"/>
        <w:rPr>
          <w:rFonts w:ascii="Segoe UI" w:eastAsia="Segoe UI" w:hAnsi="Segoe UI"/>
          <w:sz w:val="20"/>
          <w:szCs w:val="24"/>
          <w:lang w:val="en-US" w:bidi="en-US"/>
        </w:rPr>
      </w:pPr>
    </w:p>
    <w:p w14:paraId="17470E4F" w14:textId="77777777" w:rsidR="004F7D8F" w:rsidRDefault="004F7D8F" w:rsidP="004F7D8F">
      <w:pPr>
        <w:pStyle w:val="BodyText"/>
        <w:rPr>
          <w:rFonts w:ascii="Segoe UI" w:eastAsia="Segoe UI" w:hAnsi="Segoe UI"/>
          <w:sz w:val="20"/>
          <w:szCs w:val="24"/>
          <w:lang w:val="en-US" w:bidi="en-US"/>
        </w:rPr>
      </w:pPr>
    </w:p>
    <w:p w14:paraId="4741ACF2" w14:textId="77777777" w:rsidR="004F7D8F" w:rsidRDefault="004F7D8F" w:rsidP="004F7D8F">
      <w:pPr>
        <w:pStyle w:val="BodyText"/>
        <w:rPr>
          <w:rFonts w:ascii="Segoe UI" w:eastAsia="Segoe UI" w:hAnsi="Segoe UI"/>
          <w:sz w:val="20"/>
          <w:szCs w:val="24"/>
          <w:lang w:val="en-US" w:bidi="en-US"/>
        </w:rPr>
      </w:pPr>
    </w:p>
    <w:p w14:paraId="6BB75AEB" w14:textId="77777777" w:rsidR="004639B0" w:rsidRDefault="004639B0" w:rsidP="004F7D8F">
      <w:pPr>
        <w:pStyle w:val="BodyText"/>
        <w:rPr>
          <w:rFonts w:ascii="Segoe UI" w:eastAsia="Segoe UI" w:hAnsi="Segoe UI"/>
          <w:sz w:val="20"/>
          <w:szCs w:val="24"/>
          <w:lang w:val="en-US" w:bidi="en-US"/>
        </w:rPr>
      </w:pPr>
    </w:p>
    <w:p w14:paraId="37E2990D" w14:textId="77777777" w:rsidR="004639B0" w:rsidRDefault="004639B0" w:rsidP="004F7D8F">
      <w:pPr>
        <w:pStyle w:val="BodyText"/>
        <w:rPr>
          <w:rFonts w:ascii="Segoe UI" w:eastAsia="Segoe UI" w:hAnsi="Segoe UI"/>
          <w:sz w:val="20"/>
          <w:szCs w:val="24"/>
          <w:lang w:val="en-US" w:bidi="en-US"/>
        </w:rPr>
      </w:pPr>
    </w:p>
    <w:p w14:paraId="71E0C30E" w14:textId="77777777" w:rsidR="004639B0" w:rsidRDefault="004639B0" w:rsidP="004F7D8F">
      <w:pPr>
        <w:pStyle w:val="BodyText"/>
        <w:rPr>
          <w:rFonts w:ascii="Segoe UI" w:eastAsia="Segoe UI" w:hAnsi="Segoe UI"/>
          <w:sz w:val="20"/>
          <w:szCs w:val="24"/>
          <w:lang w:val="en-US" w:bidi="en-US"/>
        </w:rPr>
      </w:pPr>
    </w:p>
    <w:p w14:paraId="0197F135" w14:textId="77777777" w:rsidR="004639B0" w:rsidRDefault="004639B0" w:rsidP="004F7D8F">
      <w:pPr>
        <w:pStyle w:val="BodyText"/>
        <w:rPr>
          <w:rFonts w:ascii="Segoe UI" w:eastAsia="Segoe UI" w:hAnsi="Segoe UI"/>
          <w:sz w:val="20"/>
          <w:szCs w:val="24"/>
          <w:lang w:val="en-US" w:bidi="en-US"/>
        </w:rPr>
      </w:pPr>
    </w:p>
    <w:p w14:paraId="3BCFA06A" w14:textId="77777777" w:rsidR="004639B0" w:rsidRDefault="004639B0" w:rsidP="004F7D8F">
      <w:pPr>
        <w:pStyle w:val="BodyText"/>
        <w:rPr>
          <w:rFonts w:ascii="Segoe UI" w:eastAsia="Segoe UI" w:hAnsi="Segoe UI"/>
          <w:sz w:val="20"/>
          <w:szCs w:val="24"/>
          <w:lang w:val="en-US" w:bidi="en-US"/>
        </w:rPr>
      </w:pPr>
    </w:p>
    <w:p w14:paraId="540ABCDF" w14:textId="77777777" w:rsidR="004639B0" w:rsidRDefault="004639B0" w:rsidP="004F7D8F">
      <w:pPr>
        <w:pStyle w:val="BodyText"/>
        <w:rPr>
          <w:rFonts w:ascii="Segoe UI" w:eastAsia="Segoe UI" w:hAnsi="Segoe UI"/>
          <w:sz w:val="20"/>
          <w:szCs w:val="24"/>
          <w:lang w:val="en-US" w:bidi="en-US"/>
        </w:rPr>
      </w:pPr>
    </w:p>
    <w:p w14:paraId="05EC1145" w14:textId="77777777" w:rsidR="004639B0" w:rsidRDefault="004639B0" w:rsidP="004F7D8F">
      <w:pPr>
        <w:pStyle w:val="BodyText"/>
        <w:rPr>
          <w:rFonts w:ascii="Segoe UI" w:eastAsia="Segoe UI" w:hAnsi="Segoe UI"/>
          <w:sz w:val="20"/>
          <w:szCs w:val="24"/>
          <w:lang w:val="en-US" w:bidi="en-US"/>
        </w:rPr>
      </w:pPr>
    </w:p>
    <w:p w14:paraId="79D1B8F6" w14:textId="77777777" w:rsidR="004639B0" w:rsidRDefault="004639B0" w:rsidP="004F7D8F">
      <w:pPr>
        <w:pStyle w:val="BodyText"/>
        <w:rPr>
          <w:rFonts w:ascii="Segoe UI" w:eastAsia="Segoe UI" w:hAnsi="Segoe UI"/>
          <w:sz w:val="20"/>
          <w:szCs w:val="24"/>
          <w:lang w:val="en-US" w:bidi="en-US"/>
        </w:rPr>
      </w:pPr>
    </w:p>
    <w:p w14:paraId="24254415" w14:textId="77777777" w:rsidR="004639B0" w:rsidRDefault="004639B0" w:rsidP="004F7D8F">
      <w:pPr>
        <w:pStyle w:val="BodyText"/>
        <w:rPr>
          <w:rFonts w:ascii="Segoe UI" w:eastAsia="Segoe UI" w:hAnsi="Segoe UI"/>
          <w:sz w:val="20"/>
          <w:szCs w:val="24"/>
          <w:lang w:val="en-US" w:bidi="en-US"/>
        </w:rPr>
      </w:pPr>
    </w:p>
    <w:p w14:paraId="6E8FA7A9" w14:textId="77777777" w:rsidR="004639B0" w:rsidRDefault="004639B0" w:rsidP="004F7D8F">
      <w:pPr>
        <w:pStyle w:val="BodyText"/>
        <w:rPr>
          <w:rFonts w:ascii="Segoe UI" w:eastAsia="Segoe UI" w:hAnsi="Segoe UI"/>
          <w:sz w:val="20"/>
          <w:szCs w:val="24"/>
          <w:lang w:val="en-US" w:bidi="en-US"/>
        </w:rPr>
      </w:pPr>
    </w:p>
    <w:p w14:paraId="1F0C7E9B" w14:textId="77777777" w:rsidR="004639B0" w:rsidRDefault="004639B0" w:rsidP="004F7D8F">
      <w:pPr>
        <w:pStyle w:val="BodyText"/>
        <w:rPr>
          <w:rFonts w:ascii="Segoe UI" w:eastAsia="Segoe UI" w:hAnsi="Segoe UI"/>
          <w:sz w:val="20"/>
          <w:szCs w:val="24"/>
          <w:lang w:val="en-US" w:bidi="en-US"/>
        </w:rPr>
      </w:pPr>
    </w:p>
    <w:p w14:paraId="6B967105" w14:textId="77777777" w:rsidR="004639B0" w:rsidRDefault="004639B0" w:rsidP="004F7D8F">
      <w:pPr>
        <w:pStyle w:val="BodyText"/>
        <w:rPr>
          <w:rFonts w:ascii="Segoe UI" w:eastAsia="Segoe UI" w:hAnsi="Segoe UI"/>
          <w:sz w:val="20"/>
          <w:szCs w:val="24"/>
          <w:lang w:val="en-US" w:bidi="en-US"/>
        </w:rPr>
      </w:pPr>
    </w:p>
    <w:p w14:paraId="52577327" w14:textId="77777777" w:rsidR="004639B0" w:rsidRDefault="004639B0" w:rsidP="004F7D8F">
      <w:pPr>
        <w:pStyle w:val="BodyText"/>
        <w:rPr>
          <w:rFonts w:ascii="Segoe UI" w:eastAsia="Segoe UI" w:hAnsi="Segoe UI"/>
          <w:sz w:val="20"/>
          <w:szCs w:val="24"/>
          <w:lang w:val="en-US" w:bidi="en-US"/>
        </w:rPr>
      </w:pPr>
    </w:p>
    <w:p w14:paraId="3BE5271D" w14:textId="77777777" w:rsidR="004639B0" w:rsidRDefault="004639B0" w:rsidP="004F7D8F">
      <w:pPr>
        <w:pStyle w:val="BodyText"/>
        <w:rPr>
          <w:rFonts w:ascii="Segoe UI" w:eastAsia="Segoe UI" w:hAnsi="Segoe UI"/>
          <w:sz w:val="20"/>
          <w:szCs w:val="24"/>
          <w:lang w:val="en-US" w:bidi="en-US"/>
        </w:rPr>
      </w:pPr>
    </w:p>
    <w:p w14:paraId="4A40CBC6" w14:textId="77777777" w:rsidR="004639B0" w:rsidRDefault="004639B0" w:rsidP="004F7D8F">
      <w:pPr>
        <w:pStyle w:val="BodyText"/>
        <w:rPr>
          <w:rFonts w:ascii="Segoe UI" w:eastAsia="Segoe UI" w:hAnsi="Segoe UI"/>
          <w:sz w:val="20"/>
          <w:szCs w:val="24"/>
          <w:lang w:val="en-US" w:bidi="en-US"/>
        </w:rPr>
      </w:pPr>
    </w:p>
    <w:p w14:paraId="5FF9982B" w14:textId="77777777" w:rsidR="004639B0" w:rsidRDefault="004639B0" w:rsidP="004F7D8F">
      <w:pPr>
        <w:pStyle w:val="BodyText"/>
        <w:rPr>
          <w:rFonts w:ascii="Segoe UI" w:eastAsia="Segoe UI" w:hAnsi="Segoe UI"/>
          <w:sz w:val="20"/>
          <w:szCs w:val="24"/>
          <w:lang w:val="en-US" w:bidi="en-US"/>
        </w:rPr>
      </w:pPr>
    </w:p>
    <w:p w14:paraId="5AA6272B" w14:textId="77777777" w:rsidR="004639B0" w:rsidRDefault="004639B0" w:rsidP="004F7D8F">
      <w:pPr>
        <w:pStyle w:val="BodyText"/>
        <w:rPr>
          <w:rFonts w:ascii="Segoe UI" w:eastAsia="Segoe UI" w:hAnsi="Segoe UI"/>
          <w:sz w:val="20"/>
          <w:szCs w:val="24"/>
          <w:lang w:val="en-US" w:bidi="en-US"/>
        </w:rPr>
      </w:pPr>
    </w:p>
    <w:p w14:paraId="432E28BD" w14:textId="77777777" w:rsidR="004639B0" w:rsidRDefault="004639B0" w:rsidP="004F7D8F">
      <w:pPr>
        <w:pStyle w:val="BodyText"/>
        <w:rPr>
          <w:rFonts w:ascii="Segoe UI" w:eastAsia="Segoe UI" w:hAnsi="Segoe UI"/>
          <w:sz w:val="20"/>
          <w:szCs w:val="24"/>
          <w:lang w:val="en-US" w:bidi="en-US"/>
        </w:rPr>
      </w:pPr>
    </w:p>
    <w:p w14:paraId="421D1041" w14:textId="77777777" w:rsidR="004639B0" w:rsidRDefault="004639B0" w:rsidP="004F7D8F">
      <w:pPr>
        <w:pStyle w:val="BodyText"/>
        <w:rPr>
          <w:rFonts w:ascii="Segoe UI" w:eastAsia="Segoe UI" w:hAnsi="Segoe UI"/>
          <w:sz w:val="20"/>
          <w:szCs w:val="24"/>
          <w:lang w:val="en-US" w:bidi="en-US"/>
        </w:rPr>
      </w:pPr>
    </w:p>
    <w:p w14:paraId="1CEE0154" w14:textId="77777777" w:rsidR="004639B0" w:rsidRDefault="004639B0" w:rsidP="004F7D8F">
      <w:pPr>
        <w:pStyle w:val="BodyText"/>
        <w:rPr>
          <w:rFonts w:ascii="Segoe UI" w:eastAsia="Segoe UI" w:hAnsi="Segoe UI"/>
          <w:sz w:val="20"/>
          <w:szCs w:val="24"/>
          <w:lang w:val="en-US" w:bidi="en-US"/>
        </w:rPr>
      </w:pPr>
    </w:p>
    <w:p w14:paraId="2BB0DCB7" w14:textId="77777777" w:rsidR="004639B0" w:rsidRPr="004639B0" w:rsidRDefault="004639B0" w:rsidP="004639B0">
      <w:pPr>
        <w:keepNext/>
        <w:pageBreakBefore/>
        <w:spacing w:before="240" w:after="240"/>
        <w:outlineLvl w:val="0"/>
        <w:rPr>
          <w:rFonts w:ascii="Segoe UI Semibold" w:hAnsi="Segoe UI Semibold"/>
          <w:bCs/>
          <w:color w:val="0069B4"/>
          <w:kern w:val="32"/>
          <w:sz w:val="36"/>
          <w:szCs w:val="32"/>
          <w:lang w:eastAsia="en-US"/>
        </w:rPr>
      </w:pPr>
      <w:bookmarkStart w:id="11" w:name="_Toc16069701"/>
      <w:r w:rsidRPr="004639B0">
        <w:rPr>
          <w:rFonts w:ascii="Segoe UI Semibold" w:hAnsi="Segoe UI Semibold"/>
          <w:bCs/>
          <w:color w:val="0069B4"/>
          <w:kern w:val="32"/>
          <w:sz w:val="36"/>
          <w:szCs w:val="32"/>
          <w:lang w:eastAsia="en-US"/>
        </w:rPr>
        <w:t xml:space="preserve">Aims and purpose of the </w:t>
      </w:r>
      <w:proofErr w:type="gramStart"/>
      <w:r w:rsidRPr="004639B0">
        <w:rPr>
          <w:rFonts w:ascii="Segoe UI Semibold" w:hAnsi="Segoe UI Semibold"/>
          <w:bCs/>
          <w:color w:val="0069B4"/>
          <w:kern w:val="32"/>
          <w:sz w:val="36"/>
          <w:szCs w:val="32"/>
          <w:lang w:eastAsia="en-US"/>
        </w:rPr>
        <w:t>Fund</w:t>
      </w:r>
      <w:bookmarkEnd w:id="11"/>
      <w:proofErr w:type="gramEnd"/>
    </w:p>
    <w:p w14:paraId="3B101A91" w14:textId="77777777" w:rsidR="004639B0" w:rsidRPr="004639B0" w:rsidRDefault="004639B0" w:rsidP="004639B0">
      <w:pPr>
        <w:spacing w:after="200"/>
        <w:rPr>
          <w:rFonts w:ascii="Segoe UI" w:eastAsia="Segoe UI" w:hAnsi="Segoe UI"/>
          <w:sz w:val="20"/>
          <w:szCs w:val="20"/>
          <w:lang w:eastAsia="en-US"/>
        </w:rPr>
      </w:pPr>
      <w:r w:rsidRPr="004639B0">
        <w:rPr>
          <w:rFonts w:ascii="Segoe UI" w:eastAsia="Segoe UI" w:hAnsi="Segoe UI"/>
          <w:sz w:val="20"/>
          <w:szCs w:val="20"/>
          <w:lang w:eastAsia="en-US"/>
        </w:rPr>
        <w:t>The aims of the Fund are to:</w:t>
      </w:r>
    </w:p>
    <w:p w14:paraId="01F7DE3B" w14:textId="77777777" w:rsidR="005163F5" w:rsidRDefault="004639B0" w:rsidP="007337FE">
      <w:pPr>
        <w:pStyle w:val="ListParagraph"/>
        <w:numPr>
          <w:ilvl w:val="0"/>
          <w:numId w:val="108"/>
        </w:numPr>
        <w:rPr>
          <w:rFonts w:ascii="Segoe UI" w:eastAsia="Segoe UI" w:hAnsi="Segoe UI"/>
          <w:sz w:val="20"/>
          <w:szCs w:val="20"/>
        </w:rPr>
      </w:pPr>
      <w:r w:rsidRPr="00C818CE">
        <w:rPr>
          <w:rFonts w:ascii="Segoe UI" w:eastAsia="Segoe UI" w:hAnsi="Segoe UI"/>
          <w:sz w:val="20"/>
          <w:szCs w:val="20"/>
        </w:rPr>
        <w:t xml:space="preserve">Manage employers’ liabilities effectively and ensure that sufficient resources are available to meet all liabilities as they fall </w:t>
      </w:r>
      <w:proofErr w:type="gramStart"/>
      <w:r w:rsidRPr="00C818CE">
        <w:rPr>
          <w:rFonts w:ascii="Segoe UI" w:eastAsia="Segoe UI" w:hAnsi="Segoe UI"/>
          <w:sz w:val="20"/>
          <w:szCs w:val="20"/>
        </w:rPr>
        <w:t>due;</w:t>
      </w:r>
      <w:proofErr w:type="gramEnd"/>
    </w:p>
    <w:p w14:paraId="36A1A8DF" w14:textId="77777777" w:rsidR="005163F5" w:rsidRDefault="004639B0" w:rsidP="007337FE">
      <w:pPr>
        <w:pStyle w:val="ListParagraph"/>
        <w:numPr>
          <w:ilvl w:val="0"/>
          <w:numId w:val="108"/>
        </w:numPr>
        <w:rPr>
          <w:rFonts w:ascii="Segoe UI" w:eastAsia="Segoe UI" w:hAnsi="Segoe UI"/>
          <w:sz w:val="20"/>
          <w:szCs w:val="20"/>
        </w:rPr>
      </w:pPr>
      <w:r w:rsidRPr="005163F5">
        <w:rPr>
          <w:rFonts w:ascii="Segoe UI" w:eastAsia="Segoe UI" w:hAnsi="Segoe UI"/>
          <w:sz w:val="20"/>
          <w:szCs w:val="20"/>
        </w:rPr>
        <w:t>Enable primary contribution rates to be kept as nearly constant as possible and (subject to the administering authority not taking undue risks) at reasonable cost to all relevant parties (such as the taxpayers, scheduled, resolution and admitted bodies), while achieving and maintaining Fund solvency and long-term cost efficiency, which should be assessed in light of the risk profile of the Fund and employers, and the risk appetite of the administering authority and employers alike; and</w:t>
      </w:r>
    </w:p>
    <w:p w14:paraId="60E4F6EC" w14:textId="1E261934" w:rsidR="004639B0" w:rsidRPr="005163F5" w:rsidRDefault="004639B0" w:rsidP="007337FE">
      <w:pPr>
        <w:pStyle w:val="ListParagraph"/>
        <w:numPr>
          <w:ilvl w:val="0"/>
          <w:numId w:val="108"/>
        </w:numPr>
        <w:rPr>
          <w:rFonts w:ascii="Segoe UI" w:eastAsia="Segoe UI" w:hAnsi="Segoe UI"/>
          <w:sz w:val="20"/>
          <w:szCs w:val="20"/>
        </w:rPr>
      </w:pPr>
      <w:r w:rsidRPr="005163F5">
        <w:rPr>
          <w:rFonts w:ascii="Segoe UI" w:eastAsia="Segoe UI" w:hAnsi="Segoe UI"/>
          <w:sz w:val="20"/>
          <w:szCs w:val="20"/>
        </w:rPr>
        <w:t>Seek returns on investment within reasonable risk parameters.</w:t>
      </w:r>
    </w:p>
    <w:p w14:paraId="4AE1B1AC" w14:textId="77777777" w:rsidR="004639B0" w:rsidRPr="004639B0" w:rsidRDefault="004639B0" w:rsidP="004639B0">
      <w:pPr>
        <w:spacing w:after="200"/>
        <w:rPr>
          <w:rFonts w:ascii="Segoe UI" w:eastAsia="Segoe UI" w:hAnsi="Segoe UI"/>
          <w:sz w:val="20"/>
          <w:szCs w:val="20"/>
          <w:lang w:eastAsia="en-US"/>
        </w:rPr>
      </w:pPr>
      <w:r w:rsidRPr="004639B0">
        <w:rPr>
          <w:rFonts w:ascii="Segoe UI" w:eastAsia="Segoe UI" w:hAnsi="Segoe UI"/>
          <w:sz w:val="20"/>
          <w:szCs w:val="20"/>
          <w:lang w:eastAsia="en-US"/>
        </w:rPr>
        <w:t>The purpose of the Fund is to:</w:t>
      </w:r>
    </w:p>
    <w:p w14:paraId="7DA804CD" w14:textId="77777777" w:rsidR="0063105C" w:rsidRDefault="004639B0" w:rsidP="007337FE">
      <w:pPr>
        <w:pStyle w:val="ListParagraph"/>
        <w:numPr>
          <w:ilvl w:val="0"/>
          <w:numId w:val="109"/>
        </w:numPr>
        <w:rPr>
          <w:rFonts w:ascii="Segoe UI" w:eastAsia="Segoe UI" w:hAnsi="Segoe UI"/>
          <w:sz w:val="20"/>
          <w:szCs w:val="20"/>
        </w:rPr>
      </w:pPr>
      <w:r w:rsidRPr="0063105C">
        <w:rPr>
          <w:rFonts w:ascii="Segoe UI" w:eastAsia="Segoe UI" w:hAnsi="Segoe UI"/>
          <w:sz w:val="20"/>
          <w:szCs w:val="20"/>
        </w:rPr>
        <w:t xml:space="preserve">Pay pensions, lump sums and other benefits to Scheme members as provided for under the </w:t>
      </w:r>
      <w:proofErr w:type="gramStart"/>
      <w:r w:rsidRPr="0063105C">
        <w:rPr>
          <w:rFonts w:ascii="Segoe UI" w:eastAsia="Segoe UI" w:hAnsi="Segoe UI"/>
          <w:sz w:val="20"/>
          <w:szCs w:val="20"/>
        </w:rPr>
        <w:t>Regulations;</w:t>
      </w:r>
      <w:proofErr w:type="gramEnd"/>
    </w:p>
    <w:p w14:paraId="31AAAE42" w14:textId="77777777" w:rsidR="0063105C" w:rsidRDefault="004639B0" w:rsidP="007337FE">
      <w:pPr>
        <w:pStyle w:val="ListParagraph"/>
        <w:numPr>
          <w:ilvl w:val="0"/>
          <w:numId w:val="109"/>
        </w:numPr>
        <w:rPr>
          <w:rFonts w:ascii="Segoe UI" w:eastAsia="Segoe UI" w:hAnsi="Segoe UI"/>
          <w:sz w:val="20"/>
          <w:szCs w:val="20"/>
        </w:rPr>
      </w:pPr>
      <w:r w:rsidRPr="0063105C">
        <w:rPr>
          <w:rFonts w:ascii="Segoe UI" w:eastAsia="Segoe UI" w:hAnsi="Segoe UI"/>
          <w:sz w:val="20"/>
          <w:szCs w:val="20"/>
        </w:rPr>
        <w:t>Meet the costs associated in administering the Fund; and</w:t>
      </w:r>
    </w:p>
    <w:p w14:paraId="1718C769" w14:textId="77777777" w:rsidR="007F62C1" w:rsidRDefault="004639B0" w:rsidP="007337FE">
      <w:pPr>
        <w:pStyle w:val="ListParagraph"/>
        <w:numPr>
          <w:ilvl w:val="0"/>
          <w:numId w:val="109"/>
        </w:numPr>
        <w:rPr>
          <w:rFonts w:ascii="Segoe UI" w:eastAsia="Segoe UI" w:hAnsi="Segoe UI"/>
          <w:sz w:val="20"/>
          <w:szCs w:val="20"/>
        </w:rPr>
      </w:pPr>
      <w:r w:rsidRPr="0063105C">
        <w:rPr>
          <w:rFonts w:ascii="Segoe UI" w:eastAsia="Segoe UI" w:hAnsi="Segoe UI"/>
          <w:sz w:val="20"/>
          <w:szCs w:val="20"/>
        </w:rPr>
        <w:t>Receive and invest contributions, transfer values and investment income.</w:t>
      </w:r>
      <w:bookmarkStart w:id="12" w:name="_Toc16069702"/>
    </w:p>
    <w:p w14:paraId="7F290C14" w14:textId="2CA6C988" w:rsidR="004639B0" w:rsidRDefault="004639B0" w:rsidP="007670C2">
      <w:pPr>
        <w:rPr>
          <w:rFonts w:ascii="Segoe UI Semibold" w:hAnsi="Segoe UI Semibold"/>
          <w:bCs/>
          <w:iCs/>
          <w:color w:val="009FE3"/>
          <w:sz w:val="28"/>
          <w:szCs w:val="28"/>
        </w:rPr>
      </w:pPr>
      <w:r w:rsidRPr="007F62C1">
        <w:rPr>
          <w:rFonts w:ascii="Segoe UI Semibold" w:hAnsi="Segoe UI Semibold"/>
          <w:bCs/>
          <w:iCs/>
          <w:color w:val="009FE3"/>
          <w:sz w:val="28"/>
          <w:szCs w:val="28"/>
        </w:rPr>
        <w:t>Funding objectives</w:t>
      </w:r>
      <w:bookmarkEnd w:id="12"/>
    </w:p>
    <w:p w14:paraId="33DD5CA4" w14:textId="77777777" w:rsidR="00F855A8" w:rsidRPr="007F62C1" w:rsidRDefault="00F855A8" w:rsidP="007F62C1">
      <w:pPr>
        <w:ind w:left="360"/>
        <w:rPr>
          <w:rFonts w:ascii="Segoe UI" w:eastAsia="Segoe UI" w:hAnsi="Segoe UI"/>
          <w:sz w:val="20"/>
          <w:szCs w:val="20"/>
        </w:rPr>
      </w:pPr>
    </w:p>
    <w:p w14:paraId="64C16402" w14:textId="77777777" w:rsidR="004639B0" w:rsidRPr="004639B0" w:rsidRDefault="004639B0" w:rsidP="004639B0">
      <w:pPr>
        <w:spacing w:after="200"/>
        <w:rPr>
          <w:rFonts w:ascii="Segoe UI" w:eastAsia="Segoe UI" w:hAnsi="Segoe UI"/>
          <w:sz w:val="20"/>
          <w:szCs w:val="20"/>
          <w:lang w:eastAsia="en-US"/>
        </w:rPr>
      </w:pPr>
      <w:r w:rsidRPr="004639B0">
        <w:rPr>
          <w:rFonts w:ascii="Segoe UI" w:eastAsia="Segoe UI" w:hAnsi="Segoe UI"/>
          <w:sz w:val="20"/>
          <w:szCs w:val="20"/>
          <w:lang w:eastAsia="en-US"/>
        </w:rPr>
        <w:t>Contributions are paid to the Fund by Scheme members and the employing bodies to provide for the benefits which will become payable to Scheme members when they fall due.</w:t>
      </w:r>
    </w:p>
    <w:p w14:paraId="6A268D98" w14:textId="77777777" w:rsidR="004639B0" w:rsidRPr="004639B0" w:rsidRDefault="004639B0" w:rsidP="004639B0">
      <w:pPr>
        <w:spacing w:after="200"/>
        <w:rPr>
          <w:rFonts w:ascii="Segoe UI" w:eastAsia="Segoe UI" w:hAnsi="Segoe UI"/>
          <w:sz w:val="20"/>
          <w:szCs w:val="20"/>
          <w:lang w:eastAsia="en-US"/>
        </w:rPr>
      </w:pPr>
      <w:r w:rsidRPr="004639B0">
        <w:rPr>
          <w:rFonts w:ascii="Segoe UI" w:eastAsia="Segoe UI" w:hAnsi="Segoe UI"/>
          <w:sz w:val="20"/>
          <w:szCs w:val="20"/>
          <w:lang w:eastAsia="en-US"/>
        </w:rPr>
        <w:t>The funding objectives are to:</w:t>
      </w:r>
    </w:p>
    <w:p w14:paraId="1C3E0116" w14:textId="77777777" w:rsidR="007670C2" w:rsidRDefault="004639B0" w:rsidP="007337FE">
      <w:pPr>
        <w:pStyle w:val="ListParagraph"/>
        <w:numPr>
          <w:ilvl w:val="0"/>
          <w:numId w:val="110"/>
        </w:numPr>
        <w:rPr>
          <w:rFonts w:ascii="Segoe UI" w:eastAsia="Segoe UI" w:hAnsi="Segoe UI"/>
          <w:sz w:val="20"/>
          <w:szCs w:val="20"/>
        </w:rPr>
      </w:pPr>
      <w:r w:rsidRPr="007670C2">
        <w:rPr>
          <w:rFonts w:ascii="Segoe UI" w:eastAsia="Segoe UI" w:hAnsi="Segoe UI"/>
          <w:sz w:val="20"/>
          <w:szCs w:val="20"/>
        </w:rPr>
        <w:t xml:space="preserve">Ensure that pension benefits can be met as and when they fall due over the lifetime of the </w:t>
      </w:r>
      <w:proofErr w:type="gramStart"/>
      <w:r w:rsidRPr="007670C2">
        <w:rPr>
          <w:rFonts w:ascii="Segoe UI" w:eastAsia="Segoe UI" w:hAnsi="Segoe UI"/>
          <w:sz w:val="20"/>
          <w:szCs w:val="20"/>
        </w:rPr>
        <w:t>Fund;</w:t>
      </w:r>
      <w:proofErr w:type="gramEnd"/>
    </w:p>
    <w:p w14:paraId="22FD7F39" w14:textId="77777777" w:rsidR="007670C2" w:rsidRDefault="004639B0" w:rsidP="007337FE">
      <w:pPr>
        <w:pStyle w:val="ListParagraph"/>
        <w:numPr>
          <w:ilvl w:val="0"/>
          <w:numId w:val="110"/>
        </w:numPr>
        <w:rPr>
          <w:rFonts w:ascii="Segoe UI" w:eastAsia="Segoe UI" w:hAnsi="Segoe UI"/>
          <w:sz w:val="20"/>
          <w:szCs w:val="20"/>
        </w:rPr>
      </w:pPr>
      <w:r w:rsidRPr="007670C2">
        <w:rPr>
          <w:rFonts w:ascii="Segoe UI" w:eastAsia="Segoe UI" w:hAnsi="Segoe UI"/>
          <w:sz w:val="20"/>
          <w:szCs w:val="20"/>
        </w:rPr>
        <w:t xml:space="preserve">Ensure the solvency of the </w:t>
      </w:r>
      <w:proofErr w:type="gramStart"/>
      <w:r w:rsidRPr="007670C2">
        <w:rPr>
          <w:rFonts w:ascii="Segoe UI" w:eastAsia="Segoe UI" w:hAnsi="Segoe UI"/>
          <w:sz w:val="20"/>
          <w:szCs w:val="20"/>
        </w:rPr>
        <w:t>Fund;</w:t>
      </w:r>
      <w:proofErr w:type="gramEnd"/>
    </w:p>
    <w:p w14:paraId="3E3F6D9F" w14:textId="77777777" w:rsidR="007670C2" w:rsidRDefault="004639B0" w:rsidP="007337FE">
      <w:pPr>
        <w:pStyle w:val="ListParagraph"/>
        <w:numPr>
          <w:ilvl w:val="0"/>
          <w:numId w:val="110"/>
        </w:numPr>
        <w:rPr>
          <w:rFonts w:ascii="Segoe UI" w:eastAsia="Segoe UI" w:hAnsi="Segoe UI"/>
          <w:sz w:val="20"/>
          <w:szCs w:val="20"/>
        </w:rPr>
      </w:pPr>
      <w:r w:rsidRPr="007670C2">
        <w:rPr>
          <w:rFonts w:ascii="Segoe UI" w:eastAsia="Segoe UI" w:hAnsi="Segoe UI"/>
          <w:sz w:val="20"/>
          <w:szCs w:val="20"/>
        </w:rPr>
        <w:t xml:space="preserve">Set levels of employer contribution rates to target a 100% funding level over an appropriate time period and using appropriate actuarial assumptions, while taking into account the different characteristics of participating </w:t>
      </w:r>
      <w:proofErr w:type="gramStart"/>
      <w:r w:rsidRPr="007670C2">
        <w:rPr>
          <w:rFonts w:ascii="Segoe UI" w:eastAsia="Segoe UI" w:hAnsi="Segoe UI"/>
          <w:sz w:val="20"/>
          <w:szCs w:val="20"/>
        </w:rPr>
        <w:t>employers;</w:t>
      </w:r>
      <w:proofErr w:type="gramEnd"/>
    </w:p>
    <w:p w14:paraId="1876A664" w14:textId="77777777" w:rsidR="007670C2" w:rsidRDefault="004639B0" w:rsidP="007337FE">
      <w:pPr>
        <w:pStyle w:val="ListParagraph"/>
        <w:numPr>
          <w:ilvl w:val="0"/>
          <w:numId w:val="110"/>
        </w:numPr>
        <w:rPr>
          <w:rFonts w:ascii="Segoe UI" w:eastAsia="Segoe UI" w:hAnsi="Segoe UI"/>
          <w:sz w:val="20"/>
          <w:szCs w:val="20"/>
        </w:rPr>
      </w:pPr>
      <w:r w:rsidRPr="007670C2">
        <w:rPr>
          <w:rFonts w:ascii="Segoe UI" w:eastAsia="Segoe UI" w:hAnsi="Segoe UI"/>
          <w:sz w:val="20"/>
          <w:szCs w:val="20"/>
        </w:rPr>
        <w:t>Build up the required assets in such a way that employer contribution rates are kept as stable as possible, with consideration of the long-term cost efficiency objective; and</w:t>
      </w:r>
    </w:p>
    <w:p w14:paraId="5A024B7A" w14:textId="2E1C8DBF" w:rsidR="004639B0" w:rsidRPr="007670C2" w:rsidRDefault="004639B0" w:rsidP="007337FE">
      <w:pPr>
        <w:pStyle w:val="ListParagraph"/>
        <w:numPr>
          <w:ilvl w:val="0"/>
          <w:numId w:val="110"/>
        </w:numPr>
        <w:rPr>
          <w:rFonts w:ascii="Segoe UI" w:eastAsia="Segoe UI" w:hAnsi="Segoe UI"/>
          <w:sz w:val="20"/>
          <w:szCs w:val="20"/>
        </w:rPr>
      </w:pPr>
      <w:r w:rsidRPr="007670C2">
        <w:rPr>
          <w:rFonts w:ascii="Segoe UI" w:eastAsia="Segoe UI" w:hAnsi="Segoe UI"/>
          <w:sz w:val="20"/>
          <w:szCs w:val="20"/>
        </w:rPr>
        <w:t xml:space="preserve">Adopt appropriate measures and approaches to reduce the risk, as far as possible, to the Fund, other employers and ultimately the taxpayer from an employer defaulting on its pension obligations. </w:t>
      </w:r>
    </w:p>
    <w:p w14:paraId="4BEF7EB4" w14:textId="77777777" w:rsidR="00A55861" w:rsidRDefault="004639B0" w:rsidP="00A55861">
      <w:pPr>
        <w:spacing w:after="200"/>
        <w:rPr>
          <w:rFonts w:ascii="Segoe UI" w:eastAsia="Segoe UI" w:hAnsi="Segoe UI"/>
          <w:sz w:val="20"/>
          <w:szCs w:val="20"/>
          <w:lang w:eastAsia="en-US"/>
        </w:rPr>
      </w:pPr>
      <w:r w:rsidRPr="004639B0">
        <w:rPr>
          <w:rFonts w:ascii="Segoe UI" w:eastAsia="Segoe UI" w:hAnsi="Segoe UI"/>
          <w:sz w:val="20"/>
          <w:szCs w:val="20"/>
          <w:lang w:eastAsia="en-US"/>
        </w:rPr>
        <w:t>In developing the funding strategy, the administering authority should also have regard to the likely outcomes of the review carried out under Section 13(4)(c) of the Public Service Pensions Act 2013. Section 13(4)(c) requires an independent review of the actuarial valuations of the LGPS funds; this involves reporting on whether the rate of employer contributions set as part of the actuarial valuations are set at an appropriate level to ensure the solvency of the Fund and the long-term cost efficiency of the Scheme so far as relating to the pension Fund. The review also looks at compliance and consistency of the actuarial valuations.</w:t>
      </w:r>
      <w:bookmarkStart w:id="13" w:name="_Toc16069703"/>
    </w:p>
    <w:p w14:paraId="50FDF47A" w14:textId="77777777" w:rsidR="00A55861" w:rsidRDefault="00A55861" w:rsidP="00A55861">
      <w:pPr>
        <w:spacing w:after="200"/>
        <w:rPr>
          <w:rFonts w:ascii="Segoe UI" w:eastAsia="Segoe UI" w:hAnsi="Segoe UI"/>
          <w:sz w:val="20"/>
          <w:szCs w:val="20"/>
          <w:lang w:eastAsia="en-US"/>
        </w:rPr>
      </w:pPr>
    </w:p>
    <w:p w14:paraId="69F88CC4" w14:textId="3DDC8C44" w:rsidR="004639B0" w:rsidRPr="004639B0" w:rsidRDefault="004639B0" w:rsidP="00A55861">
      <w:pPr>
        <w:spacing w:after="200"/>
        <w:rPr>
          <w:rFonts w:ascii="Segoe UI" w:eastAsia="Segoe UI" w:hAnsi="Segoe UI"/>
          <w:sz w:val="20"/>
          <w:szCs w:val="20"/>
          <w:lang w:eastAsia="en-US"/>
        </w:rPr>
      </w:pPr>
      <w:r w:rsidRPr="004639B0">
        <w:rPr>
          <w:rFonts w:ascii="Segoe UI Semibold" w:hAnsi="Segoe UI Semibold"/>
          <w:bCs/>
          <w:iCs/>
          <w:color w:val="009FE3"/>
          <w:sz w:val="28"/>
          <w:szCs w:val="28"/>
          <w:lang w:eastAsia="en-US"/>
        </w:rPr>
        <w:t>Key parties</w:t>
      </w:r>
      <w:bookmarkEnd w:id="13"/>
    </w:p>
    <w:p w14:paraId="7F3D3243" w14:textId="77777777" w:rsidR="004639B0" w:rsidRPr="004639B0" w:rsidRDefault="004639B0" w:rsidP="004639B0">
      <w:pPr>
        <w:keepNext/>
        <w:spacing w:after="200"/>
        <w:rPr>
          <w:rFonts w:ascii="Segoe UI" w:eastAsia="Segoe UI" w:hAnsi="Segoe UI"/>
          <w:sz w:val="20"/>
          <w:szCs w:val="20"/>
          <w:lang w:eastAsia="en-US"/>
        </w:rPr>
      </w:pPr>
      <w:r w:rsidRPr="004639B0">
        <w:rPr>
          <w:rFonts w:ascii="Segoe UI" w:eastAsia="Segoe UI" w:hAnsi="Segoe UI"/>
          <w:sz w:val="20"/>
          <w:szCs w:val="20"/>
          <w:lang w:eastAsia="en-US"/>
        </w:rPr>
        <w:t>The key parties involved in the funding process and their responsibilities are set out below.</w:t>
      </w:r>
    </w:p>
    <w:p w14:paraId="69BE263B" w14:textId="77777777" w:rsidR="004639B0" w:rsidRPr="004639B0" w:rsidRDefault="004639B0" w:rsidP="004639B0">
      <w:pPr>
        <w:keepNext/>
        <w:spacing w:before="240" w:after="60"/>
        <w:outlineLvl w:val="2"/>
        <w:rPr>
          <w:rFonts w:ascii="Segoe UI Semibold" w:hAnsi="Segoe UI Semibold"/>
          <w:bCs/>
          <w:color w:val="68C0B5"/>
          <w:szCs w:val="26"/>
          <w:lang w:eastAsia="en-US"/>
        </w:rPr>
      </w:pPr>
      <w:r w:rsidRPr="004639B0">
        <w:rPr>
          <w:rFonts w:ascii="Segoe UI Semibold" w:hAnsi="Segoe UI Semibold"/>
          <w:bCs/>
          <w:color w:val="68C0B5"/>
          <w:szCs w:val="26"/>
          <w:lang w:eastAsia="en-US"/>
        </w:rPr>
        <w:t>The administering authority</w:t>
      </w:r>
    </w:p>
    <w:p w14:paraId="3ECD82DF" w14:textId="77777777" w:rsidR="004639B0" w:rsidRPr="004639B0" w:rsidRDefault="004639B0" w:rsidP="004639B0">
      <w:pPr>
        <w:spacing w:after="200"/>
        <w:rPr>
          <w:rFonts w:ascii="Segoe UI" w:eastAsia="Segoe UI" w:hAnsi="Segoe UI"/>
          <w:sz w:val="20"/>
          <w:szCs w:val="20"/>
          <w:lang w:eastAsia="en-US"/>
        </w:rPr>
      </w:pPr>
      <w:r w:rsidRPr="004639B0">
        <w:rPr>
          <w:rFonts w:ascii="Segoe UI" w:eastAsia="Segoe UI" w:hAnsi="Segoe UI"/>
          <w:sz w:val="20"/>
          <w:szCs w:val="20"/>
          <w:lang w:eastAsia="en-US"/>
        </w:rPr>
        <w:t>The administering authority for the Fund is the London Borough of Barking and Dagenham. The main responsibilities of the administering authority are to:</w:t>
      </w:r>
    </w:p>
    <w:p w14:paraId="32CF2381"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 xml:space="preserve">Operate the Fund in accordance with the LGPS </w:t>
      </w:r>
      <w:proofErr w:type="gramStart"/>
      <w:r w:rsidRPr="005E14C9">
        <w:rPr>
          <w:rFonts w:ascii="Segoe UI" w:eastAsia="Segoe UI" w:hAnsi="Segoe UI"/>
          <w:sz w:val="20"/>
          <w:szCs w:val="20"/>
        </w:rPr>
        <w:t>Regulations;</w:t>
      </w:r>
      <w:proofErr w:type="gramEnd"/>
    </w:p>
    <w:p w14:paraId="06EF4AC7"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 xml:space="preserve">Collect employee and employer contributions, investment income and other amounts due to the Fund as stipulated in the </w:t>
      </w:r>
      <w:proofErr w:type="gramStart"/>
      <w:r w:rsidRPr="005E14C9">
        <w:rPr>
          <w:rFonts w:ascii="Segoe UI" w:eastAsia="Segoe UI" w:hAnsi="Segoe UI"/>
          <w:sz w:val="20"/>
          <w:szCs w:val="20"/>
        </w:rPr>
        <w:t>Regulations;</w:t>
      </w:r>
      <w:proofErr w:type="gramEnd"/>
    </w:p>
    <w:p w14:paraId="782C737B"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 xml:space="preserve">Invest the Fund’s assets in accordance with the Fund’s Investment Strategy </w:t>
      </w:r>
      <w:proofErr w:type="gramStart"/>
      <w:r w:rsidRPr="005E14C9">
        <w:rPr>
          <w:rFonts w:ascii="Segoe UI" w:eastAsia="Segoe UI" w:hAnsi="Segoe UI"/>
          <w:sz w:val="20"/>
          <w:szCs w:val="20"/>
        </w:rPr>
        <w:t>Statement;</w:t>
      </w:r>
      <w:proofErr w:type="gramEnd"/>
    </w:p>
    <w:p w14:paraId="02E86AC6"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 xml:space="preserve">Pay the benefits due to Scheme members as stipulated in the </w:t>
      </w:r>
      <w:proofErr w:type="gramStart"/>
      <w:r w:rsidRPr="005E14C9">
        <w:rPr>
          <w:rFonts w:ascii="Segoe UI" w:eastAsia="Segoe UI" w:hAnsi="Segoe UI"/>
          <w:sz w:val="20"/>
          <w:szCs w:val="20"/>
        </w:rPr>
        <w:t>Regulations;</w:t>
      </w:r>
      <w:proofErr w:type="gramEnd"/>
    </w:p>
    <w:p w14:paraId="406ED83E"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 xml:space="preserve">Ensure that cash is available to meet liabilities as and when they fall </w:t>
      </w:r>
      <w:proofErr w:type="gramStart"/>
      <w:r w:rsidRPr="005E14C9">
        <w:rPr>
          <w:rFonts w:ascii="Segoe UI" w:eastAsia="Segoe UI" w:hAnsi="Segoe UI"/>
          <w:sz w:val="20"/>
          <w:szCs w:val="20"/>
        </w:rPr>
        <w:t>due;</w:t>
      </w:r>
      <w:proofErr w:type="gramEnd"/>
    </w:p>
    <w:p w14:paraId="002ACEF8"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 xml:space="preserve">Take measures as set out in the Regulations to safeguard the Fund against the consequences of employer </w:t>
      </w:r>
      <w:proofErr w:type="gramStart"/>
      <w:r w:rsidRPr="005E14C9">
        <w:rPr>
          <w:rFonts w:ascii="Segoe UI" w:eastAsia="Segoe UI" w:hAnsi="Segoe UI"/>
          <w:sz w:val="20"/>
          <w:szCs w:val="20"/>
        </w:rPr>
        <w:t>default</w:t>
      </w:r>
      <w:r w:rsidR="005E14C9">
        <w:rPr>
          <w:rFonts w:ascii="Segoe UI" w:eastAsia="Segoe UI" w:hAnsi="Segoe UI"/>
          <w:sz w:val="20"/>
          <w:szCs w:val="20"/>
        </w:rPr>
        <w:t>;</w:t>
      </w:r>
      <w:proofErr w:type="gramEnd"/>
    </w:p>
    <w:p w14:paraId="5107B341"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 xml:space="preserve">Manage the actuarial valuation process in conjunction with the Fund </w:t>
      </w:r>
      <w:proofErr w:type="gramStart"/>
      <w:r w:rsidRPr="005E14C9">
        <w:rPr>
          <w:rFonts w:ascii="Segoe UI" w:eastAsia="Segoe UI" w:hAnsi="Segoe UI"/>
          <w:sz w:val="20"/>
          <w:szCs w:val="20"/>
        </w:rPr>
        <w:t>Actuary;</w:t>
      </w:r>
      <w:proofErr w:type="gramEnd"/>
    </w:p>
    <w:p w14:paraId="45E99C38"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 xml:space="preserve">Prepare and maintain this FSS and also the ISS after consultation with other interested </w:t>
      </w:r>
      <w:proofErr w:type="gramStart"/>
      <w:r w:rsidRPr="005E14C9">
        <w:rPr>
          <w:rFonts w:ascii="Segoe UI" w:eastAsia="Segoe UI" w:hAnsi="Segoe UI"/>
          <w:sz w:val="20"/>
          <w:szCs w:val="20"/>
        </w:rPr>
        <w:t>parties;</w:t>
      </w:r>
      <w:proofErr w:type="gramEnd"/>
    </w:p>
    <w:p w14:paraId="27774E38"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 xml:space="preserve">Monitor all aspects of the Fund’s </w:t>
      </w:r>
      <w:proofErr w:type="gramStart"/>
      <w:r w:rsidRPr="005E14C9">
        <w:rPr>
          <w:rFonts w:ascii="Segoe UI" w:eastAsia="Segoe UI" w:hAnsi="Segoe UI"/>
          <w:sz w:val="20"/>
          <w:szCs w:val="20"/>
        </w:rPr>
        <w:t>performance;</w:t>
      </w:r>
      <w:proofErr w:type="gramEnd"/>
    </w:p>
    <w:p w14:paraId="014A29B2" w14:textId="77777777" w:rsid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Effectively manage any potential conflicts of interest arising from its dual role as both Fund administrator and Scheme employer; and</w:t>
      </w:r>
    </w:p>
    <w:p w14:paraId="28A67267" w14:textId="547AACF6" w:rsidR="004639B0" w:rsidRPr="005E14C9" w:rsidRDefault="004639B0" w:rsidP="007337FE">
      <w:pPr>
        <w:pStyle w:val="ListParagraph"/>
        <w:numPr>
          <w:ilvl w:val="0"/>
          <w:numId w:val="111"/>
        </w:numPr>
        <w:rPr>
          <w:rFonts w:ascii="Segoe UI" w:eastAsia="Segoe UI" w:hAnsi="Segoe UI"/>
          <w:sz w:val="20"/>
          <w:szCs w:val="20"/>
        </w:rPr>
      </w:pPr>
      <w:r w:rsidRPr="005E14C9">
        <w:rPr>
          <w:rFonts w:ascii="Segoe UI" w:eastAsia="Segoe UI" w:hAnsi="Segoe UI"/>
          <w:sz w:val="20"/>
          <w:szCs w:val="20"/>
        </w:rPr>
        <w:t>Enable the Local Pension Board to review the valuation process as they see fit.</w:t>
      </w:r>
    </w:p>
    <w:p w14:paraId="147FA65F" w14:textId="77777777" w:rsidR="004639B0" w:rsidRPr="004639B0" w:rsidRDefault="004639B0" w:rsidP="004639B0">
      <w:pPr>
        <w:keepNext/>
        <w:spacing w:before="240" w:after="60"/>
        <w:outlineLvl w:val="2"/>
        <w:rPr>
          <w:rFonts w:ascii="Segoe UI Semibold" w:hAnsi="Segoe UI Semibold"/>
          <w:bCs/>
          <w:color w:val="68C0B5"/>
          <w:szCs w:val="26"/>
          <w:lang w:eastAsia="en-US"/>
        </w:rPr>
      </w:pPr>
      <w:r w:rsidRPr="004639B0">
        <w:rPr>
          <w:rFonts w:ascii="Segoe UI Semibold" w:hAnsi="Segoe UI Semibold"/>
          <w:bCs/>
          <w:color w:val="68C0B5"/>
          <w:szCs w:val="26"/>
          <w:lang w:eastAsia="en-US"/>
        </w:rPr>
        <w:t>Scheme employers</w:t>
      </w:r>
    </w:p>
    <w:p w14:paraId="001E52E6" w14:textId="77777777" w:rsidR="004639B0" w:rsidRPr="004639B0" w:rsidRDefault="004639B0" w:rsidP="004639B0">
      <w:pPr>
        <w:spacing w:after="200"/>
        <w:rPr>
          <w:rFonts w:ascii="Segoe UI" w:eastAsia="Segoe UI" w:hAnsi="Segoe UI"/>
          <w:sz w:val="20"/>
          <w:szCs w:val="20"/>
          <w:lang w:eastAsia="en-US"/>
        </w:rPr>
      </w:pPr>
      <w:r w:rsidRPr="004639B0">
        <w:rPr>
          <w:rFonts w:ascii="Segoe UI" w:eastAsia="Segoe UI" w:hAnsi="Segoe UI"/>
          <w:sz w:val="20"/>
          <w:szCs w:val="20"/>
          <w:lang w:eastAsia="en-US"/>
        </w:rPr>
        <w:t xml:space="preserve">In addition to the administering authority, </w:t>
      </w:r>
      <w:proofErr w:type="gramStart"/>
      <w:r w:rsidRPr="004639B0">
        <w:rPr>
          <w:rFonts w:ascii="Segoe UI" w:eastAsia="Segoe UI" w:hAnsi="Segoe UI"/>
          <w:sz w:val="20"/>
          <w:szCs w:val="20"/>
          <w:lang w:eastAsia="en-US"/>
        </w:rPr>
        <w:t>a number of</w:t>
      </w:r>
      <w:proofErr w:type="gramEnd"/>
      <w:r w:rsidRPr="004639B0">
        <w:rPr>
          <w:rFonts w:ascii="Segoe UI" w:eastAsia="Segoe UI" w:hAnsi="Segoe UI"/>
          <w:sz w:val="20"/>
          <w:szCs w:val="20"/>
          <w:lang w:eastAsia="en-US"/>
        </w:rPr>
        <w:t xml:space="preserve"> other Scheme employers participate in the Fund. </w:t>
      </w:r>
    </w:p>
    <w:p w14:paraId="265EE081" w14:textId="77777777" w:rsidR="004639B0" w:rsidRPr="004639B0" w:rsidRDefault="004639B0" w:rsidP="004639B0">
      <w:pPr>
        <w:spacing w:after="200"/>
        <w:rPr>
          <w:rFonts w:ascii="Segoe UI" w:eastAsia="Segoe UI" w:hAnsi="Segoe UI"/>
          <w:sz w:val="20"/>
          <w:szCs w:val="20"/>
          <w:lang w:eastAsia="en-US"/>
        </w:rPr>
      </w:pPr>
      <w:r w:rsidRPr="004639B0">
        <w:rPr>
          <w:rFonts w:ascii="Segoe UI" w:eastAsia="Segoe UI" w:hAnsi="Segoe UI"/>
          <w:sz w:val="20"/>
          <w:szCs w:val="20"/>
          <w:lang w:eastAsia="en-US"/>
        </w:rPr>
        <w:t>The responsibilities of each employer that participates in the Fund, including the administering authority, are to:</w:t>
      </w:r>
    </w:p>
    <w:p w14:paraId="6C6DD22B" w14:textId="77777777" w:rsidR="00E7756C" w:rsidRDefault="004639B0" w:rsidP="007337FE">
      <w:pPr>
        <w:pStyle w:val="ListParagraph"/>
        <w:numPr>
          <w:ilvl w:val="0"/>
          <w:numId w:val="112"/>
        </w:numPr>
        <w:rPr>
          <w:rFonts w:ascii="Segoe UI" w:eastAsia="Segoe UI" w:hAnsi="Segoe UI"/>
          <w:sz w:val="20"/>
          <w:szCs w:val="20"/>
        </w:rPr>
      </w:pPr>
      <w:r w:rsidRPr="00717C90">
        <w:rPr>
          <w:rFonts w:ascii="Segoe UI" w:eastAsia="Segoe UI" w:hAnsi="Segoe UI"/>
          <w:sz w:val="20"/>
          <w:szCs w:val="20"/>
        </w:rPr>
        <w:t xml:space="preserve">Collect employee contributions and pay these together with their own employer contributions, as certified by the Fund Actuary, to the administering authority within the statutory </w:t>
      </w:r>
      <w:proofErr w:type="gramStart"/>
      <w:r w:rsidRPr="00717C90">
        <w:rPr>
          <w:rFonts w:ascii="Segoe UI" w:eastAsia="Segoe UI" w:hAnsi="Segoe UI"/>
          <w:sz w:val="20"/>
          <w:szCs w:val="20"/>
        </w:rPr>
        <w:t>timescales;</w:t>
      </w:r>
      <w:proofErr w:type="gramEnd"/>
    </w:p>
    <w:p w14:paraId="0BA2DDEA" w14:textId="77777777" w:rsidR="00E7756C" w:rsidRDefault="004639B0" w:rsidP="007337FE">
      <w:pPr>
        <w:pStyle w:val="ListParagraph"/>
        <w:numPr>
          <w:ilvl w:val="0"/>
          <w:numId w:val="112"/>
        </w:numPr>
        <w:rPr>
          <w:rFonts w:ascii="Segoe UI" w:eastAsia="Segoe UI" w:hAnsi="Segoe UI"/>
          <w:sz w:val="20"/>
          <w:szCs w:val="20"/>
        </w:rPr>
      </w:pPr>
      <w:r w:rsidRPr="00E7756C">
        <w:rPr>
          <w:rFonts w:ascii="Segoe UI" w:eastAsia="Segoe UI" w:hAnsi="Segoe UI"/>
          <w:sz w:val="20"/>
          <w:szCs w:val="20"/>
        </w:rPr>
        <w:t xml:space="preserve">Notify the administering authority of any new Scheme members and any other membership changes </w:t>
      </w:r>
      <w:proofErr w:type="gramStart"/>
      <w:r w:rsidRPr="00E7756C">
        <w:rPr>
          <w:rFonts w:ascii="Segoe UI" w:eastAsia="Segoe UI" w:hAnsi="Segoe UI"/>
          <w:sz w:val="20"/>
          <w:szCs w:val="20"/>
        </w:rPr>
        <w:t>promptly;</w:t>
      </w:r>
      <w:proofErr w:type="gramEnd"/>
    </w:p>
    <w:p w14:paraId="51233C93" w14:textId="77777777" w:rsidR="00E7756C" w:rsidRDefault="004639B0" w:rsidP="007337FE">
      <w:pPr>
        <w:pStyle w:val="ListParagraph"/>
        <w:numPr>
          <w:ilvl w:val="0"/>
          <w:numId w:val="112"/>
        </w:numPr>
        <w:rPr>
          <w:rFonts w:ascii="Segoe UI" w:eastAsia="Segoe UI" w:hAnsi="Segoe UI"/>
          <w:sz w:val="20"/>
          <w:szCs w:val="20"/>
        </w:rPr>
      </w:pPr>
      <w:r w:rsidRPr="00E7756C">
        <w:rPr>
          <w:rFonts w:ascii="Segoe UI" w:eastAsia="Segoe UI" w:hAnsi="Segoe UI"/>
          <w:sz w:val="20"/>
          <w:szCs w:val="20"/>
        </w:rPr>
        <w:t xml:space="preserve">Develop a policy on certain discretions and exercise those discretions as permitted under the </w:t>
      </w:r>
      <w:proofErr w:type="gramStart"/>
      <w:r w:rsidRPr="00E7756C">
        <w:rPr>
          <w:rFonts w:ascii="Segoe UI" w:eastAsia="Segoe UI" w:hAnsi="Segoe UI"/>
          <w:sz w:val="20"/>
          <w:szCs w:val="20"/>
        </w:rPr>
        <w:t>Regulations;</w:t>
      </w:r>
      <w:proofErr w:type="gramEnd"/>
      <w:r w:rsidRPr="00E7756C">
        <w:rPr>
          <w:rFonts w:ascii="Segoe UI" w:eastAsia="Segoe UI" w:hAnsi="Segoe UI"/>
          <w:sz w:val="20"/>
          <w:szCs w:val="20"/>
        </w:rPr>
        <w:t xml:space="preserve"> </w:t>
      </w:r>
    </w:p>
    <w:p w14:paraId="1E008187" w14:textId="77777777" w:rsidR="00E7756C" w:rsidRDefault="004639B0" w:rsidP="007337FE">
      <w:pPr>
        <w:pStyle w:val="ListParagraph"/>
        <w:numPr>
          <w:ilvl w:val="0"/>
          <w:numId w:val="112"/>
        </w:numPr>
        <w:rPr>
          <w:rFonts w:ascii="Segoe UI" w:eastAsia="Segoe UI" w:hAnsi="Segoe UI"/>
          <w:sz w:val="20"/>
          <w:szCs w:val="20"/>
        </w:rPr>
      </w:pPr>
      <w:r w:rsidRPr="00E7756C">
        <w:rPr>
          <w:rFonts w:ascii="Segoe UI" w:eastAsia="Segoe UI" w:hAnsi="Segoe UI"/>
          <w:sz w:val="20"/>
          <w:szCs w:val="20"/>
        </w:rPr>
        <w:t>Meet the costs of any augmentations or other additional costs in accordance with agreed policies and procedures; and</w:t>
      </w:r>
    </w:p>
    <w:p w14:paraId="2E6F4EFB" w14:textId="7CBA9C06" w:rsidR="004639B0" w:rsidRPr="00E7756C" w:rsidRDefault="004639B0" w:rsidP="007337FE">
      <w:pPr>
        <w:pStyle w:val="ListParagraph"/>
        <w:numPr>
          <w:ilvl w:val="0"/>
          <w:numId w:val="112"/>
        </w:numPr>
        <w:rPr>
          <w:rFonts w:ascii="Segoe UI" w:eastAsia="Segoe UI" w:hAnsi="Segoe UI"/>
          <w:sz w:val="20"/>
          <w:szCs w:val="20"/>
        </w:rPr>
      </w:pPr>
      <w:r w:rsidRPr="00E7756C">
        <w:rPr>
          <w:rFonts w:ascii="Segoe UI" w:eastAsia="Segoe UI" w:hAnsi="Segoe UI"/>
          <w:sz w:val="20"/>
          <w:szCs w:val="20"/>
        </w:rPr>
        <w:t>Pay any exit payments due on ceasing participation in the Fund.</w:t>
      </w:r>
    </w:p>
    <w:p w14:paraId="7F35CAD9" w14:textId="77777777" w:rsidR="004639B0" w:rsidRPr="004639B0" w:rsidRDefault="004639B0" w:rsidP="004639B0">
      <w:pPr>
        <w:keepNext/>
        <w:spacing w:before="240" w:after="60"/>
        <w:outlineLvl w:val="2"/>
        <w:rPr>
          <w:rFonts w:ascii="Segoe UI Semibold" w:hAnsi="Segoe UI Semibold"/>
          <w:bCs/>
          <w:color w:val="68C0B5"/>
          <w:szCs w:val="26"/>
          <w:lang w:eastAsia="en-US"/>
        </w:rPr>
      </w:pPr>
      <w:r w:rsidRPr="004639B0">
        <w:rPr>
          <w:rFonts w:ascii="Segoe UI Semibold" w:hAnsi="Segoe UI Semibold"/>
          <w:bCs/>
          <w:color w:val="68C0B5"/>
          <w:szCs w:val="26"/>
          <w:lang w:eastAsia="en-US"/>
        </w:rPr>
        <w:t>Scheme members</w:t>
      </w:r>
    </w:p>
    <w:p w14:paraId="4DB3D49A" w14:textId="77777777" w:rsidR="004639B0" w:rsidRDefault="004639B0" w:rsidP="004639B0">
      <w:pPr>
        <w:spacing w:after="200"/>
        <w:rPr>
          <w:rFonts w:ascii="Segoe UI" w:eastAsia="Segoe UI" w:hAnsi="Segoe UI"/>
          <w:sz w:val="20"/>
          <w:szCs w:val="20"/>
          <w:lang w:eastAsia="en-US"/>
        </w:rPr>
      </w:pPr>
      <w:r w:rsidRPr="004639B0">
        <w:rPr>
          <w:rFonts w:ascii="Segoe UI" w:eastAsia="Segoe UI" w:hAnsi="Segoe UI"/>
          <w:sz w:val="20"/>
          <w:szCs w:val="20"/>
          <w:lang w:eastAsia="en-US"/>
        </w:rPr>
        <w:t>Active Scheme members are required to make contributions into the Fund as set by the Department for Levelling Up, Housing and Communities (DLUHC).</w:t>
      </w:r>
    </w:p>
    <w:p w14:paraId="592F9799" w14:textId="77777777" w:rsidR="00D06770" w:rsidRDefault="00D06770" w:rsidP="004639B0">
      <w:pPr>
        <w:spacing w:after="200"/>
        <w:rPr>
          <w:rFonts w:ascii="Segoe UI" w:eastAsia="Segoe UI" w:hAnsi="Segoe UI"/>
          <w:sz w:val="20"/>
          <w:szCs w:val="20"/>
          <w:lang w:eastAsia="en-US"/>
        </w:rPr>
      </w:pPr>
    </w:p>
    <w:p w14:paraId="18E65641" w14:textId="77777777" w:rsidR="00D06770" w:rsidRDefault="00D06770" w:rsidP="004639B0">
      <w:pPr>
        <w:spacing w:after="200"/>
        <w:rPr>
          <w:rFonts w:ascii="Segoe UI" w:eastAsia="Segoe UI" w:hAnsi="Segoe UI"/>
          <w:sz w:val="20"/>
          <w:szCs w:val="20"/>
          <w:lang w:eastAsia="en-US"/>
        </w:rPr>
      </w:pPr>
    </w:p>
    <w:p w14:paraId="0D4EA118" w14:textId="77777777" w:rsidR="00D06770" w:rsidRPr="00D06770" w:rsidRDefault="00D06770" w:rsidP="00D06770">
      <w:pPr>
        <w:keepNext/>
        <w:spacing w:before="240" w:after="60"/>
        <w:outlineLvl w:val="2"/>
        <w:rPr>
          <w:rFonts w:ascii="Segoe UI Semibold" w:hAnsi="Segoe UI Semibold"/>
          <w:bCs/>
          <w:color w:val="68C0B5"/>
          <w:szCs w:val="26"/>
          <w:lang w:eastAsia="en-US"/>
        </w:rPr>
      </w:pPr>
      <w:r w:rsidRPr="00D06770">
        <w:rPr>
          <w:rFonts w:ascii="Segoe UI Semibold" w:hAnsi="Segoe UI Semibold"/>
          <w:bCs/>
          <w:color w:val="68C0B5"/>
          <w:szCs w:val="26"/>
          <w:lang w:eastAsia="en-US"/>
        </w:rPr>
        <w:t>Fund Actuary</w:t>
      </w:r>
    </w:p>
    <w:p w14:paraId="2E73EC89" w14:textId="77777777" w:rsidR="00CB122A" w:rsidRDefault="00D06770" w:rsidP="00CB122A">
      <w:pPr>
        <w:keepNext/>
        <w:spacing w:after="200"/>
        <w:rPr>
          <w:rFonts w:ascii="Segoe UI" w:eastAsia="Segoe UI" w:hAnsi="Segoe UI"/>
          <w:sz w:val="20"/>
          <w:szCs w:val="20"/>
          <w:lang w:eastAsia="en-US"/>
        </w:rPr>
      </w:pPr>
      <w:r w:rsidRPr="00D06770">
        <w:rPr>
          <w:rFonts w:ascii="Segoe UI" w:eastAsia="Segoe UI" w:hAnsi="Segoe UI"/>
          <w:sz w:val="20"/>
          <w:szCs w:val="20"/>
          <w:lang w:eastAsia="en-US"/>
        </w:rPr>
        <w:t>The Fund Actuary for the Fund is Barnett Waddingham LLP. The main responsibilities of the Fund Actuary are to:</w:t>
      </w:r>
    </w:p>
    <w:p w14:paraId="2DB9B668" w14:textId="77777777" w:rsidR="00CB122A" w:rsidRDefault="00D06770" w:rsidP="007337FE">
      <w:pPr>
        <w:pStyle w:val="ListParagraph"/>
        <w:keepNext/>
        <w:numPr>
          <w:ilvl w:val="0"/>
          <w:numId w:val="113"/>
        </w:numPr>
        <w:rPr>
          <w:rFonts w:ascii="Segoe UI" w:eastAsia="Segoe UI" w:hAnsi="Segoe UI"/>
          <w:sz w:val="20"/>
          <w:szCs w:val="20"/>
        </w:rPr>
      </w:pPr>
      <w:r w:rsidRPr="00CB122A">
        <w:rPr>
          <w:rFonts w:ascii="Segoe UI" w:eastAsia="Segoe UI" w:hAnsi="Segoe UI"/>
          <w:sz w:val="20"/>
          <w:szCs w:val="20"/>
        </w:rPr>
        <w:t xml:space="preserve">Prepare valuations including the setting of employers’ contribution rates at a level to ensure Fund solvency and long-term cost efficiency after agreeing assumptions with the administering authority and having regard to the FSS and the </w:t>
      </w:r>
      <w:proofErr w:type="gramStart"/>
      <w:r w:rsidRPr="00CB122A">
        <w:rPr>
          <w:rFonts w:ascii="Segoe UI" w:eastAsia="Segoe UI" w:hAnsi="Segoe UI"/>
          <w:sz w:val="20"/>
          <w:szCs w:val="20"/>
        </w:rPr>
        <w:t>Regulations;</w:t>
      </w:r>
      <w:proofErr w:type="gramEnd"/>
    </w:p>
    <w:p w14:paraId="73CC69CF" w14:textId="77777777" w:rsidR="00CB122A" w:rsidRDefault="00D06770" w:rsidP="007337FE">
      <w:pPr>
        <w:pStyle w:val="ListParagraph"/>
        <w:keepNext/>
        <w:numPr>
          <w:ilvl w:val="0"/>
          <w:numId w:val="113"/>
        </w:numPr>
        <w:rPr>
          <w:rFonts w:ascii="Segoe UI" w:eastAsia="Segoe UI" w:hAnsi="Segoe UI"/>
          <w:sz w:val="20"/>
          <w:szCs w:val="20"/>
        </w:rPr>
      </w:pPr>
      <w:r w:rsidRPr="00CB122A">
        <w:rPr>
          <w:rFonts w:ascii="Segoe UI" w:eastAsia="Segoe UI" w:hAnsi="Segoe UI"/>
          <w:sz w:val="20"/>
          <w:szCs w:val="20"/>
        </w:rPr>
        <w:t xml:space="preserve">Prepare advice and calculations in connection with bulk transfers and the funding aspects of individual benefit-related matters such as pension strain costs, ill-health retirement costs, compensatory added years costs, </w:t>
      </w:r>
      <w:proofErr w:type="gramStart"/>
      <w:r w:rsidRPr="00CB122A">
        <w:rPr>
          <w:rFonts w:ascii="Segoe UI" w:eastAsia="Segoe UI" w:hAnsi="Segoe UI"/>
          <w:sz w:val="20"/>
          <w:szCs w:val="20"/>
        </w:rPr>
        <w:t>etc;</w:t>
      </w:r>
      <w:proofErr w:type="gramEnd"/>
    </w:p>
    <w:p w14:paraId="04FDFBC4" w14:textId="77777777" w:rsidR="00CB122A" w:rsidRDefault="00D06770" w:rsidP="007337FE">
      <w:pPr>
        <w:pStyle w:val="ListParagraph"/>
        <w:keepNext/>
        <w:numPr>
          <w:ilvl w:val="0"/>
          <w:numId w:val="113"/>
        </w:numPr>
        <w:rPr>
          <w:rFonts w:ascii="Segoe UI" w:eastAsia="Segoe UI" w:hAnsi="Segoe UI"/>
          <w:sz w:val="20"/>
          <w:szCs w:val="20"/>
        </w:rPr>
      </w:pPr>
      <w:r w:rsidRPr="00CB122A">
        <w:rPr>
          <w:rFonts w:ascii="Segoe UI" w:eastAsia="Segoe UI" w:hAnsi="Segoe UI"/>
          <w:sz w:val="20"/>
          <w:szCs w:val="20"/>
        </w:rPr>
        <w:t xml:space="preserve">Provide advice and valuations on the exiting of employers from the </w:t>
      </w:r>
      <w:proofErr w:type="gramStart"/>
      <w:r w:rsidRPr="00CB122A">
        <w:rPr>
          <w:rFonts w:ascii="Segoe UI" w:eastAsia="Segoe UI" w:hAnsi="Segoe UI"/>
          <w:sz w:val="20"/>
          <w:szCs w:val="20"/>
        </w:rPr>
        <w:t>Fund;</w:t>
      </w:r>
      <w:proofErr w:type="gramEnd"/>
      <w:r w:rsidRPr="00CB122A">
        <w:rPr>
          <w:rFonts w:ascii="Segoe UI" w:eastAsia="Segoe UI" w:hAnsi="Segoe UI"/>
          <w:sz w:val="20"/>
          <w:szCs w:val="20"/>
        </w:rPr>
        <w:t xml:space="preserve"> </w:t>
      </w:r>
    </w:p>
    <w:p w14:paraId="224BD719" w14:textId="77777777" w:rsidR="00CB122A" w:rsidRDefault="00D06770" w:rsidP="007337FE">
      <w:pPr>
        <w:pStyle w:val="ListParagraph"/>
        <w:keepNext/>
        <w:numPr>
          <w:ilvl w:val="0"/>
          <w:numId w:val="113"/>
        </w:numPr>
        <w:rPr>
          <w:rFonts w:ascii="Segoe UI" w:eastAsia="Segoe UI" w:hAnsi="Segoe UI"/>
          <w:sz w:val="20"/>
          <w:szCs w:val="20"/>
        </w:rPr>
      </w:pPr>
      <w:r w:rsidRPr="00CB122A">
        <w:rPr>
          <w:rFonts w:ascii="Segoe UI" w:eastAsia="Segoe UI" w:hAnsi="Segoe UI"/>
          <w:sz w:val="20"/>
          <w:szCs w:val="20"/>
        </w:rPr>
        <w:t xml:space="preserve">Provide advice and valuations relating to new employers, including recommending the level of bonds or other forms of security required to protect the Fund against the financial effect of employer </w:t>
      </w:r>
      <w:proofErr w:type="gramStart"/>
      <w:r w:rsidRPr="00CB122A">
        <w:rPr>
          <w:rFonts w:ascii="Segoe UI" w:eastAsia="Segoe UI" w:hAnsi="Segoe UI"/>
          <w:sz w:val="20"/>
          <w:szCs w:val="20"/>
        </w:rPr>
        <w:t>default;</w:t>
      </w:r>
      <w:proofErr w:type="gramEnd"/>
    </w:p>
    <w:p w14:paraId="2BC263D4" w14:textId="77777777" w:rsidR="00CB122A" w:rsidRDefault="00D06770" w:rsidP="007337FE">
      <w:pPr>
        <w:pStyle w:val="ListParagraph"/>
        <w:keepNext/>
        <w:numPr>
          <w:ilvl w:val="0"/>
          <w:numId w:val="113"/>
        </w:numPr>
        <w:rPr>
          <w:rFonts w:ascii="Segoe UI" w:eastAsia="Segoe UI" w:hAnsi="Segoe UI"/>
          <w:sz w:val="20"/>
          <w:szCs w:val="20"/>
        </w:rPr>
      </w:pPr>
      <w:r w:rsidRPr="00CB122A">
        <w:rPr>
          <w:rFonts w:ascii="Segoe UI" w:eastAsia="Segoe UI" w:hAnsi="Segoe UI"/>
          <w:sz w:val="20"/>
          <w:szCs w:val="20"/>
        </w:rPr>
        <w:t xml:space="preserve">Assist the administering authority in assessing whether employer contributions need to be revised between valuations as permitted or required by the </w:t>
      </w:r>
      <w:proofErr w:type="gramStart"/>
      <w:r w:rsidRPr="00CB122A">
        <w:rPr>
          <w:rFonts w:ascii="Segoe UI" w:eastAsia="Segoe UI" w:hAnsi="Segoe UI"/>
          <w:sz w:val="20"/>
          <w:szCs w:val="20"/>
        </w:rPr>
        <w:t>Regulations;</w:t>
      </w:r>
      <w:proofErr w:type="gramEnd"/>
      <w:r w:rsidRPr="00CB122A">
        <w:rPr>
          <w:rFonts w:ascii="Segoe UI" w:eastAsia="Segoe UI" w:hAnsi="Segoe UI"/>
          <w:sz w:val="20"/>
          <w:szCs w:val="20"/>
        </w:rPr>
        <w:t xml:space="preserve"> </w:t>
      </w:r>
    </w:p>
    <w:p w14:paraId="139E12A2" w14:textId="3050D52F" w:rsidR="00CB122A" w:rsidRDefault="00D06770" w:rsidP="007337FE">
      <w:pPr>
        <w:pStyle w:val="ListParagraph"/>
        <w:keepNext/>
        <w:numPr>
          <w:ilvl w:val="0"/>
          <w:numId w:val="113"/>
        </w:numPr>
        <w:rPr>
          <w:rFonts w:ascii="Segoe UI" w:eastAsia="Segoe UI" w:hAnsi="Segoe UI"/>
          <w:sz w:val="20"/>
          <w:szCs w:val="20"/>
        </w:rPr>
      </w:pPr>
      <w:r w:rsidRPr="00CB122A">
        <w:rPr>
          <w:rFonts w:ascii="Segoe UI" w:eastAsia="Segoe UI" w:hAnsi="Segoe UI"/>
          <w:sz w:val="20"/>
          <w:szCs w:val="20"/>
        </w:rPr>
        <w:t>Ensure that the administering authority is aware of any professional guidance or other professional requirements which may be of relevance to their role in advising the Fund; an</w:t>
      </w:r>
      <w:r w:rsidR="00C21F15">
        <w:rPr>
          <w:rFonts w:ascii="Segoe UI" w:eastAsia="Segoe UI" w:hAnsi="Segoe UI"/>
          <w:sz w:val="20"/>
          <w:szCs w:val="20"/>
        </w:rPr>
        <w:t>d</w:t>
      </w:r>
    </w:p>
    <w:p w14:paraId="39D13153" w14:textId="095B6E2B" w:rsidR="00D06770" w:rsidRPr="00CB122A" w:rsidRDefault="00D06770" w:rsidP="007337FE">
      <w:pPr>
        <w:pStyle w:val="ListParagraph"/>
        <w:keepNext/>
        <w:numPr>
          <w:ilvl w:val="0"/>
          <w:numId w:val="113"/>
        </w:numPr>
        <w:rPr>
          <w:rFonts w:ascii="Segoe UI" w:eastAsia="Segoe UI" w:hAnsi="Segoe UI"/>
          <w:sz w:val="20"/>
          <w:szCs w:val="20"/>
        </w:rPr>
      </w:pPr>
      <w:r w:rsidRPr="00CB122A">
        <w:rPr>
          <w:rFonts w:ascii="Segoe UI" w:eastAsia="Segoe UI" w:hAnsi="Segoe UI"/>
          <w:sz w:val="20"/>
          <w:szCs w:val="20"/>
        </w:rPr>
        <w:t>Advise on other actuarial matters affecting the financial position of the Fund.</w:t>
      </w:r>
    </w:p>
    <w:p w14:paraId="295E0742" w14:textId="77777777" w:rsidR="00D06770" w:rsidRPr="00D06770" w:rsidRDefault="00D06770" w:rsidP="00D06770">
      <w:pPr>
        <w:keepNext/>
        <w:pageBreakBefore/>
        <w:spacing w:before="240" w:after="240"/>
        <w:outlineLvl w:val="0"/>
        <w:rPr>
          <w:rFonts w:ascii="Segoe UI Semibold" w:hAnsi="Segoe UI Semibold"/>
          <w:bCs/>
          <w:color w:val="0069B4"/>
          <w:kern w:val="32"/>
          <w:sz w:val="36"/>
          <w:szCs w:val="32"/>
          <w:lang w:eastAsia="en-US"/>
        </w:rPr>
      </w:pPr>
      <w:bookmarkStart w:id="14" w:name="_Toc16069704"/>
      <w:r w:rsidRPr="00D06770">
        <w:rPr>
          <w:rFonts w:ascii="Segoe UI Semibold" w:hAnsi="Segoe UI Semibold"/>
          <w:bCs/>
          <w:color w:val="0069B4"/>
          <w:kern w:val="32"/>
          <w:sz w:val="36"/>
          <w:szCs w:val="32"/>
          <w:lang w:eastAsia="en-US"/>
        </w:rPr>
        <w:t>Funding strategy</w:t>
      </w:r>
      <w:bookmarkEnd w:id="14"/>
    </w:p>
    <w:p w14:paraId="17493B1B" w14:textId="77777777" w:rsidR="00D06770" w:rsidRPr="00D06770" w:rsidRDefault="00D06770" w:rsidP="00D06770">
      <w:pPr>
        <w:spacing w:after="200"/>
        <w:rPr>
          <w:rFonts w:ascii="Segoe UI" w:eastAsia="Segoe UI" w:hAnsi="Segoe UI"/>
          <w:sz w:val="20"/>
          <w:szCs w:val="20"/>
          <w:lang w:eastAsia="en-US"/>
        </w:rPr>
      </w:pPr>
      <w:r w:rsidRPr="00D06770">
        <w:rPr>
          <w:rFonts w:ascii="Segoe UI" w:eastAsia="Segoe UI" w:hAnsi="Segoe UI"/>
          <w:sz w:val="20"/>
          <w:szCs w:val="20"/>
          <w:lang w:eastAsia="en-US"/>
        </w:rPr>
        <w:t>The factors affecting the Fund’s finances are constantly changing, so it is necessary for its financial position and the contributions payable to be reviewed from time to time by means of an actuarial valuation to check that the funding objectives are being met.</w:t>
      </w:r>
    </w:p>
    <w:p w14:paraId="6F6D4343" w14:textId="77777777" w:rsidR="00D06770" w:rsidRPr="00D06770" w:rsidRDefault="00D06770" w:rsidP="00D06770">
      <w:pPr>
        <w:keepNext/>
        <w:keepLines/>
        <w:spacing w:after="200"/>
        <w:rPr>
          <w:rFonts w:ascii="Segoe UI" w:eastAsia="Segoe UI" w:hAnsi="Segoe UI"/>
          <w:sz w:val="20"/>
          <w:szCs w:val="20"/>
          <w:lang w:eastAsia="en-US"/>
        </w:rPr>
      </w:pPr>
      <w:r w:rsidRPr="00D06770">
        <w:rPr>
          <w:rFonts w:ascii="Segoe UI" w:eastAsia="Segoe UI" w:hAnsi="Segoe UI"/>
          <w:sz w:val="20"/>
          <w:szCs w:val="20"/>
          <w:lang w:eastAsia="en-US"/>
        </w:rPr>
        <w:t xml:space="preserve">The most recent actuarial valuation of the Fund was carried out as </w:t>
      </w:r>
      <w:proofErr w:type="gramStart"/>
      <w:r w:rsidRPr="00D06770">
        <w:rPr>
          <w:rFonts w:ascii="Segoe UI" w:eastAsia="Segoe UI" w:hAnsi="Segoe UI"/>
          <w:sz w:val="20"/>
          <w:szCs w:val="20"/>
          <w:lang w:eastAsia="en-US"/>
        </w:rPr>
        <w:t>at</w:t>
      </w:r>
      <w:proofErr w:type="gramEnd"/>
      <w:r w:rsidRPr="00D06770">
        <w:rPr>
          <w:rFonts w:ascii="Segoe UI" w:eastAsia="Segoe UI" w:hAnsi="Segoe UI"/>
          <w:sz w:val="20"/>
          <w:szCs w:val="20"/>
          <w:lang w:eastAsia="en-US"/>
        </w:rPr>
        <w:t xml:space="preserve"> 31 March 2022. The results of the 2022 valuation are set out in the table below:</w:t>
      </w:r>
    </w:p>
    <w:tbl>
      <w:tblPr>
        <w:tblStyle w:val="bwTable"/>
        <w:tblW w:w="6096"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tblGrid>
      <w:tr w:rsidR="00D06770" w:rsidRPr="00D06770" w14:paraId="7D20A38A" w14:textId="77777777" w:rsidTr="006E1769">
        <w:trPr>
          <w:cnfStyle w:val="100000000000" w:firstRow="1" w:lastRow="0" w:firstColumn="0" w:lastColumn="0" w:oddVBand="0" w:evenVBand="0" w:oddHBand="0" w:evenHBand="0" w:firstRowFirstColumn="0" w:firstRowLastColumn="0" w:lastRowFirstColumn="0" w:lastRowLastColumn="0"/>
        </w:trPr>
        <w:tc>
          <w:tcPr>
            <w:tcW w:w="3261" w:type="dxa"/>
            <w:tcBorders>
              <w:top w:val="single" w:sz="4" w:space="0" w:color="009FE3"/>
              <w:bottom w:val="single" w:sz="4" w:space="0" w:color="009FE3"/>
            </w:tcBorders>
            <w:shd w:val="clear" w:color="auto" w:fill="auto"/>
          </w:tcPr>
          <w:p w14:paraId="4DBA53FB" w14:textId="77777777" w:rsidR="00D06770" w:rsidRPr="00D06770" w:rsidRDefault="00D06770" w:rsidP="00D06770">
            <w:pPr>
              <w:keepNext/>
              <w:keepLines/>
              <w:rPr>
                <w:rFonts w:ascii="Segoe UI" w:eastAsia="Segoe UI" w:hAnsi="Segoe UI"/>
                <w:b/>
                <w:color w:val="41C0F0"/>
                <w:sz w:val="20"/>
                <w:szCs w:val="32"/>
                <w:lang w:eastAsia="en-US"/>
              </w:rPr>
            </w:pPr>
            <w:r w:rsidRPr="00D06770">
              <w:rPr>
                <w:rFonts w:ascii="Segoe UI" w:eastAsia="Segoe UI" w:hAnsi="Segoe UI"/>
                <w:b/>
                <w:color w:val="41C0F0"/>
                <w:sz w:val="20"/>
                <w:szCs w:val="32"/>
                <w:lang w:eastAsia="en-US"/>
              </w:rPr>
              <w:t>2022 valuation results</w:t>
            </w:r>
          </w:p>
        </w:tc>
        <w:tc>
          <w:tcPr>
            <w:tcW w:w="2835" w:type="dxa"/>
            <w:tcBorders>
              <w:top w:val="single" w:sz="4" w:space="0" w:color="009FE3"/>
              <w:bottom w:val="single" w:sz="4" w:space="0" w:color="009FE3"/>
            </w:tcBorders>
            <w:shd w:val="clear" w:color="auto" w:fill="auto"/>
          </w:tcPr>
          <w:p w14:paraId="00349ABB" w14:textId="77777777" w:rsidR="00D06770" w:rsidRPr="00D06770" w:rsidRDefault="00D06770" w:rsidP="00D06770">
            <w:pPr>
              <w:keepNext/>
              <w:keepLines/>
              <w:jc w:val="center"/>
              <w:rPr>
                <w:rFonts w:ascii="Segoe UI" w:eastAsia="Segoe UI" w:hAnsi="Segoe UI"/>
                <w:b/>
                <w:color w:val="41C0F0"/>
                <w:sz w:val="20"/>
                <w:szCs w:val="32"/>
                <w:lang w:eastAsia="en-US"/>
              </w:rPr>
            </w:pPr>
          </w:p>
        </w:tc>
      </w:tr>
      <w:tr w:rsidR="00D06770" w:rsidRPr="00D06770" w14:paraId="29237E67" w14:textId="77777777" w:rsidTr="006E1769">
        <w:trPr>
          <w:cnfStyle w:val="000000100000" w:firstRow="0" w:lastRow="0" w:firstColumn="0" w:lastColumn="0" w:oddVBand="0" w:evenVBand="0" w:oddHBand="1" w:evenHBand="0" w:firstRowFirstColumn="0" w:firstRowLastColumn="0" w:lastRowFirstColumn="0" w:lastRowLastColumn="0"/>
        </w:trPr>
        <w:tc>
          <w:tcPr>
            <w:tcW w:w="3261" w:type="dxa"/>
            <w:tcBorders>
              <w:top w:val="single" w:sz="4" w:space="0" w:color="009FE3"/>
              <w:bottom w:val="single" w:sz="4" w:space="0" w:color="C0C0C0"/>
            </w:tcBorders>
            <w:shd w:val="clear" w:color="auto" w:fill="auto"/>
          </w:tcPr>
          <w:p w14:paraId="682EDA65" w14:textId="77777777" w:rsidR="00D06770" w:rsidRPr="00D06770" w:rsidRDefault="00D06770" w:rsidP="00D06770">
            <w:pPr>
              <w:keepNext/>
              <w:keepLines/>
              <w:rPr>
                <w:rFonts w:ascii="Segoe UI" w:eastAsia="Segoe UI" w:hAnsi="Segoe UI"/>
                <w:sz w:val="20"/>
                <w:szCs w:val="32"/>
                <w:lang w:eastAsia="en-US"/>
              </w:rPr>
            </w:pPr>
            <w:r w:rsidRPr="00D06770">
              <w:rPr>
                <w:rFonts w:ascii="Segoe UI" w:eastAsia="Segoe UI" w:hAnsi="Segoe UI"/>
                <w:sz w:val="20"/>
                <w:szCs w:val="32"/>
                <w:lang w:eastAsia="en-US"/>
              </w:rPr>
              <w:t>Surplus (Deficit)</w:t>
            </w:r>
          </w:p>
        </w:tc>
        <w:tc>
          <w:tcPr>
            <w:tcW w:w="2835" w:type="dxa"/>
            <w:tcBorders>
              <w:top w:val="single" w:sz="4" w:space="0" w:color="009FE3"/>
              <w:bottom w:val="single" w:sz="4" w:space="0" w:color="C0C0C0"/>
            </w:tcBorders>
            <w:shd w:val="clear" w:color="auto" w:fill="auto"/>
          </w:tcPr>
          <w:p w14:paraId="687D4741" w14:textId="77777777" w:rsidR="00D06770" w:rsidRPr="00D06770" w:rsidRDefault="00D06770" w:rsidP="00D06770">
            <w:pPr>
              <w:keepNext/>
              <w:keepLines/>
              <w:jc w:val="center"/>
              <w:rPr>
                <w:rFonts w:ascii="Segoe UI" w:eastAsia="Segoe UI" w:hAnsi="Segoe UI"/>
                <w:sz w:val="20"/>
                <w:szCs w:val="32"/>
                <w:lang w:eastAsia="en-US"/>
              </w:rPr>
            </w:pPr>
            <w:r w:rsidRPr="00D06770">
              <w:rPr>
                <w:rFonts w:ascii="Segoe UI" w:eastAsia="Segoe UI" w:hAnsi="Segoe UI"/>
                <w:color w:val="000000"/>
                <w:sz w:val="20"/>
                <w:szCs w:val="32"/>
                <w:lang w:eastAsia="en-US"/>
              </w:rPr>
              <w:t>£10.9m</w:t>
            </w:r>
          </w:p>
        </w:tc>
      </w:tr>
      <w:tr w:rsidR="00D06770" w:rsidRPr="00D06770" w14:paraId="2C95A380" w14:textId="77777777" w:rsidTr="006E1769">
        <w:trPr>
          <w:cnfStyle w:val="000000010000" w:firstRow="0" w:lastRow="0" w:firstColumn="0" w:lastColumn="0" w:oddVBand="0" w:evenVBand="0" w:oddHBand="0" w:evenHBand="1" w:firstRowFirstColumn="0" w:firstRowLastColumn="0" w:lastRowFirstColumn="0" w:lastRowLastColumn="0"/>
        </w:trPr>
        <w:tc>
          <w:tcPr>
            <w:tcW w:w="3261" w:type="dxa"/>
            <w:tcBorders>
              <w:top w:val="single" w:sz="4" w:space="0" w:color="C0C0C0"/>
            </w:tcBorders>
            <w:shd w:val="clear" w:color="auto" w:fill="auto"/>
          </w:tcPr>
          <w:p w14:paraId="51B4FD93" w14:textId="77777777" w:rsidR="00D06770" w:rsidRPr="00D06770" w:rsidRDefault="00D06770" w:rsidP="00D06770">
            <w:pPr>
              <w:keepNext/>
              <w:keepLines/>
              <w:rPr>
                <w:rFonts w:ascii="Segoe UI" w:eastAsia="Segoe UI" w:hAnsi="Segoe UI"/>
                <w:sz w:val="20"/>
                <w:szCs w:val="32"/>
                <w:lang w:eastAsia="en-US"/>
              </w:rPr>
            </w:pPr>
            <w:r w:rsidRPr="00D06770">
              <w:rPr>
                <w:rFonts w:ascii="Segoe UI" w:eastAsia="Segoe UI" w:hAnsi="Segoe UI"/>
                <w:sz w:val="20"/>
                <w:szCs w:val="32"/>
                <w:lang w:eastAsia="en-US"/>
              </w:rPr>
              <w:t>Funding level</w:t>
            </w:r>
          </w:p>
        </w:tc>
        <w:tc>
          <w:tcPr>
            <w:tcW w:w="2835" w:type="dxa"/>
            <w:tcBorders>
              <w:top w:val="single" w:sz="4" w:space="0" w:color="C0C0C0"/>
            </w:tcBorders>
            <w:shd w:val="clear" w:color="auto" w:fill="auto"/>
          </w:tcPr>
          <w:p w14:paraId="2770C72C" w14:textId="77777777" w:rsidR="00D06770" w:rsidRPr="00D06770" w:rsidRDefault="00D06770" w:rsidP="00D06770">
            <w:pPr>
              <w:keepNext/>
              <w:keepLines/>
              <w:jc w:val="center"/>
              <w:rPr>
                <w:rFonts w:ascii="Segoe UI" w:eastAsia="Segoe UI" w:hAnsi="Segoe UI"/>
                <w:sz w:val="20"/>
                <w:szCs w:val="32"/>
                <w:lang w:eastAsia="en-US"/>
              </w:rPr>
            </w:pPr>
            <w:r w:rsidRPr="00D06770">
              <w:rPr>
                <w:rFonts w:ascii="Segoe UI" w:eastAsia="Segoe UI" w:hAnsi="Segoe UI"/>
                <w:sz w:val="20"/>
                <w:szCs w:val="32"/>
                <w:lang w:eastAsia="en-US"/>
              </w:rPr>
              <w:t>101%</w:t>
            </w:r>
          </w:p>
        </w:tc>
      </w:tr>
    </w:tbl>
    <w:p w14:paraId="03AE280A" w14:textId="77777777" w:rsidR="00D06770" w:rsidRPr="00D06770" w:rsidRDefault="00D06770" w:rsidP="00D06770">
      <w:pPr>
        <w:spacing w:after="200"/>
        <w:rPr>
          <w:rFonts w:ascii="Segoe UI" w:eastAsia="Segoe UI" w:hAnsi="Segoe UI"/>
          <w:sz w:val="20"/>
          <w:szCs w:val="20"/>
          <w:lang w:eastAsia="en-US"/>
        </w:rPr>
      </w:pPr>
    </w:p>
    <w:p w14:paraId="4B42C67F" w14:textId="77777777" w:rsidR="00D06770" w:rsidRPr="00D06770" w:rsidRDefault="00D06770" w:rsidP="00D06770">
      <w:pPr>
        <w:spacing w:after="200"/>
        <w:rPr>
          <w:rFonts w:ascii="Segoe UI" w:eastAsia="Segoe UI" w:hAnsi="Segoe UI"/>
          <w:sz w:val="20"/>
          <w:szCs w:val="20"/>
          <w:lang w:eastAsia="en-US"/>
        </w:rPr>
      </w:pPr>
      <w:r w:rsidRPr="00D06770">
        <w:rPr>
          <w:rFonts w:ascii="Segoe UI" w:eastAsia="Segoe UI" w:hAnsi="Segoe UI"/>
          <w:sz w:val="20"/>
          <w:szCs w:val="20"/>
          <w:lang w:eastAsia="en-US"/>
        </w:rPr>
        <w:t>On a whole Fund level, the primary rate required to cover the employer cost of future benefit accrual was 21.5% of payroll p.a.</w:t>
      </w:r>
    </w:p>
    <w:p w14:paraId="5BC5DF2F" w14:textId="77777777" w:rsidR="00D06770" w:rsidRPr="00D06770" w:rsidRDefault="00D06770" w:rsidP="00D06770">
      <w:pPr>
        <w:spacing w:after="200"/>
        <w:rPr>
          <w:rFonts w:ascii="Segoe UI" w:eastAsia="Segoe UI" w:hAnsi="Segoe UI"/>
          <w:sz w:val="20"/>
          <w:szCs w:val="20"/>
          <w:lang w:eastAsia="en-US"/>
        </w:rPr>
      </w:pPr>
      <w:r w:rsidRPr="00D06770">
        <w:rPr>
          <w:rFonts w:ascii="Segoe UI" w:eastAsia="Segoe UI" w:hAnsi="Segoe UI"/>
          <w:sz w:val="20"/>
          <w:szCs w:val="20"/>
          <w:lang w:eastAsia="en-US"/>
        </w:rPr>
        <w:t>The individual employer contribution rates are set out in the Rates and Adjustments Certificate which forms part of the Fund’s 2022 valuation report.</w:t>
      </w:r>
    </w:p>
    <w:p w14:paraId="5110013D" w14:textId="77777777" w:rsidR="00D06770" w:rsidRPr="00D06770" w:rsidRDefault="00D06770" w:rsidP="00D06770">
      <w:pPr>
        <w:spacing w:after="200"/>
        <w:rPr>
          <w:rFonts w:ascii="Segoe UI" w:eastAsia="Segoe UI" w:hAnsi="Segoe UI"/>
          <w:sz w:val="20"/>
          <w:szCs w:val="20"/>
          <w:lang w:eastAsia="en-US"/>
        </w:rPr>
      </w:pPr>
      <w:r w:rsidRPr="00D06770">
        <w:rPr>
          <w:rFonts w:ascii="Segoe UI" w:eastAsia="Segoe UI" w:hAnsi="Segoe UI"/>
          <w:sz w:val="20"/>
          <w:szCs w:val="20"/>
          <w:lang w:eastAsia="en-US"/>
        </w:rPr>
        <w:t xml:space="preserve">The actuarial valuation involves a projection of future cashflows to and from the Fund. The main purpose of the valuation is to determine the level of employers’ contributions that should be paid to ensure that the existing assets and future contributions will be sufficient to meet all future benefit payments from the Fund. A summary of the methods and assumptions adopted is set out in the sections below. </w:t>
      </w:r>
    </w:p>
    <w:p w14:paraId="6E0C61F7" w14:textId="77777777" w:rsidR="00D06770" w:rsidRPr="00D06770" w:rsidRDefault="00D06770" w:rsidP="00C21F15">
      <w:pPr>
        <w:keepNext/>
        <w:spacing w:before="240" w:after="120"/>
        <w:outlineLvl w:val="1"/>
        <w:rPr>
          <w:rFonts w:ascii="Segoe UI Semibold" w:hAnsi="Segoe UI Semibold"/>
          <w:bCs/>
          <w:iCs/>
          <w:color w:val="009FE3"/>
          <w:sz w:val="28"/>
          <w:szCs w:val="28"/>
          <w:lang w:eastAsia="en-US"/>
        </w:rPr>
      </w:pPr>
      <w:bookmarkStart w:id="15" w:name="_Toc16069705"/>
      <w:r w:rsidRPr="00D06770">
        <w:rPr>
          <w:rFonts w:ascii="Segoe UI Semibold" w:hAnsi="Segoe UI Semibold"/>
          <w:bCs/>
          <w:iCs/>
          <w:color w:val="009FE3"/>
          <w:sz w:val="28"/>
          <w:szCs w:val="28"/>
          <w:lang w:eastAsia="en-US"/>
        </w:rPr>
        <w:t>Funding method</w:t>
      </w:r>
      <w:bookmarkEnd w:id="15"/>
    </w:p>
    <w:p w14:paraId="6C1734A4" w14:textId="77777777" w:rsidR="00D06770" w:rsidRPr="00D06770" w:rsidRDefault="00D06770" w:rsidP="00D06770">
      <w:pPr>
        <w:spacing w:after="200"/>
        <w:rPr>
          <w:rFonts w:ascii="Segoe UI" w:eastAsia="Segoe UI" w:hAnsi="Segoe UI"/>
          <w:sz w:val="20"/>
          <w:szCs w:val="20"/>
          <w:lang w:eastAsia="en-US"/>
        </w:rPr>
      </w:pPr>
      <w:r w:rsidRPr="00D06770">
        <w:rPr>
          <w:rFonts w:ascii="Segoe UI" w:eastAsia="Segoe UI" w:hAnsi="Segoe UI"/>
          <w:sz w:val="20"/>
          <w:szCs w:val="20"/>
          <w:lang w:eastAsia="en-US"/>
        </w:rPr>
        <w:t>The key objective in determining employers’ contribution rates is to establish a funding target and then set levels of employer contribution rates to meet that target over an agreed period.</w:t>
      </w:r>
    </w:p>
    <w:p w14:paraId="514B77C8" w14:textId="77777777" w:rsidR="00D06770" w:rsidRPr="00D06770" w:rsidRDefault="00D06770" w:rsidP="00D06770">
      <w:pPr>
        <w:spacing w:after="200"/>
        <w:rPr>
          <w:rFonts w:ascii="Segoe UI" w:eastAsia="Segoe UI" w:hAnsi="Segoe UI"/>
          <w:sz w:val="20"/>
          <w:szCs w:val="20"/>
          <w:lang w:eastAsia="en-US"/>
        </w:rPr>
      </w:pPr>
      <w:r w:rsidRPr="00D06770">
        <w:rPr>
          <w:rFonts w:ascii="Segoe UI" w:eastAsia="Segoe UI" w:hAnsi="Segoe UI"/>
          <w:sz w:val="20"/>
          <w:szCs w:val="20"/>
          <w:lang w:eastAsia="en-US"/>
        </w:rPr>
        <w:t xml:space="preserve">The funding target is to have sufficient assets in the Fund to meet the accrued liabilities for each employer in the Fund. </w:t>
      </w:r>
    </w:p>
    <w:p w14:paraId="573F0567" w14:textId="77777777" w:rsidR="00D06770" w:rsidRPr="00D06770" w:rsidRDefault="00D06770" w:rsidP="00D06770">
      <w:pPr>
        <w:spacing w:after="200"/>
        <w:rPr>
          <w:rFonts w:ascii="Segoe UI" w:eastAsia="Segoe UI" w:hAnsi="Segoe UI"/>
          <w:sz w:val="20"/>
          <w:szCs w:val="20"/>
          <w:lang w:eastAsia="en-US"/>
        </w:rPr>
      </w:pPr>
      <w:r w:rsidRPr="00D06770">
        <w:rPr>
          <w:rFonts w:ascii="Segoe UI" w:eastAsia="Segoe UI" w:hAnsi="Segoe UI"/>
          <w:sz w:val="20"/>
          <w:szCs w:val="20"/>
          <w:lang w:eastAsia="en-US"/>
        </w:rPr>
        <w:t>For all employers, the method adopted is to consider separately the benefits accrued before the valuation date (past service) and benefits expected to be accrued after the valuation date (future service). These are evaluated as follows:</w:t>
      </w:r>
    </w:p>
    <w:p w14:paraId="7F151753" w14:textId="77777777" w:rsidR="00A97DFA" w:rsidRDefault="00D06770" w:rsidP="007337FE">
      <w:pPr>
        <w:pStyle w:val="ListParagraph"/>
        <w:numPr>
          <w:ilvl w:val="0"/>
          <w:numId w:val="114"/>
        </w:numPr>
        <w:rPr>
          <w:rFonts w:ascii="Segoe UI" w:eastAsia="Segoe UI" w:hAnsi="Segoe UI"/>
          <w:sz w:val="20"/>
          <w:szCs w:val="20"/>
        </w:rPr>
      </w:pPr>
      <w:r w:rsidRPr="00A97DFA">
        <w:rPr>
          <w:rFonts w:ascii="Segoe UI" w:eastAsia="Segoe UI" w:hAnsi="Segoe UI"/>
          <w:sz w:val="20"/>
          <w:szCs w:val="20"/>
        </w:rPr>
        <w:t xml:space="preserve">The past service funding level of the Fund. This is the ratio of accumulated assets to liabilities in respect of past service. It makes allowance for future increases to members’ pay and pensions. A funding level </w:t>
      </w:r>
      <w:proofErr w:type="gramStart"/>
      <w:r w:rsidRPr="00A97DFA">
        <w:rPr>
          <w:rFonts w:ascii="Segoe UI" w:eastAsia="Segoe UI" w:hAnsi="Segoe UI"/>
          <w:sz w:val="20"/>
          <w:szCs w:val="20"/>
        </w:rPr>
        <w:t>in excess of</w:t>
      </w:r>
      <w:proofErr w:type="gramEnd"/>
      <w:r w:rsidRPr="00A97DFA">
        <w:rPr>
          <w:rFonts w:ascii="Segoe UI" w:eastAsia="Segoe UI" w:hAnsi="Segoe UI"/>
          <w:sz w:val="20"/>
          <w:szCs w:val="20"/>
        </w:rPr>
        <w:t xml:space="preserve"> 100% indicates a surplus of assets over liabilities; while a funding level of less than 100% indicates a deficit; and</w:t>
      </w:r>
    </w:p>
    <w:p w14:paraId="6A593C65" w14:textId="4BBBCF86" w:rsidR="00D06770" w:rsidRDefault="00D06770" w:rsidP="007337FE">
      <w:pPr>
        <w:pStyle w:val="ListParagraph"/>
        <w:numPr>
          <w:ilvl w:val="0"/>
          <w:numId w:val="114"/>
        </w:numPr>
        <w:rPr>
          <w:rFonts w:ascii="Segoe UI" w:eastAsia="Segoe UI" w:hAnsi="Segoe UI"/>
          <w:sz w:val="20"/>
          <w:szCs w:val="20"/>
        </w:rPr>
      </w:pPr>
      <w:r w:rsidRPr="00A97DFA">
        <w:rPr>
          <w:rFonts w:ascii="Segoe UI" w:eastAsia="Segoe UI" w:hAnsi="Segoe UI"/>
          <w:sz w:val="20"/>
          <w:szCs w:val="20"/>
        </w:rPr>
        <w:t>The future service funding rate (also referred to as the primary rate as defined in Regulation 62(5) of the Regulations) is the level of contributions required from the individual employers which, in combination with employee contributions is expected to cover the cost of benefits accruing in future.</w:t>
      </w:r>
    </w:p>
    <w:p w14:paraId="4EAEBDCB" w14:textId="77777777" w:rsidR="00981096" w:rsidRDefault="00981096" w:rsidP="00981096">
      <w:pPr>
        <w:rPr>
          <w:rFonts w:ascii="Segoe UI" w:eastAsia="Segoe UI" w:hAnsi="Segoe UI"/>
          <w:sz w:val="20"/>
          <w:szCs w:val="20"/>
        </w:rPr>
      </w:pPr>
    </w:p>
    <w:p w14:paraId="64AF6D55" w14:textId="77777777" w:rsidR="00981096" w:rsidRDefault="00981096" w:rsidP="00981096">
      <w:pPr>
        <w:rPr>
          <w:rFonts w:ascii="Segoe UI" w:eastAsia="Segoe UI" w:hAnsi="Segoe UI"/>
          <w:sz w:val="20"/>
          <w:szCs w:val="20"/>
        </w:rPr>
      </w:pPr>
    </w:p>
    <w:p w14:paraId="27C1AB6B" w14:textId="77777777" w:rsidR="00981096" w:rsidRDefault="00981096" w:rsidP="00981096">
      <w:pPr>
        <w:rPr>
          <w:rFonts w:ascii="Segoe UI" w:eastAsia="Segoe UI" w:hAnsi="Segoe UI"/>
          <w:sz w:val="20"/>
          <w:szCs w:val="20"/>
        </w:rPr>
      </w:pPr>
    </w:p>
    <w:p w14:paraId="0829550D"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 xml:space="preserve">The adjustment required to the primary rate to calculate an employer’s total contribution rate is referred to as the secondary rate, as defined in Regulation 62(7). Further details of how the secondary rate is calculated for employers is given below in the </w:t>
      </w:r>
      <w:r w:rsidRPr="00741A8B">
        <w:rPr>
          <w:rFonts w:ascii="Segoe UI" w:eastAsia="Segoe UI" w:hAnsi="Segoe UI"/>
          <w:sz w:val="20"/>
          <w:szCs w:val="20"/>
          <w:lang w:eastAsia="en-US"/>
        </w:rPr>
        <w:fldChar w:fldCharType="begin"/>
      </w:r>
      <w:r w:rsidRPr="00741A8B">
        <w:rPr>
          <w:rFonts w:ascii="Segoe UI" w:eastAsia="Segoe UI" w:hAnsi="Segoe UI"/>
          <w:sz w:val="20"/>
          <w:szCs w:val="20"/>
          <w:lang w:eastAsia="en-US"/>
        </w:rPr>
        <w:instrText xml:space="preserve"> REF _Ref23006532 \h </w:instrText>
      </w:r>
      <w:r w:rsidRPr="00741A8B">
        <w:rPr>
          <w:rFonts w:ascii="Segoe UI" w:eastAsia="Segoe UI" w:hAnsi="Segoe UI"/>
          <w:sz w:val="20"/>
          <w:szCs w:val="20"/>
          <w:lang w:eastAsia="en-US"/>
        </w:rPr>
      </w:r>
      <w:r w:rsidRPr="00741A8B">
        <w:rPr>
          <w:rFonts w:ascii="Segoe UI" w:eastAsia="Segoe UI" w:hAnsi="Segoe UI"/>
          <w:sz w:val="20"/>
          <w:szCs w:val="20"/>
          <w:lang w:eastAsia="en-US"/>
        </w:rPr>
        <w:fldChar w:fldCharType="separate"/>
      </w:r>
      <w:r w:rsidRPr="00741A8B">
        <w:rPr>
          <w:rFonts w:ascii="Segoe UI" w:eastAsia="Segoe UI" w:hAnsi="Segoe UI"/>
          <w:sz w:val="20"/>
          <w:szCs w:val="20"/>
          <w:lang w:eastAsia="en-US"/>
        </w:rPr>
        <w:t>Deficit recovery/surplus amortisation periods</w:t>
      </w:r>
      <w:r w:rsidRPr="00741A8B">
        <w:rPr>
          <w:rFonts w:ascii="Segoe UI" w:eastAsia="Segoe UI" w:hAnsi="Segoe UI"/>
          <w:sz w:val="20"/>
          <w:szCs w:val="20"/>
          <w:lang w:eastAsia="en-US"/>
        </w:rPr>
        <w:fldChar w:fldCharType="end"/>
      </w:r>
      <w:r w:rsidRPr="00741A8B">
        <w:rPr>
          <w:rFonts w:ascii="Segoe UI" w:eastAsia="Segoe UI" w:hAnsi="Segoe UI"/>
          <w:sz w:val="20"/>
          <w:szCs w:val="20"/>
          <w:lang w:eastAsia="en-US"/>
        </w:rPr>
        <w:t xml:space="preserve"> section. </w:t>
      </w:r>
    </w:p>
    <w:p w14:paraId="34B07E22"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 xml:space="preserve">The approach to the primary rate will depend on specific employer circumstances and </w:t>
      </w:r>
      <w:proofErr w:type="gramStart"/>
      <w:r w:rsidRPr="00741A8B">
        <w:rPr>
          <w:rFonts w:ascii="Segoe UI" w:eastAsia="Segoe UI" w:hAnsi="Segoe UI"/>
          <w:sz w:val="20"/>
          <w:szCs w:val="20"/>
          <w:lang w:eastAsia="en-US"/>
        </w:rPr>
        <w:t>in particular may</w:t>
      </w:r>
      <w:proofErr w:type="gramEnd"/>
      <w:r w:rsidRPr="00741A8B">
        <w:rPr>
          <w:rFonts w:ascii="Segoe UI" w:eastAsia="Segoe UI" w:hAnsi="Segoe UI"/>
          <w:sz w:val="20"/>
          <w:szCs w:val="20"/>
          <w:lang w:eastAsia="en-US"/>
        </w:rPr>
        <w:t xml:space="preserve"> depend on whether an employer is an “open” employer – one which allows new recruits access to the Fund, or a “closed” employer – one which no longer permits new staff access to the Fund. The expected period of participation by an employer in the Fund may also affect the total contribution rate.</w:t>
      </w:r>
    </w:p>
    <w:p w14:paraId="71E3B0D8"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For open employers, the actuarial funding method that is adopted is known as the Projected Unit Method. The key feature of this method is that, in assessing the future service cost, the primary rate represents the cost of one year’s benefit accrual only.</w:t>
      </w:r>
    </w:p>
    <w:p w14:paraId="47044E25"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For closed employers, the actuarial funding method adopted is known as the Attained Age Method. The key difference between this method and the Projected Unit Method is that the Attained Age Method assesses the average cost of the benefits that will accrue over a specific period, such as the length of a contract or the remaining expected working lifetime of active members.</w:t>
      </w:r>
    </w:p>
    <w:p w14:paraId="0B36CF11"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The approach by employer may vary to reflect an employer’s specific circumstance, however, in general the closed employers in the Fund are admission bodies who have joined the Fund as part of an outsourcing contract and therefore the Attained Age Method is used in setting their contributions. All other employers (for example councils, higher education bodies and academies) are generally open employers and therefore the Projected Unit Method is used. The administering authority holds details of the open or closed status of each employer.</w:t>
      </w:r>
    </w:p>
    <w:p w14:paraId="50B268AF" w14:textId="77777777" w:rsidR="00741A8B" w:rsidRPr="00741A8B" w:rsidRDefault="00741A8B" w:rsidP="00741A8B">
      <w:pPr>
        <w:keepNext/>
        <w:spacing w:before="240" w:after="120"/>
        <w:outlineLvl w:val="1"/>
        <w:rPr>
          <w:rFonts w:ascii="Segoe UI Semibold" w:hAnsi="Segoe UI Semibold"/>
          <w:bCs/>
          <w:iCs/>
          <w:color w:val="009FE3"/>
          <w:sz w:val="28"/>
          <w:szCs w:val="28"/>
          <w:lang w:eastAsia="en-US"/>
        </w:rPr>
      </w:pPr>
      <w:bookmarkStart w:id="16" w:name="_Toc16069706"/>
      <w:r w:rsidRPr="00741A8B">
        <w:rPr>
          <w:rFonts w:ascii="Segoe UI Semibold" w:hAnsi="Segoe UI Semibold"/>
          <w:bCs/>
          <w:iCs/>
          <w:color w:val="009FE3"/>
          <w:sz w:val="28"/>
          <w:szCs w:val="28"/>
          <w:lang w:eastAsia="en-US"/>
        </w:rPr>
        <w:t>Valuation assumptions and funding model</w:t>
      </w:r>
      <w:bookmarkEnd w:id="16"/>
    </w:p>
    <w:p w14:paraId="6766F38A"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 xml:space="preserve">In completing the actuarial </w:t>
      </w:r>
      <w:proofErr w:type="gramStart"/>
      <w:r w:rsidRPr="00741A8B">
        <w:rPr>
          <w:rFonts w:ascii="Segoe UI" w:eastAsia="Segoe UI" w:hAnsi="Segoe UI"/>
          <w:sz w:val="20"/>
          <w:szCs w:val="20"/>
          <w:lang w:eastAsia="en-US"/>
        </w:rPr>
        <w:t>valuation</w:t>
      </w:r>
      <w:proofErr w:type="gramEnd"/>
      <w:r w:rsidRPr="00741A8B">
        <w:rPr>
          <w:rFonts w:ascii="Segoe UI" w:eastAsia="Segoe UI" w:hAnsi="Segoe UI"/>
          <w:sz w:val="20"/>
          <w:szCs w:val="20"/>
          <w:lang w:eastAsia="en-US"/>
        </w:rPr>
        <w:t xml:space="preserve"> it is necessary to formulate assumptions about the factors affecting the Fund's future finances such as price inflation, pay increases, investment returns, rates of mortality, early retirement and staff turnover etc.</w:t>
      </w:r>
    </w:p>
    <w:p w14:paraId="7399D989"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The assumptions adopted at the valuation can therefore be considered as:</w:t>
      </w:r>
    </w:p>
    <w:p w14:paraId="2811BF56" w14:textId="77777777" w:rsidR="009B0A56" w:rsidRDefault="00741A8B" w:rsidP="007337FE">
      <w:pPr>
        <w:pStyle w:val="ListParagraph"/>
        <w:numPr>
          <w:ilvl w:val="0"/>
          <w:numId w:val="115"/>
        </w:numPr>
        <w:rPr>
          <w:rFonts w:ascii="Segoe UI" w:eastAsia="Segoe UI" w:hAnsi="Segoe UI"/>
          <w:sz w:val="20"/>
          <w:szCs w:val="20"/>
        </w:rPr>
      </w:pPr>
      <w:r w:rsidRPr="009B0A56">
        <w:rPr>
          <w:rFonts w:ascii="Segoe UI" w:eastAsia="Segoe UI" w:hAnsi="Segoe UI"/>
          <w:sz w:val="20"/>
          <w:szCs w:val="20"/>
        </w:rPr>
        <w:t>The demographic (or statistical) assumptions which are essentially estimates of the likelihood or timing of benefits and contributions being paid, and</w:t>
      </w:r>
    </w:p>
    <w:p w14:paraId="2CF5360A" w14:textId="37380396" w:rsidR="00741A8B" w:rsidRPr="009B0A56" w:rsidRDefault="007C3BA4" w:rsidP="007337FE">
      <w:pPr>
        <w:pStyle w:val="ListParagraph"/>
        <w:numPr>
          <w:ilvl w:val="0"/>
          <w:numId w:val="115"/>
        </w:numPr>
        <w:rPr>
          <w:rFonts w:ascii="Segoe UI" w:eastAsia="Segoe UI" w:hAnsi="Segoe UI"/>
          <w:sz w:val="20"/>
          <w:szCs w:val="20"/>
        </w:rPr>
      </w:pPr>
      <w:r>
        <w:rPr>
          <w:rFonts w:ascii="Segoe UI" w:eastAsia="Segoe UI" w:hAnsi="Segoe UI"/>
          <w:sz w:val="20"/>
          <w:szCs w:val="20"/>
        </w:rPr>
        <w:tab/>
      </w:r>
      <w:r w:rsidR="00741A8B" w:rsidRPr="009B0A56">
        <w:rPr>
          <w:rFonts w:ascii="Segoe UI" w:eastAsia="Segoe UI" w:hAnsi="Segoe UI"/>
          <w:sz w:val="20"/>
          <w:szCs w:val="20"/>
        </w:rPr>
        <w:t xml:space="preserve">The financial assumptions which will determine the estimates of the </w:t>
      </w:r>
      <w:proofErr w:type="gramStart"/>
      <w:r w:rsidR="00741A8B" w:rsidRPr="009B0A56">
        <w:rPr>
          <w:rFonts w:ascii="Segoe UI" w:eastAsia="Segoe UI" w:hAnsi="Segoe UI"/>
          <w:sz w:val="20"/>
          <w:szCs w:val="20"/>
        </w:rPr>
        <w:t>amount</w:t>
      </w:r>
      <w:proofErr w:type="gramEnd"/>
      <w:r w:rsidR="00741A8B" w:rsidRPr="009B0A56">
        <w:rPr>
          <w:rFonts w:ascii="Segoe UI" w:eastAsia="Segoe UI" w:hAnsi="Segoe UI"/>
          <w:sz w:val="20"/>
          <w:szCs w:val="20"/>
        </w:rPr>
        <w:t xml:space="preserve"> of benefits and contributions payable and their current (or present) value.</w:t>
      </w:r>
    </w:p>
    <w:p w14:paraId="5626DB00" w14:textId="77777777" w:rsidR="00741A8B" w:rsidRPr="00741A8B" w:rsidRDefault="00741A8B" w:rsidP="00741A8B">
      <w:pPr>
        <w:keepNext/>
        <w:spacing w:before="240" w:after="60"/>
        <w:outlineLvl w:val="2"/>
        <w:rPr>
          <w:rFonts w:ascii="Segoe UI Semibold" w:hAnsi="Segoe UI Semibold"/>
          <w:bCs/>
          <w:color w:val="68C0B5"/>
          <w:szCs w:val="26"/>
          <w:lang w:eastAsia="en-US"/>
        </w:rPr>
      </w:pPr>
      <w:r w:rsidRPr="00741A8B">
        <w:rPr>
          <w:rFonts w:ascii="Segoe UI Semibold" w:hAnsi="Segoe UI Semibold"/>
          <w:bCs/>
          <w:color w:val="68C0B5"/>
          <w:szCs w:val="26"/>
          <w:lang w:eastAsia="en-US"/>
        </w:rPr>
        <w:t>Future price inflation</w:t>
      </w:r>
    </w:p>
    <w:p w14:paraId="2BAC5FC6"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 xml:space="preserve">The base assumption in any valuation is the future level of price inflation over a period commensurate with the duration of the liabilities, as measured by the Retail Price Index (RPI). This is derived using the </w:t>
      </w:r>
      <w:proofErr w:type="gramStart"/>
      <w:r w:rsidRPr="00741A8B">
        <w:rPr>
          <w:rFonts w:ascii="Segoe UI" w:eastAsia="Segoe UI" w:hAnsi="Segoe UI"/>
          <w:sz w:val="20"/>
          <w:szCs w:val="20"/>
          <w:lang w:eastAsia="en-US"/>
        </w:rPr>
        <w:t>20 year</w:t>
      </w:r>
      <w:proofErr w:type="gramEnd"/>
      <w:r w:rsidRPr="00741A8B">
        <w:rPr>
          <w:rFonts w:ascii="Segoe UI" w:eastAsia="Segoe UI" w:hAnsi="Segoe UI"/>
          <w:sz w:val="20"/>
          <w:szCs w:val="20"/>
          <w:lang w:eastAsia="en-US"/>
        </w:rPr>
        <w:t xml:space="preserve"> point on the Bank of England implied Retail Price Index (RPI) inflation curve, with consideration of the market conditions over the six months straddling the valuation date. The </w:t>
      </w:r>
      <w:proofErr w:type="gramStart"/>
      <w:r w:rsidRPr="00741A8B">
        <w:rPr>
          <w:rFonts w:ascii="Segoe UI" w:eastAsia="Segoe UI" w:hAnsi="Segoe UI"/>
          <w:sz w:val="20"/>
          <w:szCs w:val="20"/>
          <w:lang w:eastAsia="en-US"/>
        </w:rPr>
        <w:t>20 year</w:t>
      </w:r>
      <w:proofErr w:type="gramEnd"/>
      <w:r w:rsidRPr="00741A8B">
        <w:rPr>
          <w:rFonts w:ascii="Segoe UI" w:eastAsia="Segoe UI" w:hAnsi="Segoe UI"/>
          <w:sz w:val="20"/>
          <w:szCs w:val="20"/>
          <w:lang w:eastAsia="en-US"/>
        </w:rPr>
        <w:t xml:space="preserve"> point on the curve is taken as 20 years is consistent with the average duration of an LGPS Fund. A deduction of 0.3% p.a. is applied to the yield at the </w:t>
      </w:r>
      <w:proofErr w:type="gramStart"/>
      <w:r w:rsidRPr="00741A8B">
        <w:rPr>
          <w:rFonts w:ascii="Segoe UI" w:eastAsia="Segoe UI" w:hAnsi="Segoe UI"/>
          <w:sz w:val="20"/>
          <w:szCs w:val="20"/>
          <w:lang w:eastAsia="en-US"/>
        </w:rPr>
        <w:t>20 year</w:t>
      </w:r>
      <w:proofErr w:type="gramEnd"/>
      <w:r w:rsidRPr="00741A8B">
        <w:rPr>
          <w:rFonts w:ascii="Segoe UI" w:eastAsia="Segoe UI" w:hAnsi="Segoe UI"/>
          <w:sz w:val="20"/>
          <w:szCs w:val="20"/>
          <w:lang w:eastAsia="en-US"/>
        </w:rPr>
        <w:t xml:space="preserve"> point to reflect the shape of the yield curve. A further deduction of 0.4% p.a. is applied to reflect the view that investors are willing to pay a premium for inflation-linked products in return for protection against unexpected inflation.</w:t>
      </w:r>
    </w:p>
    <w:p w14:paraId="0EE3016E" w14:textId="77777777" w:rsidR="00741A8B" w:rsidRPr="00741A8B" w:rsidRDefault="00741A8B" w:rsidP="00741A8B">
      <w:pPr>
        <w:keepNext/>
        <w:spacing w:before="240" w:after="60"/>
        <w:outlineLvl w:val="2"/>
        <w:rPr>
          <w:rFonts w:ascii="Segoe UI Semibold" w:hAnsi="Segoe UI Semibold"/>
          <w:bCs/>
          <w:color w:val="68C0B5"/>
          <w:szCs w:val="26"/>
          <w:lang w:eastAsia="en-US"/>
        </w:rPr>
      </w:pPr>
      <w:r w:rsidRPr="00741A8B">
        <w:rPr>
          <w:rFonts w:ascii="Segoe UI Semibold" w:hAnsi="Segoe UI Semibold"/>
          <w:bCs/>
          <w:color w:val="68C0B5"/>
          <w:szCs w:val="26"/>
          <w:lang w:eastAsia="en-US"/>
        </w:rPr>
        <w:t xml:space="preserve">Future pension </w:t>
      </w:r>
      <w:proofErr w:type="gramStart"/>
      <w:r w:rsidRPr="00741A8B">
        <w:rPr>
          <w:rFonts w:ascii="Segoe UI Semibold" w:hAnsi="Segoe UI Semibold"/>
          <w:bCs/>
          <w:color w:val="68C0B5"/>
          <w:szCs w:val="26"/>
          <w:lang w:eastAsia="en-US"/>
        </w:rPr>
        <w:t>increases</w:t>
      </w:r>
      <w:proofErr w:type="gramEnd"/>
    </w:p>
    <w:p w14:paraId="35BA8BEA"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Pension increases are linked to changes in the level of the Consumer Price Index (CPI). Inflation as measured by the CPI has historically been less than RPI due mainly to different calculation methods. However, RPI is due to be aligned with CPIH (CPI but with allowance for housing costs) from 2030.</w:t>
      </w:r>
    </w:p>
    <w:p w14:paraId="50965744"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 xml:space="preserve">Therefore, reflecting the anticipated amendment to RPI from 2030 and therefore the relative difference between RPI and CPI, a deduction of 0.35% p.a. is made to the RPI assumption to derive the CPI assumption. </w:t>
      </w:r>
    </w:p>
    <w:p w14:paraId="329E9B94" w14:textId="77777777" w:rsidR="00741A8B" w:rsidRPr="00741A8B" w:rsidRDefault="00741A8B" w:rsidP="00741A8B">
      <w:pPr>
        <w:keepNext/>
        <w:spacing w:before="240" w:after="60"/>
        <w:outlineLvl w:val="2"/>
        <w:rPr>
          <w:rFonts w:ascii="Segoe UI Semibold" w:hAnsi="Segoe UI Semibold"/>
          <w:bCs/>
          <w:color w:val="68C0B5"/>
          <w:szCs w:val="26"/>
          <w:lang w:eastAsia="en-US"/>
        </w:rPr>
      </w:pPr>
      <w:r w:rsidRPr="00741A8B">
        <w:rPr>
          <w:rFonts w:ascii="Segoe UI Semibold" w:hAnsi="Segoe UI Semibold"/>
          <w:bCs/>
          <w:color w:val="68C0B5"/>
          <w:szCs w:val="26"/>
          <w:lang w:eastAsia="en-US"/>
        </w:rPr>
        <w:t xml:space="preserve">Future </w:t>
      </w:r>
      <w:proofErr w:type="gramStart"/>
      <w:r w:rsidRPr="00741A8B">
        <w:rPr>
          <w:rFonts w:ascii="Segoe UI Semibold" w:hAnsi="Segoe UI Semibold"/>
          <w:bCs/>
          <w:color w:val="68C0B5"/>
          <w:szCs w:val="26"/>
          <w:lang w:eastAsia="en-US"/>
        </w:rPr>
        <w:t>pay</w:t>
      </w:r>
      <w:proofErr w:type="gramEnd"/>
      <w:r w:rsidRPr="00741A8B">
        <w:rPr>
          <w:rFonts w:ascii="Segoe UI Semibold" w:hAnsi="Segoe UI Semibold"/>
          <w:bCs/>
          <w:color w:val="68C0B5"/>
          <w:szCs w:val="26"/>
          <w:lang w:eastAsia="en-US"/>
        </w:rPr>
        <w:t xml:space="preserve"> increases</w:t>
      </w:r>
    </w:p>
    <w:p w14:paraId="09C3485F"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 xml:space="preserve">As some of the benefits are linked to pay levels at retirement, it is necessary to </w:t>
      </w:r>
      <w:proofErr w:type="gramStart"/>
      <w:r w:rsidRPr="00741A8B">
        <w:rPr>
          <w:rFonts w:ascii="Segoe UI" w:eastAsia="Segoe UI" w:hAnsi="Segoe UI"/>
          <w:sz w:val="20"/>
          <w:szCs w:val="20"/>
          <w:lang w:eastAsia="en-US"/>
        </w:rPr>
        <w:t>make an assumption</w:t>
      </w:r>
      <w:proofErr w:type="gramEnd"/>
      <w:r w:rsidRPr="00741A8B">
        <w:rPr>
          <w:rFonts w:ascii="Segoe UI" w:eastAsia="Segoe UI" w:hAnsi="Segoe UI"/>
          <w:sz w:val="20"/>
          <w:szCs w:val="20"/>
          <w:lang w:eastAsia="en-US"/>
        </w:rPr>
        <w:t xml:space="preserve"> as to future levels of pay increases. Historically, there has been a close link between price inflation and pay increases with pay increases exceeding price inflation in the longer term. The long-term pay increase assumption adopted as </w:t>
      </w:r>
      <w:proofErr w:type="gramStart"/>
      <w:r w:rsidRPr="00741A8B">
        <w:rPr>
          <w:rFonts w:ascii="Segoe UI" w:eastAsia="Segoe UI" w:hAnsi="Segoe UI"/>
          <w:sz w:val="20"/>
          <w:szCs w:val="20"/>
          <w:lang w:eastAsia="en-US"/>
        </w:rPr>
        <w:t>at</w:t>
      </w:r>
      <w:proofErr w:type="gramEnd"/>
      <w:r w:rsidRPr="00741A8B">
        <w:rPr>
          <w:rFonts w:ascii="Segoe UI" w:eastAsia="Segoe UI" w:hAnsi="Segoe UI"/>
          <w:sz w:val="20"/>
          <w:szCs w:val="20"/>
          <w:lang w:eastAsia="en-US"/>
        </w:rPr>
        <w:t xml:space="preserve"> 31 March 2022 was CPI plus 1.0% p.a. which includes allowance for promotional increases.</w:t>
      </w:r>
    </w:p>
    <w:p w14:paraId="23BC228E" w14:textId="77777777" w:rsidR="00741A8B" w:rsidRPr="00741A8B" w:rsidRDefault="00741A8B" w:rsidP="00741A8B">
      <w:pPr>
        <w:keepNext/>
        <w:spacing w:before="240" w:after="60"/>
        <w:outlineLvl w:val="2"/>
        <w:rPr>
          <w:rFonts w:ascii="Segoe UI Semibold" w:hAnsi="Segoe UI Semibold"/>
          <w:bCs/>
          <w:color w:val="68C0B5"/>
          <w:szCs w:val="26"/>
          <w:lang w:eastAsia="en-US"/>
        </w:rPr>
      </w:pPr>
      <w:r w:rsidRPr="00741A8B">
        <w:rPr>
          <w:rFonts w:ascii="Segoe UI Semibold" w:hAnsi="Segoe UI Semibold"/>
          <w:bCs/>
          <w:color w:val="68C0B5"/>
          <w:szCs w:val="26"/>
          <w:lang w:eastAsia="en-US"/>
        </w:rPr>
        <w:t>Future investment returns/discount rate</w:t>
      </w:r>
    </w:p>
    <w:p w14:paraId="0386645A"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To determine the value of accrued liabilities and derive future contribution requirements it is necessary to discount future payments to and from the Fund to present day values.</w:t>
      </w:r>
    </w:p>
    <w:p w14:paraId="55C47E1A"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 xml:space="preserve">The discount rate that is applied to all projected liabilities reflects a prudent estimate of the rate of investment return that is expected to be earned from the Fund’s long-term investment strategy by considering average market yields in the six months straddling the valuation date. The discount rate so determined may be referred to as the “ongoing” discount rate. </w:t>
      </w:r>
    </w:p>
    <w:p w14:paraId="6E268821"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It may be appropriate for an alternative discount rate approach to be taken to reflect an individual employer’s situation. This may be, for example, to reflect an employer targeting a cessation event or to reflect the administering authority’s views on the level of risk that an employer poses to the Fund. The Fund Actuary will incorporate any such adjustments after consultation with the administering authority.</w:t>
      </w:r>
    </w:p>
    <w:p w14:paraId="57414E47" w14:textId="77777777" w:rsidR="00741A8B" w:rsidRPr="00741A8B" w:rsidRDefault="00741A8B" w:rsidP="00741A8B">
      <w:pPr>
        <w:spacing w:after="200"/>
        <w:rPr>
          <w:rFonts w:ascii="Segoe UI" w:eastAsia="Segoe UI" w:hAnsi="Segoe UI"/>
          <w:sz w:val="20"/>
          <w:szCs w:val="20"/>
          <w:lang w:eastAsia="en-US"/>
        </w:rPr>
      </w:pPr>
      <w:r w:rsidRPr="00741A8B">
        <w:rPr>
          <w:rFonts w:ascii="Segoe UI" w:eastAsia="Segoe UI" w:hAnsi="Segoe UI"/>
          <w:sz w:val="20"/>
          <w:szCs w:val="20"/>
          <w:lang w:eastAsia="en-US"/>
        </w:rPr>
        <w:t>A summary of the financial assumptions adopted for the 2022 valuation is set out in the table below:</w:t>
      </w:r>
    </w:p>
    <w:tbl>
      <w:tblPr>
        <w:tblStyle w:val="bwTable"/>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827"/>
      </w:tblGrid>
      <w:tr w:rsidR="00741A8B" w:rsidRPr="00741A8B" w14:paraId="2EE77678" w14:textId="77777777" w:rsidTr="006E1769">
        <w:trPr>
          <w:cnfStyle w:val="100000000000" w:firstRow="1" w:lastRow="0" w:firstColumn="0" w:lastColumn="0" w:oddVBand="0" w:evenVBand="0" w:oddHBand="0" w:evenHBand="0" w:firstRowFirstColumn="0" w:firstRowLastColumn="0" w:lastRowFirstColumn="0" w:lastRowLastColumn="0"/>
        </w:trPr>
        <w:tc>
          <w:tcPr>
            <w:tcW w:w="6096" w:type="dxa"/>
            <w:tcBorders>
              <w:top w:val="single" w:sz="4" w:space="0" w:color="009FE3"/>
              <w:bottom w:val="single" w:sz="4" w:space="0" w:color="009FE3"/>
            </w:tcBorders>
            <w:shd w:val="clear" w:color="auto" w:fill="auto"/>
          </w:tcPr>
          <w:p w14:paraId="7F64D008" w14:textId="77777777" w:rsidR="00741A8B" w:rsidRPr="00741A8B" w:rsidRDefault="00741A8B" w:rsidP="00741A8B">
            <w:pPr>
              <w:rPr>
                <w:rFonts w:ascii="Segoe UI" w:eastAsia="Segoe UI" w:hAnsi="Segoe UI"/>
                <w:b/>
                <w:color w:val="41C0F0"/>
                <w:sz w:val="20"/>
                <w:szCs w:val="32"/>
                <w:lang w:eastAsia="en-US"/>
              </w:rPr>
            </w:pPr>
            <w:r w:rsidRPr="00741A8B">
              <w:rPr>
                <w:rFonts w:ascii="Segoe UI" w:eastAsia="Segoe UI" w:hAnsi="Segoe UI"/>
                <w:color w:val="41C0F0"/>
                <w:sz w:val="20"/>
                <w:szCs w:val="32"/>
                <w:lang w:eastAsia="en-US"/>
              </w:rPr>
              <w:t xml:space="preserve">Financial assumptions as </w:t>
            </w:r>
            <w:proofErr w:type="gramStart"/>
            <w:r w:rsidRPr="00741A8B">
              <w:rPr>
                <w:rFonts w:ascii="Segoe UI" w:eastAsia="Segoe UI" w:hAnsi="Segoe UI"/>
                <w:color w:val="41C0F0"/>
                <w:sz w:val="20"/>
                <w:szCs w:val="32"/>
                <w:lang w:eastAsia="en-US"/>
              </w:rPr>
              <w:t>at</w:t>
            </w:r>
            <w:proofErr w:type="gramEnd"/>
            <w:r w:rsidRPr="00741A8B">
              <w:rPr>
                <w:rFonts w:ascii="Segoe UI" w:eastAsia="Segoe UI" w:hAnsi="Segoe UI"/>
                <w:color w:val="41C0F0"/>
                <w:sz w:val="20"/>
                <w:szCs w:val="32"/>
                <w:lang w:eastAsia="en-US"/>
              </w:rPr>
              <w:t xml:space="preserve"> 31 March 2022</w:t>
            </w:r>
          </w:p>
        </w:tc>
        <w:tc>
          <w:tcPr>
            <w:tcW w:w="3827" w:type="dxa"/>
            <w:tcBorders>
              <w:top w:val="single" w:sz="4" w:space="0" w:color="009FE3"/>
              <w:bottom w:val="single" w:sz="4" w:space="0" w:color="009FE3"/>
            </w:tcBorders>
            <w:shd w:val="clear" w:color="auto" w:fill="auto"/>
          </w:tcPr>
          <w:p w14:paraId="598DC5BB" w14:textId="77777777" w:rsidR="00741A8B" w:rsidRPr="00741A8B" w:rsidRDefault="00741A8B" w:rsidP="00741A8B">
            <w:pPr>
              <w:jc w:val="center"/>
              <w:rPr>
                <w:rFonts w:ascii="Segoe UI" w:eastAsia="Segoe UI" w:hAnsi="Segoe UI"/>
                <w:b/>
                <w:color w:val="41C0F0"/>
                <w:sz w:val="20"/>
                <w:szCs w:val="32"/>
                <w:lang w:eastAsia="en-US"/>
              </w:rPr>
            </w:pPr>
          </w:p>
        </w:tc>
      </w:tr>
      <w:tr w:rsidR="00741A8B" w:rsidRPr="00741A8B" w14:paraId="46A6EEE1" w14:textId="77777777" w:rsidTr="006E1769">
        <w:trPr>
          <w:cnfStyle w:val="000000100000" w:firstRow="0" w:lastRow="0" w:firstColumn="0" w:lastColumn="0" w:oddVBand="0" w:evenVBand="0" w:oddHBand="1" w:evenHBand="0" w:firstRowFirstColumn="0" w:firstRowLastColumn="0" w:lastRowFirstColumn="0" w:lastRowLastColumn="0"/>
        </w:trPr>
        <w:tc>
          <w:tcPr>
            <w:tcW w:w="6096" w:type="dxa"/>
            <w:tcBorders>
              <w:top w:val="single" w:sz="4" w:space="0" w:color="C0C0C0"/>
            </w:tcBorders>
            <w:shd w:val="clear" w:color="auto" w:fill="auto"/>
          </w:tcPr>
          <w:p w14:paraId="00B8A3C7" w14:textId="77777777" w:rsidR="00741A8B" w:rsidRPr="00741A8B" w:rsidRDefault="00741A8B" w:rsidP="00741A8B">
            <w:pPr>
              <w:rPr>
                <w:rFonts w:ascii="Segoe UI" w:eastAsia="Segoe UI" w:hAnsi="Segoe UI"/>
                <w:sz w:val="20"/>
                <w:szCs w:val="32"/>
                <w:lang w:eastAsia="en-US"/>
              </w:rPr>
            </w:pPr>
            <w:r w:rsidRPr="00741A8B">
              <w:rPr>
                <w:rFonts w:ascii="Segoe UI" w:eastAsia="Segoe UI" w:hAnsi="Segoe UI"/>
                <w:sz w:val="20"/>
                <w:szCs w:val="32"/>
                <w:lang w:eastAsia="en-US"/>
              </w:rPr>
              <w:t>CPI inflation</w:t>
            </w:r>
          </w:p>
        </w:tc>
        <w:tc>
          <w:tcPr>
            <w:tcW w:w="3827" w:type="dxa"/>
            <w:tcBorders>
              <w:top w:val="single" w:sz="4" w:space="0" w:color="C0C0C0"/>
            </w:tcBorders>
            <w:shd w:val="clear" w:color="auto" w:fill="auto"/>
          </w:tcPr>
          <w:p w14:paraId="466FB606" w14:textId="77777777" w:rsidR="00741A8B" w:rsidRPr="00741A8B" w:rsidRDefault="00741A8B" w:rsidP="00741A8B">
            <w:pPr>
              <w:jc w:val="center"/>
              <w:rPr>
                <w:rFonts w:ascii="Segoe UI" w:eastAsia="Segoe UI" w:hAnsi="Segoe UI"/>
                <w:sz w:val="20"/>
                <w:szCs w:val="32"/>
                <w:highlight w:val="yellow"/>
                <w:lang w:eastAsia="en-US"/>
              </w:rPr>
            </w:pPr>
            <w:r w:rsidRPr="00741A8B">
              <w:rPr>
                <w:rFonts w:ascii="Segoe UI" w:eastAsia="Segoe UI" w:hAnsi="Segoe UI"/>
                <w:sz w:val="20"/>
                <w:szCs w:val="32"/>
                <w:lang w:eastAsia="en-US"/>
              </w:rPr>
              <w:t>2.9% p.a.</w:t>
            </w:r>
          </w:p>
        </w:tc>
      </w:tr>
      <w:tr w:rsidR="00741A8B" w:rsidRPr="00741A8B" w14:paraId="1D2A4098" w14:textId="77777777" w:rsidTr="006E1769">
        <w:trPr>
          <w:cnfStyle w:val="000000010000" w:firstRow="0" w:lastRow="0" w:firstColumn="0" w:lastColumn="0" w:oddVBand="0" w:evenVBand="0" w:oddHBand="0" w:evenHBand="1" w:firstRowFirstColumn="0" w:firstRowLastColumn="0" w:lastRowFirstColumn="0" w:lastRowLastColumn="0"/>
        </w:trPr>
        <w:tc>
          <w:tcPr>
            <w:tcW w:w="6096" w:type="dxa"/>
            <w:tcBorders>
              <w:top w:val="single" w:sz="4" w:space="0" w:color="C0C0C0"/>
            </w:tcBorders>
            <w:shd w:val="clear" w:color="auto" w:fill="auto"/>
          </w:tcPr>
          <w:p w14:paraId="0D2705DB" w14:textId="77777777" w:rsidR="00741A8B" w:rsidRPr="00741A8B" w:rsidRDefault="00741A8B" w:rsidP="00741A8B">
            <w:pPr>
              <w:rPr>
                <w:rFonts w:ascii="Segoe UI" w:eastAsia="Segoe UI" w:hAnsi="Segoe UI"/>
                <w:sz w:val="20"/>
                <w:szCs w:val="32"/>
                <w:lang w:eastAsia="en-US"/>
              </w:rPr>
            </w:pPr>
            <w:r w:rsidRPr="00741A8B">
              <w:rPr>
                <w:rFonts w:ascii="Segoe UI" w:eastAsia="Segoe UI" w:hAnsi="Segoe UI"/>
                <w:sz w:val="20"/>
                <w:szCs w:val="32"/>
                <w:lang w:eastAsia="en-US"/>
              </w:rPr>
              <w:t>Pension/deferred pension increases and CARE revaluation</w:t>
            </w:r>
          </w:p>
        </w:tc>
        <w:tc>
          <w:tcPr>
            <w:tcW w:w="3827" w:type="dxa"/>
            <w:tcBorders>
              <w:top w:val="single" w:sz="4" w:space="0" w:color="C0C0C0"/>
            </w:tcBorders>
            <w:shd w:val="clear" w:color="auto" w:fill="auto"/>
          </w:tcPr>
          <w:p w14:paraId="2D186D6A" w14:textId="77777777" w:rsidR="00741A8B" w:rsidRPr="00741A8B" w:rsidRDefault="00741A8B" w:rsidP="00741A8B">
            <w:pPr>
              <w:jc w:val="center"/>
              <w:rPr>
                <w:rFonts w:ascii="Segoe UI" w:eastAsia="Segoe UI" w:hAnsi="Segoe UI"/>
                <w:sz w:val="20"/>
                <w:szCs w:val="32"/>
                <w:highlight w:val="yellow"/>
                <w:lang w:eastAsia="en-US"/>
              </w:rPr>
            </w:pPr>
            <w:r w:rsidRPr="00741A8B">
              <w:rPr>
                <w:rFonts w:ascii="Segoe UI" w:eastAsia="Segoe UI" w:hAnsi="Segoe UI"/>
                <w:sz w:val="20"/>
                <w:szCs w:val="32"/>
                <w:lang w:eastAsia="en-US"/>
              </w:rPr>
              <w:t>In line with CPI inflation</w:t>
            </w:r>
          </w:p>
        </w:tc>
      </w:tr>
      <w:tr w:rsidR="00741A8B" w:rsidRPr="00741A8B" w14:paraId="6D76A62B" w14:textId="77777777" w:rsidTr="006E1769">
        <w:trPr>
          <w:cnfStyle w:val="000000100000" w:firstRow="0" w:lastRow="0" w:firstColumn="0" w:lastColumn="0" w:oddVBand="0" w:evenVBand="0" w:oddHBand="1" w:evenHBand="0" w:firstRowFirstColumn="0" w:firstRowLastColumn="0" w:lastRowFirstColumn="0" w:lastRowLastColumn="0"/>
        </w:trPr>
        <w:tc>
          <w:tcPr>
            <w:tcW w:w="6096" w:type="dxa"/>
            <w:tcBorders>
              <w:top w:val="single" w:sz="4" w:space="0" w:color="C0C0C0"/>
              <w:bottom w:val="single" w:sz="4" w:space="0" w:color="C0C0C0"/>
            </w:tcBorders>
            <w:shd w:val="clear" w:color="auto" w:fill="auto"/>
          </w:tcPr>
          <w:p w14:paraId="78FCCCD3" w14:textId="77777777" w:rsidR="00741A8B" w:rsidRPr="00741A8B" w:rsidRDefault="00741A8B" w:rsidP="00741A8B">
            <w:pPr>
              <w:rPr>
                <w:rFonts w:ascii="Segoe UI" w:eastAsia="Segoe UI" w:hAnsi="Segoe UI"/>
                <w:sz w:val="20"/>
                <w:szCs w:val="32"/>
                <w:lang w:eastAsia="en-US"/>
              </w:rPr>
            </w:pPr>
            <w:r w:rsidRPr="00741A8B">
              <w:rPr>
                <w:rFonts w:ascii="Segoe UI" w:eastAsia="Segoe UI" w:hAnsi="Segoe UI"/>
                <w:sz w:val="20"/>
                <w:szCs w:val="32"/>
                <w:lang w:eastAsia="en-US"/>
              </w:rPr>
              <w:t>Pay increases</w:t>
            </w:r>
          </w:p>
        </w:tc>
        <w:tc>
          <w:tcPr>
            <w:tcW w:w="3827" w:type="dxa"/>
            <w:tcBorders>
              <w:top w:val="single" w:sz="4" w:space="0" w:color="C0C0C0"/>
              <w:bottom w:val="single" w:sz="4" w:space="0" w:color="C0C0C0"/>
            </w:tcBorders>
            <w:shd w:val="clear" w:color="auto" w:fill="auto"/>
          </w:tcPr>
          <w:p w14:paraId="154AB10B" w14:textId="77777777" w:rsidR="00741A8B" w:rsidRPr="00741A8B" w:rsidRDefault="00741A8B" w:rsidP="00741A8B">
            <w:pPr>
              <w:jc w:val="center"/>
              <w:rPr>
                <w:rFonts w:ascii="Segoe UI" w:eastAsia="Segoe UI" w:hAnsi="Segoe UI"/>
                <w:sz w:val="20"/>
                <w:szCs w:val="32"/>
                <w:lang w:eastAsia="en-US"/>
              </w:rPr>
            </w:pPr>
            <w:r w:rsidRPr="00741A8B">
              <w:rPr>
                <w:rFonts w:ascii="Segoe UI" w:eastAsia="Segoe UI" w:hAnsi="Segoe UI"/>
                <w:sz w:val="20"/>
                <w:szCs w:val="32"/>
                <w:lang w:eastAsia="en-US"/>
              </w:rPr>
              <w:t>CPI inflation + 1.0% p.a.</w:t>
            </w:r>
          </w:p>
        </w:tc>
      </w:tr>
      <w:tr w:rsidR="00741A8B" w:rsidRPr="00741A8B" w14:paraId="001C82F9" w14:textId="77777777" w:rsidTr="006E1769">
        <w:trPr>
          <w:cnfStyle w:val="000000010000" w:firstRow="0" w:lastRow="0" w:firstColumn="0" w:lastColumn="0" w:oddVBand="0" w:evenVBand="0" w:oddHBand="0" w:evenHBand="1" w:firstRowFirstColumn="0" w:firstRowLastColumn="0" w:lastRowFirstColumn="0" w:lastRowLastColumn="0"/>
        </w:trPr>
        <w:tc>
          <w:tcPr>
            <w:tcW w:w="6096" w:type="dxa"/>
            <w:tcBorders>
              <w:top w:val="single" w:sz="4" w:space="0" w:color="C0C0C0"/>
            </w:tcBorders>
            <w:shd w:val="clear" w:color="auto" w:fill="auto"/>
          </w:tcPr>
          <w:p w14:paraId="7BD1C225" w14:textId="77777777" w:rsidR="00741A8B" w:rsidRPr="00741A8B" w:rsidRDefault="00741A8B" w:rsidP="00741A8B">
            <w:pPr>
              <w:rPr>
                <w:rFonts w:ascii="Segoe UI" w:eastAsia="Segoe UI" w:hAnsi="Segoe UI"/>
                <w:sz w:val="20"/>
                <w:szCs w:val="32"/>
                <w:lang w:eastAsia="en-US"/>
              </w:rPr>
            </w:pPr>
            <w:r w:rsidRPr="00741A8B">
              <w:rPr>
                <w:rFonts w:ascii="Segoe UI" w:eastAsia="Segoe UI" w:hAnsi="Segoe UI"/>
                <w:sz w:val="20"/>
                <w:szCs w:val="32"/>
                <w:lang w:eastAsia="en-US"/>
              </w:rPr>
              <w:t>Discount rate</w:t>
            </w:r>
          </w:p>
        </w:tc>
        <w:tc>
          <w:tcPr>
            <w:tcW w:w="3827" w:type="dxa"/>
            <w:tcBorders>
              <w:top w:val="single" w:sz="4" w:space="0" w:color="C0C0C0"/>
            </w:tcBorders>
            <w:shd w:val="clear" w:color="auto" w:fill="auto"/>
          </w:tcPr>
          <w:p w14:paraId="3911EF77" w14:textId="77777777" w:rsidR="00741A8B" w:rsidRPr="00741A8B" w:rsidRDefault="00741A8B" w:rsidP="00741A8B">
            <w:pPr>
              <w:jc w:val="center"/>
              <w:rPr>
                <w:rFonts w:ascii="Segoe UI" w:eastAsia="Segoe UI" w:hAnsi="Segoe UI"/>
                <w:sz w:val="20"/>
                <w:szCs w:val="32"/>
                <w:highlight w:val="yellow"/>
                <w:lang w:eastAsia="en-US"/>
              </w:rPr>
            </w:pPr>
            <w:r w:rsidRPr="00741A8B">
              <w:rPr>
                <w:rFonts w:ascii="Segoe UI" w:eastAsia="Segoe UI" w:hAnsi="Segoe UI"/>
                <w:sz w:val="20"/>
                <w:szCs w:val="32"/>
                <w:lang w:eastAsia="en-US"/>
              </w:rPr>
              <w:t>4.3% p.a.</w:t>
            </w:r>
          </w:p>
        </w:tc>
      </w:tr>
    </w:tbl>
    <w:p w14:paraId="60D93CA8" w14:textId="77777777" w:rsidR="00741A8B" w:rsidRPr="00741A8B" w:rsidRDefault="00741A8B" w:rsidP="00741A8B">
      <w:pPr>
        <w:spacing w:after="200"/>
        <w:rPr>
          <w:rFonts w:ascii="Segoe UI" w:eastAsia="Segoe UI" w:hAnsi="Segoe UI"/>
          <w:sz w:val="20"/>
          <w:szCs w:val="20"/>
          <w:lang w:eastAsia="en-US"/>
        </w:rPr>
      </w:pPr>
    </w:p>
    <w:p w14:paraId="08F8EDB3" w14:textId="77777777" w:rsidR="00741A8B" w:rsidRPr="00741A8B" w:rsidRDefault="00741A8B" w:rsidP="00741A8B">
      <w:pPr>
        <w:keepNext/>
        <w:spacing w:before="240" w:after="60"/>
        <w:outlineLvl w:val="2"/>
        <w:rPr>
          <w:rFonts w:ascii="Segoe UI Semibold" w:hAnsi="Segoe UI Semibold"/>
          <w:bCs/>
          <w:color w:val="68C0B5"/>
          <w:szCs w:val="26"/>
          <w:lang w:eastAsia="en-US"/>
        </w:rPr>
      </w:pPr>
      <w:r w:rsidRPr="00741A8B">
        <w:rPr>
          <w:rFonts w:ascii="Segoe UI Semibold" w:hAnsi="Segoe UI Semibold"/>
          <w:bCs/>
          <w:color w:val="68C0B5"/>
          <w:szCs w:val="26"/>
          <w:lang w:eastAsia="en-US"/>
        </w:rPr>
        <w:t>Asset valuation</w:t>
      </w:r>
    </w:p>
    <w:p w14:paraId="50C3A6C5" w14:textId="77777777" w:rsidR="00741A8B" w:rsidRPr="00741A8B" w:rsidRDefault="00741A8B" w:rsidP="00741A8B">
      <w:pPr>
        <w:spacing w:after="200"/>
        <w:rPr>
          <w:rFonts w:ascii="Segoe UI" w:eastAsia="Segoe UI" w:hAnsi="Segoe UI"/>
          <w:sz w:val="20"/>
          <w:szCs w:val="20"/>
          <w:lang w:eastAsia="en-US"/>
        </w:rPr>
      </w:pPr>
      <w:proofErr w:type="gramStart"/>
      <w:r w:rsidRPr="00741A8B">
        <w:rPr>
          <w:rFonts w:ascii="Segoe UI" w:eastAsia="Segoe UI" w:hAnsi="Segoe UI"/>
          <w:sz w:val="20"/>
          <w:szCs w:val="20"/>
          <w:lang w:eastAsia="en-US"/>
        </w:rPr>
        <w:t>For the purpose of</w:t>
      </w:r>
      <w:proofErr w:type="gramEnd"/>
      <w:r w:rsidRPr="00741A8B">
        <w:rPr>
          <w:rFonts w:ascii="Segoe UI" w:eastAsia="Segoe UI" w:hAnsi="Segoe UI"/>
          <w:sz w:val="20"/>
          <w:szCs w:val="20"/>
          <w:lang w:eastAsia="en-US"/>
        </w:rPr>
        <w:t xml:space="preserve"> the valuation, the asset value used is the market value of the accumulated fund at the valuation date, adjusted to reflect average market conditions during the six months straddling the valuation date. This is referred to as the smoothed asset value and is calculated as a consistent approach to the valuation of the liabilities. </w:t>
      </w:r>
    </w:p>
    <w:p w14:paraId="01CEBF57" w14:textId="77777777" w:rsidR="00981096" w:rsidRPr="00981096" w:rsidRDefault="00981096" w:rsidP="00981096">
      <w:pPr>
        <w:rPr>
          <w:rFonts w:ascii="Segoe UI" w:eastAsia="Segoe UI" w:hAnsi="Segoe UI"/>
          <w:sz w:val="20"/>
          <w:szCs w:val="20"/>
        </w:rPr>
      </w:pPr>
    </w:p>
    <w:p w14:paraId="0C070F03" w14:textId="77777777" w:rsidR="00D06770" w:rsidRDefault="00D06770" w:rsidP="004639B0">
      <w:pPr>
        <w:spacing w:after="200"/>
        <w:rPr>
          <w:rFonts w:ascii="Segoe UI" w:eastAsia="Segoe UI" w:hAnsi="Segoe UI"/>
          <w:sz w:val="20"/>
          <w:szCs w:val="20"/>
          <w:lang w:eastAsia="en-US"/>
        </w:rPr>
      </w:pPr>
    </w:p>
    <w:p w14:paraId="2A9C8171"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The Fund’s assets are notionally allocated to employers at an individual level by allowing for actual Fund returns achieved on the assets and cashflows paid into and out of the Fund in respect of each employer (</w:t>
      </w:r>
      <w:proofErr w:type="gramStart"/>
      <w:r w:rsidRPr="00780624">
        <w:rPr>
          <w:rFonts w:ascii="Segoe UI" w:eastAsia="Segoe UI" w:hAnsi="Segoe UI"/>
          <w:sz w:val="20"/>
          <w:szCs w:val="20"/>
          <w:lang w:eastAsia="en-US"/>
        </w:rPr>
        <w:t>e.g.</w:t>
      </w:r>
      <w:proofErr w:type="gramEnd"/>
      <w:r w:rsidRPr="00780624">
        <w:rPr>
          <w:rFonts w:ascii="Segoe UI" w:eastAsia="Segoe UI" w:hAnsi="Segoe UI"/>
          <w:sz w:val="20"/>
          <w:szCs w:val="20"/>
          <w:lang w:eastAsia="en-US"/>
        </w:rPr>
        <w:t xml:space="preserve"> contributions received and benefits paid).</w:t>
      </w:r>
    </w:p>
    <w:p w14:paraId="511E9EB2" w14:textId="77777777" w:rsidR="00780624" w:rsidRPr="00780624" w:rsidRDefault="00780624" w:rsidP="00780624">
      <w:pPr>
        <w:keepNext/>
        <w:spacing w:before="240" w:after="60"/>
        <w:outlineLvl w:val="2"/>
        <w:rPr>
          <w:rFonts w:ascii="Segoe UI Semibold" w:hAnsi="Segoe UI Semibold"/>
          <w:bCs/>
          <w:color w:val="68C0B5"/>
          <w:szCs w:val="26"/>
          <w:lang w:eastAsia="en-US"/>
        </w:rPr>
      </w:pPr>
      <w:r w:rsidRPr="00780624">
        <w:rPr>
          <w:rFonts w:ascii="Segoe UI Semibold" w:hAnsi="Segoe UI Semibold"/>
          <w:bCs/>
          <w:color w:val="68C0B5"/>
          <w:szCs w:val="26"/>
          <w:lang w:eastAsia="en-US"/>
        </w:rPr>
        <w:t>Demographic assumptions</w:t>
      </w:r>
    </w:p>
    <w:p w14:paraId="1EBAF9EB"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The demographic assumptions incorporated into the valuation are based on Fund-specific experience and national statistics, adjusted as appropriate to reflect the individual circumstances of the Fund and/or individual employers.</w:t>
      </w:r>
    </w:p>
    <w:p w14:paraId="06126B64"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Further details of the assumptions adopted are included in the Fund’s 2022 valuation report.</w:t>
      </w:r>
    </w:p>
    <w:p w14:paraId="0BAE8597" w14:textId="77777777" w:rsidR="00780624" w:rsidRPr="00780624" w:rsidRDefault="00780624" w:rsidP="00780624">
      <w:pPr>
        <w:keepNext/>
        <w:spacing w:before="240" w:after="60"/>
        <w:outlineLvl w:val="2"/>
        <w:rPr>
          <w:rFonts w:ascii="Segoe UI Semibold" w:hAnsi="Segoe UI Semibold"/>
          <w:bCs/>
          <w:color w:val="68C0B5"/>
          <w:szCs w:val="26"/>
          <w:lang w:eastAsia="en-US"/>
        </w:rPr>
      </w:pPr>
      <w:r w:rsidRPr="00780624">
        <w:rPr>
          <w:rFonts w:ascii="Segoe UI Semibold" w:hAnsi="Segoe UI Semibold"/>
          <w:bCs/>
          <w:color w:val="68C0B5"/>
          <w:szCs w:val="26"/>
          <w:lang w:eastAsia="en-US"/>
        </w:rPr>
        <w:t xml:space="preserve">McCloud/Sargeant judgments </w:t>
      </w:r>
    </w:p>
    <w:p w14:paraId="4147B66A" w14:textId="77777777" w:rsidR="00780624" w:rsidRPr="00780624" w:rsidRDefault="00780624" w:rsidP="00780624">
      <w:pPr>
        <w:spacing w:after="200"/>
        <w:rPr>
          <w:rFonts w:ascii="Segoe UI" w:hAnsi="Segoe UI"/>
          <w:bCs/>
          <w:sz w:val="20"/>
          <w:szCs w:val="26"/>
          <w:lang w:eastAsia="en-US"/>
        </w:rPr>
      </w:pPr>
      <w:r w:rsidRPr="00780624">
        <w:rPr>
          <w:rFonts w:ascii="Segoe UI" w:eastAsia="Segoe UI" w:hAnsi="Segoe UI"/>
          <w:sz w:val="20"/>
          <w:szCs w:val="20"/>
          <w:lang w:eastAsia="en-US"/>
        </w:rPr>
        <w:t xml:space="preserve">When the Government reformed public service pension schemes in 2014 and </w:t>
      </w:r>
      <w:proofErr w:type="gramStart"/>
      <w:r w:rsidRPr="00780624">
        <w:rPr>
          <w:rFonts w:ascii="Segoe UI" w:eastAsia="Segoe UI" w:hAnsi="Segoe UI"/>
          <w:sz w:val="20"/>
          <w:szCs w:val="20"/>
          <w:lang w:eastAsia="en-US"/>
        </w:rPr>
        <w:t>2015</w:t>
      </w:r>
      <w:proofErr w:type="gramEnd"/>
      <w:r w:rsidRPr="00780624">
        <w:rPr>
          <w:rFonts w:ascii="Segoe UI" w:eastAsia="Segoe UI" w:hAnsi="Segoe UI"/>
          <w:sz w:val="20"/>
          <w:szCs w:val="20"/>
          <w:lang w:eastAsia="en-US"/>
        </w:rPr>
        <w:t xml:space="preserve"> they introduced protections for older members. </w:t>
      </w:r>
      <w:r w:rsidRPr="00780624">
        <w:rPr>
          <w:rFonts w:ascii="Segoe UI" w:hAnsi="Segoe UI"/>
          <w:bCs/>
          <w:sz w:val="20"/>
          <w:szCs w:val="26"/>
          <w:lang w:eastAsia="en-US"/>
        </w:rPr>
        <w:t xml:space="preserve">In December 2018, the Court of Appeal ruled that </w:t>
      </w:r>
      <w:r w:rsidRPr="00780624">
        <w:rPr>
          <w:rFonts w:ascii="Segoe UI" w:eastAsia="Segoe UI" w:hAnsi="Segoe UI"/>
          <w:sz w:val="20"/>
          <w:szCs w:val="20"/>
          <w:lang w:eastAsia="en-US"/>
        </w:rPr>
        <w:t>younger members of the Judges'</w:t>
      </w:r>
      <w:r w:rsidRPr="00780624">
        <w:rPr>
          <w:rFonts w:ascii="Segoe UI" w:hAnsi="Segoe UI"/>
          <w:bCs/>
          <w:sz w:val="20"/>
          <w:szCs w:val="26"/>
          <w:lang w:eastAsia="en-US"/>
        </w:rPr>
        <w:t xml:space="preserve"> and </w:t>
      </w:r>
      <w:r w:rsidRPr="00780624">
        <w:rPr>
          <w:rFonts w:ascii="Segoe UI" w:eastAsia="Segoe UI" w:hAnsi="Segoe UI"/>
          <w:sz w:val="20"/>
          <w:szCs w:val="20"/>
          <w:lang w:eastAsia="en-US"/>
        </w:rPr>
        <w:t xml:space="preserve">Firefighters' Pension </w:t>
      </w:r>
      <w:r w:rsidRPr="00780624">
        <w:rPr>
          <w:rFonts w:ascii="Segoe UI" w:hAnsi="Segoe UI"/>
          <w:bCs/>
          <w:sz w:val="20"/>
          <w:szCs w:val="26"/>
          <w:lang w:eastAsia="en-US"/>
        </w:rPr>
        <w:t>schemes</w:t>
      </w:r>
      <w:r w:rsidRPr="00780624">
        <w:rPr>
          <w:rFonts w:ascii="Segoe UI" w:eastAsia="Segoe UI" w:hAnsi="Segoe UI"/>
          <w:sz w:val="20"/>
          <w:szCs w:val="20"/>
          <w:lang w:eastAsia="en-US"/>
        </w:rPr>
        <w:t xml:space="preserve"> have </w:t>
      </w:r>
      <w:r w:rsidRPr="00780624">
        <w:rPr>
          <w:rFonts w:ascii="Segoe UI" w:hAnsi="Segoe UI"/>
          <w:bCs/>
          <w:sz w:val="20"/>
          <w:szCs w:val="26"/>
          <w:lang w:eastAsia="en-US"/>
        </w:rPr>
        <w:t xml:space="preserve">been </w:t>
      </w:r>
      <w:r w:rsidRPr="00780624">
        <w:rPr>
          <w:rFonts w:ascii="Segoe UI" w:eastAsia="Segoe UI" w:hAnsi="Segoe UI"/>
          <w:sz w:val="20"/>
          <w:szCs w:val="20"/>
          <w:lang w:eastAsia="en-US"/>
        </w:rPr>
        <w:t>discriminated against because the protections do not apply to them. The Government has confirmed</w:t>
      </w:r>
      <w:r w:rsidRPr="00780624">
        <w:rPr>
          <w:rFonts w:ascii="Segoe UI" w:hAnsi="Segoe UI"/>
          <w:bCs/>
          <w:sz w:val="20"/>
          <w:szCs w:val="26"/>
          <w:lang w:eastAsia="en-US"/>
        </w:rPr>
        <w:t xml:space="preserve"> that </w:t>
      </w:r>
      <w:r w:rsidRPr="00780624">
        <w:rPr>
          <w:rFonts w:ascii="Segoe UI" w:eastAsia="Segoe UI" w:hAnsi="Segoe UI"/>
          <w:sz w:val="20"/>
          <w:szCs w:val="20"/>
          <w:lang w:eastAsia="en-US"/>
        </w:rPr>
        <w:t>there will be changes</w:t>
      </w:r>
      <w:r w:rsidRPr="00780624">
        <w:rPr>
          <w:rFonts w:ascii="Segoe UI" w:hAnsi="Segoe UI"/>
          <w:bCs/>
          <w:sz w:val="20"/>
          <w:szCs w:val="26"/>
          <w:lang w:eastAsia="en-US"/>
        </w:rPr>
        <w:t xml:space="preserve"> to all </w:t>
      </w:r>
      <w:r w:rsidRPr="00780624">
        <w:rPr>
          <w:rFonts w:ascii="Segoe UI" w:eastAsia="Segoe UI" w:hAnsi="Segoe UI"/>
          <w:sz w:val="20"/>
          <w:szCs w:val="20"/>
          <w:lang w:eastAsia="en-US"/>
        </w:rPr>
        <w:t xml:space="preserve">main </w:t>
      </w:r>
      <w:r w:rsidRPr="00780624">
        <w:rPr>
          <w:rFonts w:ascii="Segoe UI" w:hAnsi="Segoe UI"/>
          <w:bCs/>
          <w:sz w:val="20"/>
          <w:szCs w:val="26"/>
          <w:lang w:eastAsia="en-US"/>
        </w:rPr>
        <w:t xml:space="preserve">public </w:t>
      </w:r>
      <w:r w:rsidRPr="00780624">
        <w:rPr>
          <w:rFonts w:ascii="Segoe UI" w:eastAsia="Segoe UI" w:hAnsi="Segoe UI"/>
          <w:sz w:val="20"/>
          <w:szCs w:val="20"/>
          <w:lang w:eastAsia="en-US"/>
        </w:rPr>
        <w:t>sector</w:t>
      </w:r>
      <w:r w:rsidRPr="00780624">
        <w:rPr>
          <w:rFonts w:ascii="Segoe UI" w:hAnsi="Segoe UI"/>
          <w:bCs/>
          <w:sz w:val="20"/>
          <w:szCs w:val="26"/>
          <w:lang w:eastAsia="en-US"/>
        </w:rPr>
        <w:t xml:space="preserve"> schemes, including the LGPS</w:t>
      </w:r>
      <w:r w:rsidRPr="00780624">
        <w:rPr>
          <w:rFonts w:ascii="Segoe UI" w:eastAsia="Segoe UI" w:hAnsi="Segoe UI"/>
          <w:sz w:val="20"/>
          <w:szCs w:val="20"/>
          <w:lang w:eastAsia="en-US"/>
        </w:rPr>
        <w:t>, to remove this age discrimination. A consultation has been run in relation to the changes proposed for the LGPS and legislation is now being drafted to bring forward these changes. We understand the updated Regulations are to be consulted on over the course of 2023 with revised Regulations effective from October 2023</w:t>
      </w:r>
      <w:r w:rsidRPr="00780624">
        <w:rPr>
          <w:rFonts w:ascii="Segoe UI" w:hAnsi="Segoe UI"/>
          <w:bCs/>
          <w:sz w:val="20"/>
          <w:szCs w:val="26"/>
          <w:lang w:eastAsia="en-US"/>
        </w:rPr>
        <w:t>.</w:t>
      </w:r>
    </w:p>
    <w:p w14:paraId="772DE210"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For the 2022 valuation, as required by the Department for Levelling Up, Housing &amp; Communities, in calculating the value of members’ liabilities it was assumed that:</w:t>
      </w:r>
    </w:p>
    <w:p w14:paraId="411252C6" w14:textId="77777777" w:rsidR="00EE61AE" w:rsidRDefault="00780624" w:rsidP="007337FE">
      <w:pPr>
        <w:pStyle w:val="ListParagraph"/>
        <w:numPr>
          <w:ilvl w:val="0"/>
          <w:numId w:val="116"/>
        </w:numPr>
        <w:rPr>
          <w:rFonts w:ascii="Segoe UI" w:eastAsia="Segoe UI" w:hAnsi="Segoe UI"/>
          <w:sz w:val="20"/>
          <w:szCs w:val="20"/>
        </w:rPr>
      </w:pPr>
      <w:r w:rsidRPr="00165149">
        <w:rPr>
          <w:rFonts w:ascii="Segoe UI" w:eastAsia="Segoe UI" w:hAnsi="Segoe UI"/>
          <w:sz w:val="20"/>
          <w:szCs w:val="20"/>
        </w:rPr>
        <w:t xml:space="preserve">The current </w:t>
      </w:r>
      <w:proofErr w:type="gramStart"/>
      <w:r w:rsidRPr="00165149">
        <w:rPr>
          <w:rFonts w:ascii="Segoe UI" w:eastAsia="Segoe UI" w:hAnsi="Segoe UI"/>
          <w:sz w:val="20"/>
          <w:szCs w:val="20"/>
        </w:rPr>
        <w:t>underpin</w:t>
      </w:r>
      <w:proofErr w:type="gramEnd"/>
      <w:r w:rsidRPr="00165149">
        <w:rPr>
          <w:rFonts w:ascii="Segoe UI" w:eastAsia="Segoe UI" w:hAnsi="Segoe UI"/>
          <w:sz w:val="20"/>
          <w:szCs w:val="20"/>
        </w:rPr>
        <w:t xml:space="preserve"> (which only applies to those members within 10 years of their NPA at 31 March 2012) will be revised and will apply to all members who were active in the Scheme on or before 31 March 2012 and who join the post 1 April 2014 scheme without a disqualifying service gap;</w:t>
      </w:r>
    </w:p>
    <w:p w14:paraId="4CED2E60" w14:textId="77777777" w:rsidR="00EE61AE" w:rsidRDefault="00780624" w:rsidP="007337FE">
      <w:pPr>
        <w:pStyle w:val="ListParagraph"/>
        <w:numPr>
          <w:ilvl w:val="0"/>
          <w:numId w:val="116"/>
        </w:numPr>
        <w:rPr>
          <w:rFonts w:ascii="Segoe UI" w:eastAsia="Segoe UI" w:hAnsi="Segoe UI"/>
          <w:sz w:val="20"/>
          <w:szCs w:val="20"/>
        </w:rPr>
      </w:pPr>
      <w:r w:rsidRPr="00EE61AE">
        <w:rPr>
          <w:rFonts w:ascii="Segoe UI" w:eastAsia="Segoe UI" w:hAnsi="Segoe UI"/>
          <w:sz w:val="20"/>
          <w:szCs w:val="20"/>
        </w:rPr>
        <w:t>The period of protection will apply from 1 April 2014 to 31 March 2022 but will cease when a member leaves active service or reaches their final salary scheme normal retirement age (whichever is sooner</w:t>
      </w:r>
      <w:proofErr w:type="gramStart"/>
      <w:r w:rsidRPr="00EE61AE">
        <w:rPr>
          <w:rFonts w:ascii="Segoe UI" w:eastAsia="Segoe UI" w:hAnsi="Segoe UI"/>
          <w:sz w:val="20"/>
          <w:szCs w:val="20"/>
        </w:rPr>
        <w:t>);</w:t>
      </w:r>
      <w:proofErr w:type="gramEnd"/>
    </w:p>
    <w:p w14:paraId="7FEA50D7" w14:textId="77777777" w:rsidR="00EE61AE" w:rsidRDefault="00780624" w:rsidP="007337FE">
      <w:pPr>
        <w:pStyle w:val="ListParagraph"/>
        <w:numPr>
          <w:ilvl w:val="0"/>
          <w:numId w:val="116"/>
        </w:numPr>
        <w:rPr>
          <w:rFonts w:ascii="Segoe UI" w:eastAsia="Segoe UI" w:hAnsi="Segoe UI"/>
          <w:sz w:val="20"/>
          <w:szCs w:val="20"/>
        </w:rPr>
      </w:pPr>
      <w:r w:rsidRPr="00EE61AE">
        <w:rPr>
          <w:rFonts w:ascii="Segoe UI" w:eastAsia="Segoe UI" w:hAnsi="Segoe UI"/>
          <w:sz w:val="20"/>
          <w:szCs w:val="20"/>
        </w:rPr>
        <w:t>Where a member remains in active service beyond 31 March 2022 the comparison of their benefits will be based on their final salary when they leave the LGPS or when they reach their final salary scheme normal retirement age (again whichever is sooner</w:t>
      </w:r>
      <w:proofErr w:type="gramStart"/>
      <w:r w:rsidRPr="00EE61AE">
        <w:rPr>
          <w:rFonts w:ascii="Segoe UI" w:eastAsia="Segoe UI" w:hAnsi="Segoe UI"/>
          <w:sz w:val="20"/>
          <w:szCs w:val="20"/>
        </w:rPr>
        <w:t>);</w:t>
      </w:r>
      <w:proofErr w:type="gramEnd"/>
    </w:p>
    <w:p w14:paraId="64D98C8D" w14:textId="77777777" w:rsidR="004577B0" w:rsidRDefault="00780624" w:rsidP="007337FE">
      <w:pPr>
        <w:pStyle w:val="ListParagraph"/>
        <w:numPr>
          <w:ilvl w:val="0"/>
          <w:numId w:val="116"/>
        </w:numPr>
        <w:rPr>
          <w:rFonts w:ascii="Segoe UI" w:eastAsia="Segoe UI" w:hAnsi="Segoe UI"/>
          <w:sz w:val="20"/>
          <w:szCs w:val="20"/>
        </w:rPr>
      </w:pPr>
      <w:r w:rsidRPr="00EE61AE">
        <w:rPr>
          <w:rFonts w:ascii="Segoe UI" w:eastAsia="Segoe UI" w:hAnsi="Segoe UI"/>
          <w:sz w:val="20"/>
          <w:szCs w:val="20"/>
        </w:rPr>
        <w:t>Underpin protection will apply to qualifying members who leave active membership of the LGPS with an immediate or deferred entitlement to a pension; and</w:t>
      </w:r>
    </w:p>
    <w:p w14:paraId="0517B10B" w14:textId="49267EC1" w:rsidR="00780624" w:rsidRPr="004577B0" w:rsidRDefault="00780624" w:rsidP="007337FE">
      <w:pPr>
        <w:pStyle w:val="ListParagraph"/>
        <w:numPr>
          <w:ilvl w:val="0"/>
          <w:numId w:val="116"/>
        </w:numPr>
        <w:rPr>
          <w:rFonts w:ascii="Segoe UI" w:eastAsia="Segoe UI" w:hAnsi="Segoe UI"/>
          <w:sz w:val="20"/>
          <w:szCs w:val="20"/>
        </w:rPr>
      </w:pPr>
      <w:r w:rsidRPr="004577B0">
        <w:rPr>
          <w:rFonts w:ascii="Segoe UI" w:eastAsia="Segoe UI" w:hAnsi="Segoe UI"/>
          <w:sz w:val="20"/>
          <w:szCs w:val="20"/>
        </w:rPr>
        <w:t>The underpin will consider when members take their benefit.</w:t>
      </w:r>
    </w:p>
    <w:p w14:paraId="78EFB215"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 xml:space="preserve">Further details of the McCloud/Sergeant judgment can be found below in the </w:t>
      </w:r>
      <w:r w:rsidRPr="00780624">
        <w:rPr>
          <w:rFonts w:ascii="Segoe UI" w:eastAsia="Segoe UI" w:hAnsi="Segoe UI"/>
          <w:sz w:val="20"/>
          <w:szCs w:val="20"/>
          <w:lang w:eastAsia="en-US"/>
        </w:rPr>
        <w:fldChar w:fldCharType="begin"/>
      </w:r>
      <w:r w:rsidRPr="00780624">
        <w:rPr>
          <w:rFonts w:ascii="Segoe UI" w:eastAsia="Segoe UI" w:hAnsi="Segoe UI"/>
          <w:sz w:val="20"/>
          <w:szCs w:val="20"/>
          <w:lang w:eastAsia="en-US"/>
        </w:rPr>
        <w:instrText xml:space="preserve"> REF _Ref22573573 \h </w:instrText>
      </w:r>
      <w:r w:rsidRPr="00780624">
        <w:rPr>
          <w:rFonts w:ascii="Segoe UI" w:eastAsia="Segoe UI" w:hAnsi="Segoe UI"/>
          <w:sz w:val="20"/>
          <w:szCs w:val="20"/>
          <w:lang w:eastAsia="en-US"/>
        </w:rPr>
      </w:r>
      <w:r w:rsidRPr="00780624">
        <w:rPr>
          <w:rFonts w:ascii="Segoe UI" w:eastAsia="Segoe UI" w:hAnsi="Segoe UI"/>
          <w:sz w:val="20"/>
          <w:szCs w:val="20"/>
          <w:lang w:eastAsia="en-US"/>
        </w:rPr>
        <w:fldChar w:fldCharType="separate"/>
      </w:r>
      <w:r w:rsidRPr="00780624">
        <w:rPr>
          <w:rFonts w:ascii="Segoe UI" w:eastAsia="Segoe UI" w:hAnsi="Segoe UI"/>
          <w:sz w:val="20"/>
          <w:szCs w:val="20"/>
          <w:lang w:eastAsia="en-US"/>
        </w:rPr>
        <w:t>Regulatory risks</w:t>
      </w:r>
      <w:r w:rsidRPr="00780624">
        <w:rPr>
          <w:rFonts w:ascii="Segoe UI" w:eastAsia="Segoe UI" w:hAnsi="Segoe UI"/>
          <w:sz w:val="20"/>
          <w:szCs w:val="20"/>
          <w:lang w:eastAsia="en-US"/>
        </w:rPr>
        <w:fldChar w:fldCharType="end"/>
      </w:r>
      <w:r w:rsidRPr="00780624">
        <w:rPr>
          <w:rFonts w:ascii="Segoe UI" w:eastAsia="Segoe UI" w:hAnsi="Segoe UI"/>
          <w:sz w:val="20"/>
          <w:szCs w:val="20"/>
          <w:lang w:eastAsia="en-US"/>
        </w:rPr>
        <w:t xml:space="preserve"> section.</w:t>
      </w:r>
    </w:p>
    <w:p w14:paraId="1E8FCD96" w14:textId="77777777" w:rsidR="00780624" w:rsidRPr="00780624" w:rsidRDefault="00780624" w:rsidP="00780624">
      <w:pPr>
        <w:keepNext/>
        <w:spacing w:before="240" w:after="60"/>
        <w:outlineLvl w:val="2"/>
        <w:rPr>
          <w:rFonts w:ascii="Segoe UI Semibold" w:hAnsi="Segoe UI Semibold"/>
          <w:bCs/>
          <w:color w:val="68C0B5"/>
          <w:szCs w:val="26"/>
          <w:lang w:eastAsia="en-US"/>
        </w:rPr>
      </w:pPr>
      <w:r w:rsidRPr="00780624">
        <w:rPr>
          <w:rFonts w:ascii="Segoe UI Semibold" w:hAnsi="Segoe UI Semibold"/>
          <w:bCs/>
          <w:color w:val="68C0B5"/>
          <w:szCs w:val="26"/>
          <w:lang w:eastAsia="en-US"/>
        </w:rPr>
        <w:t xml:space="preserve">Guaranteed Minimum Pension (GMP) indexation and </w:t>
      </w:r>
      <w:proofErr w:type="gramStart"/>
      <w:r w:rsidRPr="00780624">
        <w:rPr>
          <w:rFonts w:ascii="Segoe UI Semibold" w:hAnsi="Segoe UI Semibold"/>
          <w:bCs/>
          <w:color w:val="68C0B5"/>
          <w:szCs w:val="26"/>
          <w:lang w:eastAsia="en-US"/>
        </w:rPr>
        <w:t>equalisation</w:t>
      </w:r>
      <w:proofErr w:type="gramEnd"/>
    </w:p>
    <w:p w14:paraId="0DCEB402"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 xml:space="preserve">On 23 March 2021, the Government published the outcome to its Guaranteed Minimum Pension Indexation consultation, concluding that all public service pension schemes, including the LGPS, will be directed to provide full indexation to members with a GMP reaching State Pension Age (SPA) beyond 5 April 2021. This is a permanent extension of the existing ‘interim solution’ that has applied to members with a GMP reaching SPA on or after 6 April 2016. Details of the consultation outcome can be found </w:t>
      </w:r>
      <w:hyperlink r:id="rId45" w:history="1">
        <w:r w:rsidRPr="00780624">
          <w:rPr>
            <w:rFonts w:ascii="Segoe UI" w:eastAsia="Segoe UI" w:hAnsi="Segoe UI"/>
            <w:color w:val="009FE3"/>
            <w:sz w:val="20"/>
            <w:szCs w:val="20"/>
            <w:u w:val="single"/>
            <w:lang w:eastAsia="en-US"/>
          </w:rPr>
          <w:t>here</w:t>
        </w:r>
      </w:hyperlink>
      <w:r w:rsidRPr="00780624">
        <w:rPr>
          <w:rFonts w:ascii="Segoe UI" w:eastAsia="Segoe UI" w:hAnsi="Segoe UI"/>
          <w:sz w:val="20"/>
          <w:szCs w:val="20"/>
          <w:lang w:eastAsia="en-US"/>
        </w:rPr>
        <w:t>.</w:t>
      </w:r>
    </w:p>
    <w:p w14:paraId="4DDC7343"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 xml:space="preserve">The 2022 valuation approach for GMP is that the Fund will pay limited increases for members that have reached SPA by 6 April 2016, with the government providing the remainder of the inflationary increase. For members that reach SPA after this date, the Fund will be required to pay the entire inflationary increase. </w:t>
      </w:r>
    </w:p>
    <w:p w14:paraId="1D3EB692" w14:textId="77777777" w:rsidR="00780624" w:rsidRPr="00780624" w:rsidRDefault="00780624" w:rsidP="0042694D">
      <w:pPr>
        <w:keepNext/>
        <w:spacing w:before="240" w:after="120"/>
        <w:outlineLvl w:val="1"/>
        <w:rPr>
          <w:rFonts w:ascii="Segoe UI Semibold" w:hAnsi="Segoe UI Semibold"/>
          <w:bCs/>
          <w:iCs/>
          <w:color w:val="009FE3"/>
          <w:sz w:val="28"/>
          <w:szCs w:val="28"/>
          <w:lang w:eastAsia="en-US"/>
        </w:rPr>
      </w:pPr>
      <w:bookmarkStart w:id="17" w:name="_Ref23006532"/>
      <w:r w:rsidRPr="00780624">
        <w:rPr>
          <w:rFonts w:ascii="Segoe UI Semibold" w:hAnsi="Segoe UI Semibold"/>
          <w:bCs/>
          <w:iCs/>
          <w:color w:val="009FE3"/>
          <w:sz w:val="28"/>
          <w:szCs w:val="28"/>
          <w:lang w:eastAsia="en-US"/>
        </w:rPr>
        <w:t>Deficit recovery/surplus amortisation periods</w:t>
      </w:r>
      <w:bookmarkEnd w:id="17"/>
    </w:p>
    <w:p w14:paraId="09EEC1BB"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 xml:space="preserve">Whilst one of the funding objectives is to build up sufficient assets to meet the cost of benefits as they accrue, it is recognised that at any </w:t>
      </w:r>
      <w:proofErr w:type="gramStart"/>
      <w:r w:rsidRPr="00780624">
        <w:rPr>
          <w:rFonts w:ascii="Segoe UI" w:eastAsia="Segoe UI" w:hAnsi="Segoe UI"/>
          <w:sz w:val="20"/>
          <w:szCs w:val="20"/>
          <w:lang w:eastAsia="en-US"/>
        </w:rPr>
        <w:t>particular point</w:t>
      </w:r>
      <w:proofErr w:type="gramEnd"/>
      <w:r w:rsidRPr="00780624">
        <w:rPr>
          <w:rFonts w:ascii="Segoe UI" w:eastAsia="Segoe UI" w:hAnsi="Segoe UI"/>
          <w:sz w:val="20"/>
          <w:szCs w:val="20"/>
          <w:lang w:eastAsia="en-US"/>
        </w:rPr>
        <w:t xml:space="preserve"> in time, the value of the accumulated assets will be different to the value of accrued liabilities, depending on how the actual experience of the Fund differs to the actuarial assumptions. This theory applies down to an individual employer level; each employer in the Fund has their own share of deficit or surplus attributable to their section of the Fund. </w:t>
      </w:r>
    </w:p>
    <w:p w14:paraId="278AC960"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 xml:space="preserve">Where the valuation for an employer discloses a deficit then the level of required employer contributions includes an adjustment to fund the deficit over a maximum period of 14 years. The adjustment may be set either as a percentage of payroll or as a fixed monetary amount. </w:t>
      </w:r>
    </w:p>
    <w:p w14:paraId="125C2252"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Where the valuation for an employer discloses a surplus then the level of required employer contribution may include an adjustment to amortise the surplus over an appropriate period.</w:t>
      </w:r>
    </w:p>
    <w:p w14:paraId="739D7156"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 xml:space="preserve">The deficit recovery period or amortisation period that is adopted for any </w:t>
      </w:r>
      <w:proofErr w:type="gramStart"/>
      <w:r w:rsidRPr="00780624">
        <w:rPr>
          <w:rFonts w:ascii="Segoe UI" w:eastAsia="Segoe UI" w:hAnsi="Segoe UI"/>
          <w:sz w:val="20"/>
          <w:szCs w:val="20"/>
          <w:lang w:eastAsia="en-US"/>
        </w:rPr>
        <w:t>particular employer</w:t>
      </w:r>
      <w:proofErr w:type="gramEnd"/>
      <w:r w:rsidRPr="00780624">
        <w:rPr>
          <w:rFonts w:ascii="Segoe UI" w:eastAsia="Segoe UI" w:hAnsi="Segoe UI"/>
          <w:sz w:val="20"/>
          <w:szCs w:val="20"/>
          <w:lang w:eastAsia="en-US"/>
        </w:rPr>
        <w:t xml:space="preserve"> will depend on: </w:t>
      </w:r>
    </w:p>
    <w:p w14:paraId="500B63EF" w14:textId="77777777" w:rsidR="007337FE" w:rsidRDefault="00780624" w:rsidP="007337FE">
      <w:pPr>
        <w:pStyle w:val="ListParagraph"/>
        <w:numPr>
          <w:ilvl w:val="0"/>
          <w:numId w:val="117"/>
        </w:numPr>
        <w:rPr>
          <w:rFonts w:ascii="Segoe UI" w:eastAsia="Segoe UI" w:hAnsi="Segoe UI"/>
          <w:sz w:val="20"/>
          <w:szCs w:val="20"/>
        </w:rPr>
      </w:pPr>
      <w:r w:rsidRPr="007337FE">
        <w:rPr>
          <w:rFonts w:ascii="Segoe UI" w:eastAsia="Segoe UI" w:hAnsi="Segoe UI"/>
          <w:sz w:val="20"/>
          <w:szCs w:val="20"/>
        </w:rPr>
        <w:t xml:space="preserve">The significance of the surplus or deficit relative to that employer’s </w:t>
      </w:r>
      <w:proofErr w:type="gramStart"/>
      <w:r w:rsidRPr="007337FE">
        <w:rPr>
          <w:rFonts w:ascii="Segoe UI" w:eastAsia="Segoe UI" w:hAnsi="Segoe UI"/>
          <w:sz w:val="20"/>
          <w:szCs w:val="20"/>
        </w:rPr>
        <w:t>liabilities;</w:t>
      </w:r>
      <w:proofErr w:type="gramEnd"/>
    </w:p>
    <w:p w14:paraId="5E6C0DA8" w14:textId="77777777" w:rsidR="007337FE" w:rsidRDefault="00780624" w:rsidP="007337FE">
      <w:pPr>
        <w:pStyle w:val="ListParagraph"/>
        <w:numPr>
          <w:ilvl w:val="0"/>
          <w:numId w:val="117"/>
        </w:numPr>
        <w:rPr>
          <w:rFonts w:ascii="Segoe UI" w:eastAsia="Segoe UI" w:hAnsi="Segoe UI"/>
          <w:sz w:val="20"/>
          <w:szCs w:val="20"/>
        </w:rPr>
      </w:pPr>
      <w:r w:rsidRPr="007337FE">
        <w:rPr>
          <w:rFonts w:ascii="Segoe UI" w:eastAsia="Segoe UI" w:hAnsi="Segoe UI"/>
          <w:sz w:val="20"/>
          <w:szCs w:val="20"/>
        </w:rPr>
        <w:t xml:space="preserve">The covenant of the individual employer (including any security in place) and any limited period of participation in the </w:t>
      </w:r>
      <w:proofErr w:type="gramStart"/>
      <w:r w:rsidRPr="007337FE">
        <w:rPr>
          <w:rFonts w:ascii="Segoe UI" w:eastAsia="Segoe UI" w:hAnsi="Segoe UI"/>
          <w:sz w:val="20"/>
          <w:szCs w:val="20"/>
        </w:rPr>
        <w:t>Fund;</w:t>
      </w:r>
      <w:proofErr w:type="gramEnd"/>
      <w:r w:rsidRPr="007337FE">
        <w:rPr>
          <w:rFonts w:ascii="Segoe UI" w:eastAsia="Segoe UI" w:hAnsi="Segoe UI"/>
          <w:sz w:val="20"/>
          <w:szCs w:val="20"/>
        </w:rPr>
        <w:t xml:space="preserve"> </w:t>
      </w:r>
    </w:p>
    <w:p w14:paraId="5E5DA014" w14:textId="77777777" w:rsidR="007337FE" w:rsidRDefault="00780624" w:rsidP="007337FE">
      <w:pPr>
        <w:pStyle w:val="ListParagraph"/>
        <w:numPr>
          <w:ilvl w:val="0"/>
          <w:numId w:val="117"/>
        </w:numPr>
        <w:rPr>
          <w:rFonts w:ascii="Segoe UI" w:eastAsia="Segoe UI" w:hAnsi="Segoe UI"/>
          <w:sz w:val="20"/>
          <w:szCs w:val="20"/>
        </w:rPr>
      </w:pPr>
      <w:r w:rsidRPr="007337FE">
        <w:rPr>
          <w:rFonts w:ascii="Segoe UI" w:eastAsia="Segoe UI" w:hAnsi="Segoe UI"/>
          <w:sz w:val="20"/>
          <w:szCs w:val="20"/>
        </w:rPr>
        <w:t>The remaining contract length of an employer in the Fund (if applicable); and</w:t>
      </w:r>
    </w:p>
    <w:p w14:paraId="1B996147" w14:textId="58D84A7A" w:rsidR="00780624" w:rsidRPr="007337FE" w:rsidRDefault="00780624" w:rsidP="007337FE">
      <w:pPr>
        <w:pStyle w:val="ListParagraph"/>
        <w:numPr>
          <w:ilvl w:val="0"/>
          <w:numId w:val="117"/>
        </w:numPr>
        <w:rPr>
          <w:rFonts w:ascii="Segoe UI" w:eastAsia="Segoe UI" w:hAnsi="Segoe UI"/>
          <w:sz w:val="20"/>
          <w:szCs w:val="20"/>
        </w:rPr>
      </w:pPr>
      <w:r w:rsidRPr="007337FE">
        <w:rPr>
          <w:rFonts w:ascii="Segoe UI" w:eastAsia="Segoe UI" w:hAnsi="Segoe UI"/>
          <w:sz w:val="20"/>
          <w:szCs w:val="20"/>
        </w:rPr>
        <w:t>The implications in terms of stability of future levels of employers’ contribution.</w:t>
      </w:r>
    </w:p>
    <w:p w14:paraId="6635ACB1" w14:textId="77777777" w:rsidR="00780624" w:rsidRPr="00780624" w:rsidRDefault="00780624" w:rsidP="00F626C3">
      <w:pPr>
        <w:keepNext/>
        <w:spacing w:before="240" w:after="120"/>
        <w:outlineLvl w:val="1"/>
        <w:rPr>
          <w:rFonts w:ascii="Segoe UI Semibold" w:hAnsi="Segoe UI Semibold"/>
          <w:bCs/>
          <w:iCs/>
          <w:color w:val="009FE3"/>
          <w:sz w:val="28"/>
          <w:szCs w:val="28"/>
          <w:lang w:eastAsia="en-US"/>
        </w:rPr>
      </w:pPr>
      <w:r w:rsidRPr="00780624">
        <w:rPr>
          <w:rFonts w:ascii="Segoe UI Semibold" w:hAnsi="Segoe UI Semibold"/>
          <w:bCs/>
          <w:iCs/>
          <w:color w:val="009FE3"/>
          <w:sz w:val="28"/>
          <w:szCs w:val="28"/>
          <w:lang w:eastAsia="en-US"/>
        </w:rPr>
        <w:t>Risk-sharing</w:t>
      </w:r>
    </w:p>
    <w:p w14:paraId="342F0294"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 xml:space="preserve">There are employers that participate in the Fund with a risk-sharing arrangement in place with another employer in the Fund. </w:t>
      </w:r>
    </w:p>
    <w:p w14:paraId="0A82C069"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 xml:space="preserve">For example, there are employers participating in the Fund with pass-through provisions: under this arrangement the pass-through employer does not take on the risk of underfunding as this risk remains with the letting authority or relevant guaranteeing employer. When the pass-through employer ceases participation in the Fund, it is not responsible for making any exit payment, nor receiving any exit credit, as any deficit or surplus ultimately falls to the letting authority or relevant guaranteeing employer. </w:t>
      </w:r>
    </w:p>
    <w:p w14:paraId="551C2B0C"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bCs/>
          <w:sz w:val="20"/>
          <w:szCs w:val="20"/>
          <w:lang w:eastAsia="en-US"/>
        </w:rPr>
        <w:t xml:space="preserve">At the 2022 valuation, risk-sharing arrangements were allowed for by allocating any deficit/liabilities covered by the risk-sharing arrangement to the relevant responsible employer. </w:t>
      </w:r>
    </w:p>
    <w:p w14:paraId="34AC6053" w14:textId="77777777" w:rsidR="00780624" w:rsidRPr="00780624" w:rsidRDefault="00780624" w:rsidP="00F626C3">
      <w:pPr>
        <w:keepNext/>
        <w:spacing w:before="240" w:after="120"/>
        <w:outlineLvl w:val="1"/>
        <w:rPr>
          <w:rFonts w:ascii="Segoe UI Semibold" w:hAnsi="Segoe UI Semibold"/>
          <w:bCs/>
          <w:iCs/>
          <w:color w:val="009FE3"/>
          <w:sz w:val="28"/>
          <w:szCs w:val="28"/>
          <w:lang w:eastAsia="en-US"/>
        </w:rPr>
      </w:pPr>
      <w:r w:rsidRPr="00780624">
        <w:rPr>
          <w:rFonts w:ascii="Segoe UI Semibold" w:hAnsi="Segoe UI Semibold"/>
          <w:bCs/>
          <w:iCs/>
          <w:color w:val="009FE3"/>
          <w:sz w:val="28"/>
          <w:szCs w:val="28"/>
          <w:lang w:eastAsia="en-US"/>
        </w:rPr>
        <w:t>Contribution payments</w:t>
      </w:r>
    </w:p>
    <w:p w14:paraId="53F81862" w14:textId="77777777" w:rsidR="00780624" w:rsidRPr="00780624" w:rsidRDefault="00780624" w:rsidP="00780624">
      <w:pPr>
        <w:spacing w:after="200"/>
        <w:rPr>
          <w:rFonts w:ascii="Segoe UI" w:eastAsia="Segoe UI" w:hAnsi="Segoe UI"/>
          <w:sz w:val="20"/>
          <w:szCs w:val="20"/>
          <w:lang w:eastAsia="en-US"/>
        </w:rPr>
      </w:pPr>
      <w:r w:rsidRPr="00780624">
        <w:rPr>
          <w:rFonts w:ascii="Segoe UI" w:eastAsia="Segoe UI" w:hAnsi="Segoe UI"/>
          <w:sz w:val="20"/>
          <w:szCs w:val="20"/>
          <w:lang w:eastAsia="en-US"/>
        </w:rPr>
        <w:t xml:space="preserve">Employers pay contributions </w:t>
      </w:r>
      <w:proofErr w:type="gramStart"/>
      <w:r w:rsidRPr="00780624">
        <w:rPr>
          <w:rFonts w:ascii="Segoe UI" w:eastAsia="Segoe UI" w:hAnsi="Segoe UI"/>
          <w:sz w:val="20"/>
          <w:szCs w:val="20"/>
          <w:lang w:eastAsia="en-US"/>
        </w:rPr>
        <w:t>on a monthly basis</w:t>
      </w:r>
      <w:proofErr w:type="gramEnd"/>
      <w:r w:rsidRPr="00780624">
        <w:rPr>
          <w:rFonts w:ascii="Segoe UI" w:eastAsia="Segoe UI" w:hAnsi="Segoe UI"/>
          <w:sz w:val="20"/>
          <w:szCs w:val="20"/>
          <w:lang w:eastAsia="en-US"/>
        </w:rPr>
        <w:t>. Primary contributions are certified as a percentage of payroll and therefore amounts paid by employers each month will fluctuate in line with payroll each month. Secondary contributions can be certified as a percentage of payroll or as a monetary amount. Monetary amounts are payable in 12 equal monthly instalments throughout the relevant year.</w:t>
      </w:r>
    </w:p>
    <w:p w14:paraId="06CEBA6E" w14:textId="5348C045" w:rsidR="004F7D8F" w:rsidRDefault="00780624" w:rsidP="00780624">
      <w:pPr>
        <w:pStyle w:val="BodyText"/>
        <w:rPr>
          <w:rFonts w:ascii="Segoe UI" w:eastAsia="Segoe UI" w:hAnsi="Segoe UI"/>
          <w:sz w:val="20"/>
          <w:szCs w:val="24"/>
          <w:lang w:val="en-US" w:bidi="en-US"/>
        </w:rPr>
      </w:pPr>
      <w:r w:rsidRPr="00780624">
        <w:rPr>
          <w:rFonts w:ascii="Segoe UI" w:eastAsia="Segoe UI" w:hAnsi="Segoe UI"/>
          <w:sz w:val="20"/>
          <w:szCs w:val="24"/>
          <w:lang w:val="en-US" w:bidi="en-US"/>
        </w:rPr>
        <w:t xml:space="preserve">Employers must pay contributions in line with the Rates and Adjustments </w:t>
      </w:r>
      <w:proofErr w:type="gramStart"/>
      <w:r w:rsidRPr="00780624">
        <w:rPr>
          <w:rFonts w:ascii="Segoe UI" w:eastAsia="Segoe UI" w:hAnsi="Segoe UI"/>
          <w:sz w:val="20"/>
          <w:szCs w:val="24"/>
          <w:lang w:val="en-US" w:bidi="en-US"/>
        </w:rPr>
        <w:t>Certificate</w:t>
      </w:r>
      <w:proofErr w:type="gramEnd"/>
      <w:r w:rsidRPr="00780624">
        <w:rPr>
          <w:rFonts w:ascii="Segoe UI" w:eastAsia="Segoe UI" w:hAnsi="Segoe UI"/>
          <w:sz w:val="20"/>
          <w:szCs w:val="24"/>
          <w:lang w:val="en-US" w:bidi="en-US"/>
        </w:rPr>
        <w:t xml:space="preserve"> but they may be able to alter the timing of contributions payable and/or pay in additional contributions with agreement from the</w:t>
      </w:r>
      <w:r w:rsidR="00A534C2">
        <w:rPr>
          <w:rFonts w:ascii="Segoe UI" w:eastAsia="Segoe UI" w:hAnsi="Segoe UI"/>
          <w:sz w:val="20"/>
          <w:szCs w:val="24"/>
          <w:lang w:val="en-US" w:bidi="en-US"/>
        </w:rPr>
        <w:t xml:space="preserve"> </w:t>
      </w:r>
      <w:r w:rsidR="00A534C2" w:rsidRPr="00A534C2">
        <w:rPr>
          <w:rFonts w:ascii="Segoe UI" w:eastAsia="Segoe UI" w:hAnsi="Segoe UI"/>
          <w:sz w:val="20"/>
          <w:szCs w:val="24"/>
          <w:lang w:val="en-US" w:bidi="en-US"/>
        </w:rPr>
        <w:t>administering authority.  Employers should discuss with and gain agreement from the administering authority before making up front payments.</w:t>
      </w:r>
    </w:p>
    <w:p w14:paraId="1D83329F" w14:textId="77777777" w:rsidR="00D92232" w:rsidRPr="00D92232" w:rsidRDefault="00D92232" w:rsidP="00D92232">
      <w:pPr>
        <w:keepNext/>
        <w:pageBreakBefore/>
        <w:spacing w:before="240" w:after="240"/>
        <w:outlineLvl w:val="0"/>
        <w:rPr>
          <w:rFonts w:ascii="Segoe UI Semibold" w:hAnsi="Segoe UI Semibold"/>
          <w:bCs/>
          <w:color w:val="0069B4"/>
          <w:kern w:val="32"/>
          <w:sz w:val="36"/>
          <w:szCs w:val="32"/>
          <w:lang w:eastAsia="en-US"/>
        </w:rPr>
      </w:pPr>
      <w:bookmarkStart w:id="18" w:name="_Toc16069708"/>
      <w:r w:rsidRPr="00D92232">
        <w:rPr>
          <w:rFonts w:ascii="Segoe UI Semibold" w:hAnsi="Segoe UI Semibold"/>
          <w:bCs/>
          <w:color w:val="0069B4"/>
          <w:kern w:val="32"/>
          <w:sz w:val="36"/>
          <w:szCs w:val="32"/>
          <w:lang w:eastAsia="en-US"/>
        </w:rPr>
        <w:t>New employers</w:t>
      </w:r>
      <w:bookmarkEnd w:id="18"/>
      <w:r w:rsidRPr="00D92232">
        <w:rPr>
          <w:rFonts w:ascii="Segoe UI Semibold" w:hAnsi="Segoe UI Semibold"/>
          <w:bCs/>
          <w:color w:val="0069B4"/>
          <w:kern w:val="32"/>
          <w:sz w:val="36"/>
          <w:szCs w:val="32"/>
          <w:lang w:eastAsia="en-US"/>
        </w:rPr>
        <w:t xml:space="preserve"> joining the </w:t>
      </w:r>
      <w:proofErr w:type="gramStart"/>
      <w:r w:rsidRPr="00D92232">
        <w:rPr>
          <w:rFonts w:ascii="Segoe UI Semibold" w:hAnsi="Segoe UI Semibold"/>
          <w:bCs/>
          <w:color w:val="0069B4"/>
          <w:kern w:val="32"/>
          <w:sz w:val="36"/>
          <w:szCs w:val="32"/>
          <w:lang w:eastAsia="en-US"/>
        </w:rPr>
        <w:t>Fund</w:t>
      </w:r>
      <w:proofErr w:type="gramEnd"/>
    </w:p>
    <w:p w14:paraId="4D39B7E8"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When a new employer joins the Fund, the Fund Actuary is required to set the contribution rates payable by the new employer and allocate a share of Fund assets to the new employer as appropriate. The most common types of new employers joining the Fund are admission bodies and new academies. These are considered in more detail below.</w:t>
      </w:r>
    </w:p>
    <w:p w14:paraId="3A511753" w14:textId="77777777" w:rsidR="00D92232" w:rsidRPr="00D92232" w:rsidRDefault="00D92232" w:rsidP="00D92232">
      <w:pPr>
        <w:keepNext/>
        <w:spacing w:before="240" w:after="120"/>
        <w:outlineLvl w:val="1"/>
        <w:rPr>
          <w:rFonts w:ascii="Segoe UI Semibold" w:hAnsi="Segoe UI Semibold"/>
          <w:bCs/>
          <w:iCs/>
          <w:color w:val="009FE3"/>
          <w:sz w:val="28"/>
          <w:szCs w:val="28"/>
          <w:lang w:eastAsia="en-US"/>
        </w:rPr>
      </w:pPr>
      <w:bookmarkStart w:id="19" w:name="_Toc16069709"/>
      <w:r w:rsidRPr="00D92232">
        <w:rPr>
          <w:rFonts w:ascii="Segoe UI Semibold" w:hAnsi="Segoe UI Semibold"/>
          <w:bCs/>
          <w:iCs/>
          <w:color w:val="009FE3"/>
          <w:sz w:val="28"/>
          <w:szCs w:val="28"/>
          <w:lang w:eastAsia="en-US"/>
        </w:rPr>
        <w:t>Admission bodies</w:t>
      </w:r>
      <w:bookmarkEnd w:id="19"/>
    </w:p>
    <w:p w14:paraId="53F88F09"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 xml:space="preserve">New admission bodies in the Fund are commonly a result of a transfer of staff from an existing employer in the Fund to another body (for example as part of a transfer of services from a council or academy to an external provider under Schedule 2 Part 3 of the Regulations). </w:t>
      </w:r>
      <w:proofErr w:type="gramStart"/>
      <w:r w:rsidRPr="00D92232">
        <w:rPr>
          <w:rFonts w:ascii="Segoe UI" w:eastAsia="Segoe UI" w:hAnsi="Segoe UI"/>
          <w:sz w:val="20"/>
          <w:szCs w:val="20"/>
          <w:lang w:eastAsia="en-US"/>
        </w:rPr>
        <w:t>Typically</w:t>
      </w:r>
      <w:proofErr w:type="gramEnd"/>
      <w:r w:rsidRPr="00D92232">
        <w:rPr>
          <w:rFonts w:ascii="Segoe UI" w:eastAsia="Segoe UI" w:hAnsi="Segoe UI"/>
          <w:sz w:val="20"/>
          <w:szCs w:val="20"/>
          <w:lang w:eastAsia="en-US"/>
        </w:rPr>
        <w:t xml:space="preserve"> these transfers will be for a limited period (the contract length), over which the new admission body employer is required to pay contributions into the Fund in respect of the transferred members.</w:t>
      </w:r>
    </w:p>
    <w:p w14:paraId="01943BD8" w14:textId="77777777" w:rsidR="00D92232" w:rsidRPr="00D92232" w:rsidRDefault="00D92232" w:rsidP="00D92232">
      <w:pPr>
        <w:keepNext/>
        <w:spacing w:before="240" w:after="60"/>
        <w:outlineLvl w:val="2"/>
        <w:rPr>
          <w:rFonts w:ascii="Segoe UI Semibold" w:hAnsi="Segoe UI Semibold"/>
          <w:bCs/>
          <w:color w:val="68C0B5"/>
          <w:szCs w:val="26"/>
          <w:lang w:eastAsia="en-US"/>
        </w:rPr>
      </w:pPr>
      <w:r w:rsidRPr="00D92232">
        <w:rPr>
          <w:rFonts w:ascii="Segoe UI Semibold" w:hAnsi="Segoe UI Semibold"/>
          <w:bCs/>
          <w:color w:val="68C0B5"/>
          <w:szCs w:val="26"/>
          <w:lang w:eastAsia="en-US"/>
        </w:rPr>
        <w:t>Funding at start of contract</w:t>
      </w:r>
    </w:p>
    <w:p w14:paraId="2EC86C57"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 xml:space="preserve">Generally, when a new admission body joins the Fund, they will become responsible for all the pensions risk associated with the benefits accrued by transferring members and the benefits to be accrued over the contract length. This is known as a full risk transfer. In these cases, it may be appropriate that the new admission body is allocated a share of Fund assets equal to the value of the benefits transferred, </w:t>
      </w:r>
      <w:proofErr w:type="gramStart"/>
      <w:r w:rsidRPr="00D92232">
        <w:rPr>
          <w:rFonts w:ascii="Segoe UI" w:eastAsia="Segoe UI" w:hAnsi="Segoe UI"/>
          <w:sz w:val="20"/>
          <w:szCs w:val="20"/>
          <w:lang w:eastAsia="en-US"/>
        </w:rPr>
        <w:t>i.e.</w:t>
      </w:r>
      <w:proofErr w:type="gramEnd"/>
      <w:r w:rsidRPr="00D92232">
        <w:rPr>
          <w:rFonts w:ascii="Segoe UI" w:eastAsia="Segoe UI" w:hAnsi="Segoe UI"/>
          <w:sz w:val="20"/>
          <w:szCs w:val="20"/>
          <w:lang w:eastAsia="en-US"/>
        </w:rPr>
        <w:t xml:space="preserve"> the new admission body starts off on a fully funded basis. This is calculated on the relevant funding basis and the opening position may be different when calculated on an alternative basis (</w:t>
      </w:r>
      <w:proofErr w:type="gramStart"/>
      <w:r w:rsidRPr="00D92232">
        <w:rPr>
          <w:rFonts w:ascii="Segoe UI" w:eastAsia="Segoe UI" w:hAnsi="Segoe UI"/>
          <w:sz w:val="20"/>
          <w:szCs w:val="20"/>
          <w:lang w:eastAsia="en-US"/>
        </w:rPr>
        <w:t>e.g.</w:t>
      </w:r>
      <w:proofErr w:type="gramEnd"/>
      <w:r w:rsidRPr="00D92232">
        <w:rPr>
          <w:rFonts w:ascii="Segoe UI" w:eastAsia="Segoe UI" w:hAnsi="Segoe UI"/>
          <w:sz w:val="20"/>
          <w:szCs w:val="20"/>
          <w:lang w:eastAsia="en-US"/>
        </w:rPr>
        <w:t xml:space="preserve"> on an accounting basis).</w:t>
      </w:r>
    </w:p>
    <w:p w14:paraId="59F11927"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However, there may be special arrangements made as part of the contract such that a full risk transfer approach is not adopted. In these cases, the initial assets allocated to the new admission body will reflect the level of risk transferred and may therefore not be on a fully funded basis or may not reflect the full value of the benefits attributable to the transferring members.</w:t>
      </w:r>
    </w:p>
    <w:p w14:paraId="115EC074" w14:textId="77777777" w:rsidR="00D92232" w:rsidRPr="00D92232" w:rsidRDefault="00D92232" w:rsidP="00D92232">
      <w:pPr>
        <w:keepNext/>
        <w:spacing w:before="240" w:after="60"/>
        <w:outlineLvl w:val="2"/>
        <w:rPr>
          <w:rFonts w:ascii="Segoe UI Semibold" w:hAnsi="Segoe UI Semibold"/>
          <w:bCs/>
          <w:color w:val="68C0B5"/>
          <w:szCs w:val="26"/>
          <w:lang w:eastAsia="en-US"/>
        </w:rPr>
      </w:pPr>
      <w:r w:rsidRPr="00D92232">
        <w:rPr>
          <w:rFonts w:ascii="Segoe UI Semibold" w:hAnsi="Segoe UI Semibold"/>
          <w:bCs/>
          <w:color w:val="68C0B5"/>
          <w:szCs w:val="26"/>
          <w:lang w:eastAsia="en-US"/>
        </w:rPr>
        <w:t>Contribution rate</w:t>
      </w:r>
    </w:p>
    <w:p w14:paraId="7B09E4AC"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The contribution rate may be set on an open or a closed basis. Where the funding at the start of the contract is on a fully funded basis then the contribution rate will represent the primary rate only; where there is a deficit allocated to the new admission body then the contribution rate will also incorporate a secondary rate with the aim of recovering the deficit over an appropriate recovery period.</w:t>
      </w:r>
    </w:p>
    <w:p w14:paraId="4596A613"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Depending on the details of the arrangement, for example if any risk sharing arrangements are in place, then additional adjustments may be made to determine the contribution rate payable by the new admission body. The approach in these cases will be bespoke to the individual arrangement.</w:t>
      </w:r>
    </w:p>
    <w:p w14:paraId="3F6E1007" w14:textId="77777777" w:rsidR="00D92232" w:rsidRPr="00D92232" w:rsidRDefault="00D92232" w:rsidP="00D92232">
      <w:pPr>
        <w:keepNext/>
        <w:spacing w:before="240" w:after="60"/>
        <w:outlineLvl w:val="2"/>
        <w:rPr>
          <w:rFonts w:ascii="Segoe UI Semibold" w:hAnsi="Segoe UI Semibold"/>
          <w:bCs/>
          <w:color w:val="68C0B5"/>
          <w:szCs w:val="26"/>
          <w:lang w:eastAsia="en-US"/>
        </w:rPr>
      </w:pPr>
      <w:r w:rsidRPr="00D92232">
        <w:rPr>
          <w:rFonts w:ascii="Segoe UI Semibold" w:hAnsi="Segoe UI Semibold"/>
          <w:bCs/>
          <w:color w:val="68C0B5"/>
          <w:szCs w:val="26"/>
          <w:lang w:eastAsia="en-US"/>
        </w:rPr>
        <w:t>Security</w:t>
      </w:r>
    </w:p>
    <w:p w14:paraId="7C69B04F"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To mitigate the risk to the Fund that a new admission body will not be able to meet its obligations to the Fund in the future, the new admission body may be required to put in place a bond in accordance with Schedule 2 Part 3 of the Regulations, if required by the letting authority and administering authority.</w:t>
      </w:r>
    </w:p>
    <w:p w14:paraId="7D9DC9BF"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 xml:space="preserve">If, for any reason, it is not desirable for a new admission body to </w:t>
      </w:r>
      <w:proofErr w:type="gramStart"/>
      <w:r w:rsidRPr="00D92232">
        <w:rPr>
          <w:rFonts w:ascii="Segoe UI" w:eastAsia="Segoe UI" w:hAnsi="Segoe UI"/>
          <w:sz w:val="20"/>
          <w:szCs w:val="20"/>
          <w:lang w:eastAsia="en-US"/>
        </w:rPr>
        <w:t>enter into</w:t>
      </w:r>
      <w:proofErr w:type="gramEnd"/>
      <w:r w:rsidRPr="00D92232">
        <w:rPr>
          <w:rFonts w:ascii="Segoe UI" w:eastAsia="Segoe UI" w:hAnsi="Segoe UI"/>
          <w:sz w:val="20"/>
          <w:szCs w:val="20"/>
          <w:lang w:eastAsia="en-US"/>
        </w:rPr>
        <w:t xml:space="preserve"> a bond, the new admission body may provide an alternative form of security which is satisfactory to the administering authority.</w:t>
      </w:r>
    </w:p>
    <w:p w14:paraId="295198C1" w14:textId="77777777" w:rsidR="00D92232" w:rsidRPr="00D92232" w:rsidRDefault="00D92232" w:rsidP="00D92232">
      <w:pPr>
        <w:keepNext/>
        <w:spacing w:before="240" w:after="60"/>
        <w:outlineLvl w:val="2"/>
        <w:rPr>
          <w:rFonts w:ascii="Segoe UI Semibold" w:hAnsi="Segoe UI Semibold"/>
          <w:bCs/>
          <w:color w:val="68C0B5"/>
          <w:szCs w:val="26"/>
          <w:lang w:eastAsia="en-US"/>
        </w:rPr>
      </w:pPr>
      <w:r w:rsidRPr="00D92232">
        <w:rPr>
          <w:rFonts w:ascii="Segoe UI Semibold" w:hAnsi="Segoe UI Semibold"/>
          <w:bCs/>
          <w:color w:val="68C0B5"/>
          <w:szCs w:val="26"/>
          <w:lang w:eastAsia="en-US"/>
        </w:rPr>
        <w:t>Risk-sharing</w:t>
      </w:r>
    </w:p>
    <w:p w14:paraId="3A5DDB09"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Employers which “outsource” have flexibility in the way that they can deal with the pension risk potentially taken on by the admission body.  There are three different routes that such employers may wish to adopt.  Clearly as the risk ultimately resides with the employer letting the contract, it is for them to agree the appropriate route with the admission body:</w:t>
      </w:r>
    </w:p>
    <w:p w14:paraId="66AE5C41" w14:textId="77777777" w:rsidR="001E0E1B" w:rsidRDefault="00D92232" w:rsidP="001E0E1B">
      <w:pPr>
        <w:pStyle w:val="ListParagraph"/>
        <w:numPr>
          <w:ilvl w:val="0"/>
          <w:numId w:val="118"/>
        </w:numPr>
        <w:rPr>
          <w:rFonts w:ascii="Segoe UI" w:eastAsia="Segoe UI" w:hAnsi="Segoe UI"/>
          <w:sz w:val="20"/>
          <w:szCs w:val="20"/>
        </w:rPr>
      </w:pPr>
      <w:r w:rsidRPr="0033098D">
        <w:rPr>
          <w:rFonts w:ascii="Segoe UI" w:eastAsia="Segoe UI" w:hAnsi="Segoe UI"/>
          <w:b/>
          <w:bCs/>
          <w:sz w:val="20"/>
          <w:szCs w:val="20"/>
        </w:rPr>
        <w:t>Pooling</w:t>
      </w:r>
      <w:r w:rsidRPr="0033098D">
        <w:rPr>
          <w:rFonts w:ascii="Segoe UI" w:eastAsia="Segoe UI" w:hAnsi="Segoe UI"/>
          <w:sz w:val="20"/>
          <w:szCs w:val="20"/>
        </w:rPr>
        <w:t xml:space="preserve"> - Under this option the contractor is pooled with the letting employer.  In this case, the contractor pays the same rate as the letting employer.</w:t>
      </w:r>
    </w:p>
    <w:p w14:paraId="4A1E8FCD" w14:textId="77777777" w:rsidR="002946E2" w:rsidRDefault="00D92232" w:rsidP="002946E2">
      <w:pPr>
        <w:pStyle w:val="ListParagraph"/>
        <w:numPr>
          <w:ilvl w:val="0"/>
          <w:numId w:val="118"/>
        </w:numPr>
        <w:rPr>
          <w:rFonts w:ascii="Segoe UI" w:eastAsia="Segoe UI" w:hAnsi="Segoe UI"/>
          <w:sz w:val="20"/>
          <w:szCs w:val="20"/>
        </w:rPr>
      </w:pPr>
      <w:r w:rsidRPr="001E0E1B">
        <w:rPr>
          <w:rFonts w:ascii="Segoe UI" w:eastAsia="Segoe UI" w:hAnsi="Segoe UI"/>
          <w:b/>
          <w:bCs/>
          <w:sz w:val="20"/>
          <w:szCs w:val="20"/>
        </w:rPr>
        <w:t>Letting employer retains pre-contract risks</w:t>
      </w:r>
      <w:r w:rsidRPr="001E0E1B">
        <w:rPr>
          <w:rFonts w:ascii="Segoe UI" w:eastAsia="Segoe UI" w:hAnsi="Segoe UI"/>
          <w:sz w:val="20"/>
          <w:szCs w:val="20"/>
        </w:rPr>
        <w:t xml:space="preserve"> - Under this option the letting employer would retain responsibility for assets and liabilities in respect of service accrued prior to the contract commencement date.  The admission body would be responsible for the future liabilities that accrue in respect of transferred staff.  The admission body’s contribution rate could vary from one valuation to the next. It would be liable for any deficit (or entitled to any surplus) at the end of the contract term in respect of assets and liabilities attributable to service accrued during the contract term.</w:t>
      </w:r>
    </w:p>
    <w:p w14:paraId="279BD2E1" w14:textId="583A2808" w:rsidR="00D92232" w:rsidRPr="002946E2" w:rsidRDefault="00D92232" w:rsidP="002946E2">
      <w:pPr>
        <w:pStyle w:val="ListParagraph"/>
        <w:numPr>
          <w:ilvl w:val="0"/>
          <w:numId w:val="118"/>
        </w:numPr>
        <w:rPr>
          <w:rFonts w:ascii="Segoe UI" w:eastAsia="Segoe UI" w:hAnsi="Segoe UI"/>
          <w:sz w:val="20"/>
          <w:szCs w:val="20"/>
        </w:rPr>
      </w:pPr>
      <w:r w:rsidRPr="002946E2">
        <w:rPr>
          <w:rFonts w:ascii="Segoe UI" w:eastAsia="Segoe UI" w:hAnsi="Segoe UI"/>
          <w:b/>
          <w:bCs/>
          <w:sz w:val="20"/>
          <w:szCs w:val="20"/>
        </w:rPr>
        <w:t>Fixed contribution rate agreed</w:t>
      </w:r>
      <w:r w:rsidRPr="002946E2">
        <w:rPr>
          <w:rFonts w:ascii="Segoe UI" w:eastAsia="Segoe UI" w:hAnsi="Segoe UI"/>
          <w:sz w:val="20"/>
          <w:szCs w:val="20"/>
        </w:rPr>
        <w:t xml:space="preserve"> - </w:t>
      </w:r>
      <w:r w:rsidRPr="002946E2">
        <w:rPr>
          <w:rFonts w:ascii="Segoe UI" w:eastAsia="Segoe UI" w:hAnsi="Segoe UI"/>
          <w:iCs/>
          <w:sz w:val="20"/>
          <w:szCs w:val="20"/>
        </w:rPr>
        <w:t>Under this option the admission body pays a fixed contribution rate throughout its participation in the Fund and on cessation does not pay any deficit or receive an exit credit. In other words, the pension risks “pass through” to the letting employer.</w:t>
      </w:r>
    </w:p>
    <w:p w14:paraId="1FF5C4F4" w14:textId="77777777" w:rsidR="00D92232" w:rsidRPr="00D92232" w:rsidRDefault="00D92232" w:rsidP="00D92232">
      <w:pPr>
        <w:spacing w:after="200"/>
        <w:rPr>
          <w:rFonts w:ascii="Segoe UI" w:eastAsia="Segoe UI" w:hAnsi="Segoe UI"/>
          <w:sz w:val="20"/>
          <w:szCs w:val="20"/>
          <w:highlight w:val="yellow"/>
          <w:lang w:eastAsia="en-US"/>
        </w:rPr>
      </w:pPr>
      <w:r w:rsidRPr="00D92232">
        <w:rPr>
          <w:rFonts w:ascii="Segoe UI" w:eastAsia="Segoe UI" w:hAnsi="Segoe UI"/>
          <w:sz w:val="20"/>
          <w:szCs w:val="20"/>
          <w:lang w:eastAsia="en-US"/>
        </w:rPr>
        <w:t xml:space="preserve">The Administering Authority is willing to administer any of the above options if the approach is documented in the Admission Agreement as well as the transfer agreement. Alternatively, letting employers and admission bodies may operate any of the above options by entering into a separate Side Agreement. The Administering Authority would not necessarily be a party to this side </w:t>
      </w:r>
      <w:proofErr w:type="gramStart"/>
      <w:r w:rsidRPr="00D92232">
        <w:rPr>
          <w:rFonts w:ascii="Segoe UI" w:eastAsia="Segoe UI" w:hAnsi="Segoe UI"/>
          <w:sz w:val="20"/>
          <w:szCs w:val="20"/>
          <w:lang w:eastAsia="en-US"/>
        </w:rPr>
        <w:t>agreement, but</w:t>
      </w:r>
      <w:proofErr w:type="gramEnd"/>
      <w:r w:rsidRPr="00D92232">
        <w:rPr>
          <w:rFonts w:ascii="Segoe UI" w:eastAsia="Segoe UI" w:hAnsi="Segoe UI"/>
          <w:sz w:val="20"/>
          <w:szCs w:val="20"/>
          <w:lang w:eastAsia="en-US"/>
        </w:rPr>
        <w:t xml:space="preserve"> may treat the Admission Agreement as if it incorporates the side agreement terms where this is permitted by legislation or alternatively agreed by all parties.  </w:t>
      </w:r>
    </w:p>
    <w:p w14:paraId="3291757F"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 xml:space="preserve">Although pensions risk may be shared, it is common for the new admission body to remain responsible for pensions costs where it relates to their </w:t>
      </w:r>
      <w:proofErr w:type="gramStart"/>
      <w:r w:rsidRPr="00D92232">
        <w:rPr>
          <w:rFonts w:ascii="Segoe UI" w:eastAsia="Segoe UI" w:hAnsi="Segoe UI"/>
          <w:sz w:val="20"/>
          <w:szCs w:val="20"/>
          <w:lang w:eastAsia="en-US"/>
        </w:rPr>
        <w:t>decisions</w:t>
      </w:r>
      <w:proofErr w:type="gramEnd"/>
      <w:r w:rsidRPr="00D92232">
        <w:rPr>
          <w:rFonts w:ascii="Segoe UI" w:eastAsia="Segoe UI" w:hAnsi="Segoe UI"/>
          <w:sz w:val="20"/>
          <w:szCs w:val="20"/>
          <w:lang w:eastAsia="en-US"/>
        </w:rPr>
        <w:t xml:space="preserve"> and it is unfair to burden the letting authority with that risk. For example, the admission body should typically be responsible for pension costs that arise from: </w:t>
      </w:r>
    </w:p>
    <w:p w14:paraId="15114E5E" w14:textId="77777777" w:rsidR="005B3980" w:rsidRDefault="00D92232" w:rsidP="005B3980">
      <w:pPr>
        <w:pStyle w:val="ListParagraph"/>
        <w:numPr>
          <w:ilvl w:val="0"/>
          <w:numId w:val="119"/>
        </w:numPr>
        <w:rPr>
          <w:rFonts w:ascii="Segoe UI" w:eastAsia="Segoe UI" w:hAnsi="Segoe UI"/>
          <w:sz w:val="20"/>
          <w:szCs w:val="20"/>
        </w:rPr>
      </w:pPr>
      <w:r w:rsidRPr="005B3980">
        <w:rPr>
          <w:rFonts w:ascii="Segoe UI" w:eastAsia="Segoe UI" w:hAnsi="Segoe UI"/>
          <w:sz w:val="20"/>
          <w:szCs w:val="20"/>
        </w:rPr>
        <w:t xml:space="preserve">above average pay increases, including the effect on service accrued prior to contract commencement; and </w:t>
      </w:r>
    </w:p>
    <w:p w14:paraId="107B8842" w14:textId="775F10B8" w:rsidR="00D92232" w:rsidRPr="005B3980" w:rsidRDefault="00D92232" w:rsidP="005B3980">
      <w:pPr>
        <w:pStyle w:val="ListParagraph"/>
        <w:numPr>
          <w:ilvl w:val="0"/>
          <w:numId w:val="119"/>
        </w:numPr>
        <w:rPr>
          <w:rFonts w:ascii="Segoe UI" w:eastAsia="Segoe UI" w:hAnsi="Segoe UI"/>
          <w:sz w:val="20"/>
          <w:szCs w:val="20"/>
        </w:rPr>
      </w:pPr>
      <w:r w:rsidRPr="005B3980">
        <w:rPr>
          <w:rFonts w:ascii="Segoe UI" w:eastAsia="Segoe UI" w:hAnsi="Segoe UI"/>
          <w:sz w:val="20"/>
          <w:szCs w:val="20"/>
        </w:rPr>
        <w:t xml:space="preserve">redundancy and early retirement decisions. </w:t>
      </w:r>
    </w:p>
    <w:p w14:paraId="6E270D16"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Legal and actuarial advice in relation to risk-sharing arrangements should be sought where required.</w:t>
      </w:r>
    </w:p>
    <w:p w14:paraId="6B2DFF46" w14:textId="77777777" w:rsidR="00D92232" w:rsidRPr="00D92232" w:rsidRDefault="00D92232" w:rsidP="00CB1FBA">
      <w:pPr>
        <w:keepNext/>
        <w:spacing w:before="240" w:after="120"/>
        <w:outlineLvl w:val="1"/>
        <w:rPr>
          <w:rFonts w:ascii="Segoe UI Semibold" w:hAnsi="Segoe UI Semibold"/>
          <w:bCs/>
          <w:iCs/>
          <w:color w:val="009FE3"/>
          <w:sz w:val="28"/>
          <w:szCs w:val="28"/>
          <w:lang w:eastAsia="en-US"/>
        </w:rPr>
      </w:pPr>
      <w:bookmarkStart w:id="20" w:name="_Toc16069710"/>
      <w:r w:rsidRPr="00D92232">
        <w:rPr>
          <w:rFonts w:ascii="Segoe UI Semibold" w:hAnsi="Segoe UI Semibold"/>
          <w:bCs/>
          <w:iCs/>
          <w:color w:val="009FE3"/>
          <w:sz w:val="28"/>
          <w:szCs w:val="28"/>
          <w:lang w:eastAsia="en-US"/>
        </w:rPr>
        <w:t>New academies</w:t>
      </w:r>
      <w:bookmarkEnd w:id="20"/>
    </w:p>
    <w:p w14:paraId="5EA70B0D" w14:textId="77777777" w:rsidR="00D92232" w:rsidRP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 xml:space="preserve">When a school converts to academy status, the new academy (or the sponsoring multi-academy trust) becomes a Scheme </w:t>
      </w:r>
      <w:proofErr w:type="gramStart"/>
      <w:r w:rsidRPr="00D92232">
        <w:rPr>
          <w:rFonts w:ascii="Segoe UI" w:eastAsia="Segoe UI" w:hAnsi="Segoe UI"/>
          <w:sz w:val="20"/>
          <w:szCs w:val="20"/>
          <w:lang w:eastAsia="en-US"/>
        </w:rPr>
        <w:t>employer in its own right</w:t>
      </w:r>
      <w:proofErr w:type="gramEnd"/>
      <w:r w:rsidRPr="00D92232">
        <w:rPr>
          <w:rFonts w:ascii="Segoe UI" w:eastAsia="Segoe UI" w:hAnsi="Segoe UI"/>
          <w:sz w:val="20"/>
          <w:szCs w:val="20"/>
          <w:lang w:eastAsia="en-US"/>
        </w:rPr>
        <w:t>.</w:t>
      </w:r>
    </w:p>
    <w:p w14:paraId="495FDDD8" w14:textId="77777777" w:rsidR="00D92232" w:rsidRPr="00D92232" w:rsidRDefault="00D92232" w:rsidP="00D92232">
      <w:pPr>
        <w:keepNext/>
        <w:spacing w:before="240" w:after="60"/>
        <w:outlineLvl w:val="2"/>
        <w:rPr>
          <w:rFonts w:ascii="Segoe UI Semibold" w:hAnsi="Segoe UI Semibold"/>
          <w:bCs/>
          <w:color w:val="68C0B5"/>
          <w:szCs w:val="26"/>
          <w:lang w:eastAsia="en-US"/>
        </w:rPr>
      </w:pPr>
      <w:r w:rsidRPr="00D92232">
        <w:rPr>
          <w:rFonts w:ascii="Segoe UI Semibold" w:hAnsi="Segoe UI Semibold"/>
          <w:bCs/>
          <w:color w:val="68C0B5"/>
          <w:szCs w:val="26"/>
          <w:lang w:eastAsia="en-US"/>
        </w:rPr>
        <w:t>Funding at start</w:t>
      </w:r>
    </w:p>
    <w:p w14:paraId="7DCE856D" w14:textId="77777777" w:rsidR="00D922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On conversion to academy status, the new academy will be allocated assets based on the active cover of the relevant local authority at the conversion date. The active cover approach is based on the funding level of the local authority’s active liabilities, after fully funding the local authority’s deferred and pensioner liabilities.</w:t>
      </w:r>
    </w:p>
    <w:p w14:paraId="17622226" w14:textId="77777777" w:rsidR="00D15E32" w:rsidRPr="00D92232" w:rsidRDefault="00D15E32" w:rsidP="00D92232">
      <w:pPr>
        <w:spacing w:after="200"/>
        <w:rPr>
          <w:rFonts w:ascii="Segoe UI" w:eastAsia="Segoe UI" w:hAnsi="Segoe UI"/>
          <w:sz w:val="20"/>
          <w:szCs w:val="20"/>
          <w:lang w:eastAsia="en-US"/>
        </w:rPr>
      </w:pPr>
    </w:p>
    <w:p w14:paraId="76E19E41" w14:textId="77777777" w:rsidR="00D92232" w:rsidRPr="00D92232" w:rsidRDefault="00D92232" w:rsidP="00D92232">
      <w:pPr>
        <w:keepNext/>
        <w:spacing w:before="240" w:after="60"/>
        <w:outlineLvl w:val="2"/>
        <w:rPr>
          <w:rFonts w:ascii="Segoe UI Semibold" w:hAnsi="Segoe UI Semibold"/>
          <w:bCs/>
          <w:color w:val="68C0B5"/>
          <w:szCs w:val="26"/>
          <w:lang w:eastAsia="en-US"/>
        </w:rPr>
      </w:pPr>
      <w:r w:rsidRPr="00D92232">
        <w:rPr>
          <w:rFonts w:ascii="Segoe UI Semibold" w:hAnsi="Segoe UI Semibold"/>
          <w:bCs/>
          <w:color w:val="68C0B5"/>
          <w:szCs w:val="26"/>
          <w:lang w:eastAsia="en-US"/>
        </w:rPr>
        <w:t>Contribution rate</w:t>
      </w:r>
    </w:p>
    <w:p w14:paraId="26EC1924" w14:textId="35501446" w:rsidR="00D15E32" w:rsidRDefault="00D92232" w:rsidP="00D92232">
      <w:pPr>
        <w:spacing w:after="200"/>
        <w:rPr>
          <w:rFonts w:ascii="Segoe UI" w:eastAsia="Segoe UI" w:hAnsi="Segoe UI"/>
          <w:sz w:val="20"/>
          <w:szCs w:val="20"/>
          <w:lang w:eastAsia="en-US"/>
        </w:rPr>
      </w:pPr>
      <w:r w:rsidRPr="00D92232">
        <w:rPr>
          <w:rFonts w:ascii="Segoe UI" w:eastAsia="Segoe UI" w:hAnsi="Segoe UI"/>
          <w:sz w:val="20"/>
          <w:szCs w:val="20"/>
          <w:lang w:eastAsia="en-US"/>
        </w:rPr>
        <w:t xml:space="preserve">The contribution rate payable when a new academy joins the Fund will be calculated </w:t>
      </w:r>
      <w:proofErr w:type="gramStart"/>
      <w:r w:rsidRPr="00D92232">
        <w:rPr>
          <w:rFonts w:ascii="Segoe UI" w:eastAsia="Segoe UI" w:hAnsi="Segoe UI"/>
          <w:sz w:val="20"/>
          <w:szCs w:val="20"/>
          <w:lang w:eastAsia="en-US"/>
        </w:rPr>
        <w:t>taking into account</w:t>
      </w:r>
      <w:proofErr w:type="gramEnd"/>
      <w:r w:rsidRPr="00D92232">
        <w:rPr>
          <w:rFonts w:ascii="Segoe UI" w:eastAsia="Segoe UI" w:hAnsi="Segoe UI"/>
          <w:sz w:val="20"/>
          <w:szCs w:val="20"/>
          <w:lang w:eastAsia="en-US"/>
        </w:rPr>
        <w:t xml:space="preserve"> the academy’s individual membership and funding position on conversion.</w:t>
      </w:r>
    </w:p>
    <w:p w14:paraId="68465DF9" w14:textId="77777777" w:rsidR="006E21F9" w:rsidRPr="006E21F9" w:rsidRDefault="006E21F9" w:rsidP="006E21F9">
      <w:pPr>
        <w:keepNext/>
        <w:pageBreakBefore/>
        <w:spacing w:before="240" w:after="240"/>
        <w:outlineLvl w:val="0"/>
        <w:rPr>
          <w:rFonts w:ascii="Segoe UI Semibold" w:hAnsi="Segoe UI Semibold"/>
          <w:bCs/>
          <w:color w:val="0069B4"/>
          <w:kern w:val="32"/>
          <w:sz w:val="36"/>
          <w:szCs w:val="32"/>
          <w:lang w:eastAsia="en-US"/>
        </w:rPr>
      </w:pPr>
      <w:bookmarkStart w:id="21" w:name="_Toc16069711"/>
      <w:r w:rsidRPr="006E21F9">
        <w:rPr>
          <w:rFonts w:ascii="Segoe UI Semibold" w:hAnsi="Segoe UI Semibold"/>
          <w:bCs/>
          <w:color w:val="0069B4"/>
          <w:kern w:val="32"/>
          <w:sz w:val="36"/>
          <w:szCs w:val="32"/>
          <w:lang w:eastAsia="en-US"/>
        </w:rPr>
        <w:t>Contribution reviews between actuarial valuations</w:t>
      </w:r>
    </w:p>
    <w:p w14:paraId="6E8FF817"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It is anticipated for most Scheme employers that the contribution rates certified at the formal actuarial valuation will remain payable for the period of the rates and adjustments certificate. However, there may be circumstances where a review of the contribution rates payable by an employer (or a group of employers) under Regulation 64A is deemed appropriate by the administering authority. </w:t>
      </w:r>
    </w:p>
    <w:p w14:paraId="242D7402"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A contribution review may be requested by an employer or be required by the administering authority. The review may only take place if one of the following conditions are met:</w:t>
      </w:r>
    </w:p>
    <w:p w14:paraId="7EC828B2"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(i)</w:t>
      </w:r>
      <w:r w:rsidRPr="006E21F9">
        <w:rPr>
          <w:rFonts w:ascii="Segoe UI" w:eastAsia="Segoe UI" w:hAnsi="Segoe UI"/>
          <w:sz w:val="20"/>
          <w:szCs w:val="20"/>
          <w:lang w:eastAsia="en-US"/>
        </w:rPr>
        <w:tab/>
        <w:t xml:space="preserve">it appears likely to the administering authority that the amount of the liabilities arising or likely to arise has changed significantly since the last </w:t>
      </w:r>
      <w:proofErr w:type="gramStart"/>
      <w:r w:rsidRPr="006E21F9">
        <w:rPr>
          <w:rFonts w:ascii="Segoe UI" w:eastAsia="Segoe UI" w:hAnsi="Segoe UI"/>
          <w:sz w:val="20"/>
          <w:szCs w:val="20"/>
          <w:lang w:eastAsia="en-US"/>
        </w:rPr>
        <w:t>valuation;</w:t>
      </w:r>
      <w:proofErr w:type="gramEnd"/>
    </w:p>
    <w:p w14:paraId="5FCE28CD"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(ii)</w:t>
      </w:r>
      <w:r w:rsidRPr="006E21F9">
        <w:rPr>
          <w:rFonts w:ascii="Segoe UI" w:eastAsia="Segoe UI" w:hAnsi="Segoe UI"/>
          <w:sz w:val="20"/>
          <w:szCs w:val="20"/>
          <w:lang w:eastAsia="en-US"/>
        </w:rPr>
        <w:tab/>
        <w:t>it appears likely to the administering authority that there has been a significant change in the ability of the Scheme employer or employers to meet the obligations of employers in the Scheme; or</w:t>
      </w:r>
    </w:p>
    <w:p w14:paraId="03002F4C"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(iii)</w:t>
      </w:r>
      <w:r w:rsidRPr="006E21F9">
        <w:rPr>
          <w:rFonts w:ascii="Segoe UI" w:eastAsia="Segoe UI" w:hAnsi="Segoe UI"/>
          <w:sz w:val="20"/>
          <w:szCs w:val="20"/>
          <w:lang w:eastAsia="en-US"/>
        </w:rPr>
        <w:tab/>
        <w:t>a Scheme employer or employers have requested a review of Scheme employer contributions and have undertaken to meet the costs of that review. A request under this condition can only be made if there has been a significant change in the liabilities arising or likely to arise and/or there has been a significant change in the ability of the Scheme employer to meet its obligations to the Fund.</w:t>
      </w:r>
    </w:p>
    <w:p w14:paraId="39231C86"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Guidance on the administering authority’s approach considering the appropriateness of a review and the process in which a review will be conducted is set out the Fund’s separate Contribution review policy which can be accessed here. This includes details of the process that should be followed where an employer would like to request a review. </w:t>
      </w:r>
    </w:p>
    <w:p w14:paraId="130A1714"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Once a review of contribution rates has been agreed, unless the impact of amending the contribution rates is deemed immaterial by the Fund Actuary, then the results of the review will be applied with effect from the agreed review date, regardless of the direction of change in the contribution rates.</w:t>
      </w:r>
    </w:p>
    <w:p w14:paraId="05240EF2"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Note that where a Scheme employer seems likely to exit the Fund before the next actuarial valuation then the administering authority can exercise its powers under Regulation 64(4) to carry out a review of contributions with a view to providing that assets attributable to the Scheme employer are equivalent to the exit payment that will be due from the Scheme employer. These cases do not fall under the separate contribution review policy.</w:t>
      </w:r>
    </w:p>
    <w:p w14:paraId="535E01A0" w14:textId="77777777" w:rsidR="006E21F9" w:rsidRPr="006E21F9" w:rsidRDefault="006E21F9" w:rsidP="006E21F9">
      <w:pPr>
        <w:spacing w:after="200"/>
        <w:rPr>
          <w:rFonts w:ascii="Segoe UI" w:eastAsia="Segoe UI" w:hAnsi="Segoe UI"/>
          <w:sz w:val="20"/>
          <w:szCs w:val="20"/>
          <w:lang w:eastAsia="en-US"/>
        </w:rPr>
      </w:pPr>
      <w:proofErr w:type="gramStart"/>
      <w:r w:rsidRPr="006E21F9">
        <w:rPr>
          <w:rFonts w:ascii="Segoe UI" w:eastAsia="Segoe UI" w:hAnsi="Segoe UI"/>
          <w:sz w:val="20"/>
          <w:szCs w:val="20"/>
          <w:lang w:eastAsia="en-US"/>
        </w:rPr>
        <w:t>With the exception of</w:t>
      </w:r>
      <w:proofErr w:type="gramEnd"/>
      <w:r w:rsidRPr="006E21F9">
        <w:rPr>
          <w:rFonts w:ascii="Segoe UI" w:eastAsia="Segoe UI" w:hAnsi="Segoe UI"/>
          <w:sz w:val="20"/>
          <w:szCs w:val="20"/>
          <w:lang w:eastAsia="en-US"/>
        </w:rPr>
        <w:t xml:space="preserve"> any cases falling under Regulation 64(4), the administering authority will not accept a request for a review of contributions where the effective date is within 12 months of the next Rates and Adjustments Certificate.</w:t>
      </w:r>
    </w:p>
    <w:p w14:paraId="58713B4E" w14:textId="77777777" w:rsidR="006E21F9" w:rsidRPr="006E21F9" w:rsidRDefault="006E21F9" w:rsidP="006E21F9">
      <w:pPr>
        <w:spacing w:after="200"/>
        <w:rPr>
          <w:rFonts w:ascii="Segoe UI" w:eastAsia="Segoe UI" w:hAnsi="Segoe UI"/>
          <w:sz w:val="20"/>
          <w:szCs w:val="20"/>
          <w:lang w:eastAsia="en-US"/>
        </w:rPr>
      </w:pPr>
    </w:p>
    <w:p w14:paraId="0AFCF38F" w14:textId="77777777" w:rsidR="006E21F9" w:rsidRPr="006E21F9" w:rsidRDefault="006E21F9" w:rsidP="006E21F9">
      <w:pPr>
        <w:keepNext/>
        <w:pageBreakBefore/>
        <w:spacing w:before="240" w:after="240"/>
        <w:outlineLvl w:val="0"/>
        <w:rPr>
          <w:rFonts w:ascii="Segoe UI Semibold" w:hAnsi="Segoe UI Semibold"/>
          <w:bCs/>
          <w:color w:val="0069B4"/>
          <w:kern w:val="32"/>
          <w:sz w:val="36"/>
          <w:szCs w:val="32"/>
          <w:lang w:eastAsia="en-US"/>
        </w:rPr>
      </w:pPr>
      <w:r w:rsidRPr="006E21F9">
        <w:rPr>
          <w:rFonts w:ascii="Segoe UI Semibold" w:hAnsi="Segoe UI Semibold"/>
          <w:bCs/>
          <w:color w:val="0069B4"/>
          <w:kern w:val="32"/>
          <w:sz w:val="36"/>
          <w:szCs w:val="32"/>
          <w:lang w:eastAsia="en-US"/>
        </w:rPr>
        <w:t>Cessation valuations</w:t>
      </w:r>
      <w:bookmarkEnd w:id="21"/>
    </w:p>
    <w:p w14:paraId="25186EB9"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When a Scheme employer exits the Fund and becomes an </w:t>
      </w:r>
      <w:proofErr w:type="spellStart"/>
      <w:r w:rsidRPr="006E21F9">
        <w:rPr>
          <w:rFonts w:ascii="Segoe UI" w:eastAsia="Segoe UI" w:hAnsi="Segoe UI"/>
          <w:sz w:val="20"/>
          <w:szCs w:val="20"/>
          <w:lang w:eastAsia="en-US"/>
        </w:rPr>
        <w:t>exiting</w:t>
      </w:r>
      <w:proofErr w:type="spellEnd"/>
      <w:r w:rsidRPr="006E21F9">
        <w:rPr>
          <w:rFonts w:ascii="Segoe UI" w:eastAsia="Segoe UI" w:hAnsi="Segoe UI"/>
          <w:sz w:val="20"/>
          <w:szCs w:val="20"/>
          <w:lang w:eastAsia="en-US"/>
        </w:rPr>
        <w:t xml:space="preserve"> employer, as required under the Regulations the Fund Actuary will be asked to carry out an actuarial valuation </w:t>
      </w:r>
      <w:proofErr w:type="gramStart"/>
      <w:r w:rsidRPr="006E21F9">
        <w:rPr>
          <w:rFonts w:ascii="Segoe UI" w:eastAsia="Segoe UI" w:hAnsi="Segoe UI"/>
          <w:sz w:val="20"/>
          <w:szCs w:val="20"/>
          <w:lang w:eastAsia="en-US"/>
        </w:rPr>
        <w:t>in order to</w:t>
      </w:r>
      <w:proofErr w:type="gramEnd"/>
      <w:r w:rsidRPr="006E21F9">
        <w:rPr>
          <w:rFonts w:ascii="Segoe UI" w:eastAsia="Segoe UI" w:hAnsi="Segoe UI"/>
          <w:sz w:val="20"/>
          <w:szCs w:val="20"/>
          <w:lang w:eastAsia="en-US"/>
        </w:rPr>
        <w:t xml:space="preserve"> determine the liabilities in respect of the benefits held by the exiting employer’s current and former employees. The Fund Actuary is also required to determine the exit payment due from the exiting employer to the Fund or the exit credit payable from the Fund to the exiting employer. </w:t>
      </w:r>
    </w:p>
    <w:p w14:paraId="355C6468"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Any deficit in the Fund in respect of the exiting employer will be due to the Fund as a single lump sum payment, unless it is agreed by the administering authority and the other parties involved that an alternative approach is permissible. For example:</w:t>
      </w:r>
    </w:p>
    <w:p w14:paraId="7FBA7F55" w14:textId="77777777" w:rsidR="00435090" w:rsidRDefault="006E21F9" w:rsidP="00435090">
      <w:pPr>
        <w:pStyle w:val="ListParagraph"/>
        <w:numPr>
          <w:ilvl w:val="0"/>
          <w:numId w:val="120"/>
        </w:numPr>
        <w:rPr>
          <w:rFonts w:ascii="Segoe UI" w:eastAsia="Segoe UI" w:hAnsi="Segoe UI"/>
          <w:sz w:val="20"/>
          <w:szCs w:val="20"/>
        </w:rPr>
      </w:pPr>
      <w:r w:rsidRPr="00435090">
        <w:rPr>
          <w:rFonts w:ascii="Segoe UI" w:eastAsia="Segoe UI" w:hAnsi="Segoe UI"/>
          <w:sz w:val="20"/>
          <w:szCs w:val="20"/>
        </w:rPr>
        <w:t xml:space="preserve">It may be agreed with the administering authority that the exit payment can be spread over some agreed </w:t>
      </w:r>
      <w:proofErr w:type="gramStart"/>
      <w:r w:rsidRPr="00435090">
        <w:rPr>
          <w:rFonts w:ascii="Segoe UI" w:eastAsia="Segoe UI" w:hAnsi="Segoe UI"/>
          <w:sz w:val="20"/>
          <w:szCs w:val="20"/>
        </w:rPr>
        <w:t>period;</w:t>
      </w:r>
      <w:proofErr w:type="gramEnd"/>
    </w:p>
    <w:p w14:paraId="7028DE0F" w14:textId="77777777" w:rsidR="00435090" w:rsidRDefault="006E21F9" w:rsidP="00435090">
      <w:pPr>
        <w:pStyle w:val="ListParagraph"/>
        <w:numPr>
          <w:ilvl w:val="0"/>
          <w:numId w:val="120"/>
        </w:numPr>
        <w:rPr>
          <w:rFonts w:ascii="Segoe UI" w:eastAsia="Segoe UI" w:hAnsi="Segoe UI"/>
          <w:sz w:val="20"/>
          <w:szCs w:val="20"/>
        </w:rPr>
      </w:pPr>
      <w:r w:rsidRPr="00435090">
        <w:rPr>
          <w:rFonts w:ascii="Segoe UI" w:eastAsia="Segoe UI" w:hAnsi="Segoe UI"/>
          <w:sz w:val="20"/>
          <w:szCs w:val="20"/>
        </w:rPr>
        <w:t xml:space="preserve">the assets and liabilities relating to the employer may transfer within the Fund to another participating employer; or </w:t>
      </w:r>
    </w:p>
    <w:p w14:paraId="642C15AE" w14:textId="534A9AFE" w:rsidR="006E21F9" w:rsidRPr="00435090" w:rsidRDefault="006E21F9" w:rsidP="00435090">
      <w:pPr>
        <w:pStyle w:val="ListParagraph"/>
        <w:numPr>
          <w:ilvl w:val="0"/>
          <w:numId w:val="120"/>
        </w:numPr>
        <w:rPr>
          <w:rFonts w:ascii="Segoe UI" w:eastAsia="Segoe UI" w:hAnsi="Segoe UI"/>
          <w:sz w:val="20"/>
          <w:szCs w:val="20"/>
        </w:rPr>
      </w:pPr>
      <w:r w:rsidRPr="00435090">
        <w:rPr>
          <w:rFonts w:ascii="Segoe UI" w:eastAsia="Segoe UI" w:hAnsi="Segoe UI"/>
          <w:sz w:val="20"/>
          <w:szCs w:val="20"/>
        </w:rPr>
        <w:t>the employer’s exit may be deferred subject to agreement with the administering authority, for example if it intends to offer Scheme membership to a new employee within the following three years.</w:t>
      </w:r>
    </w:p>
    <w:p w14:paraId="0A48A20F"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Similarly, any surplus in the Fund in respect of the exiting employer may be treated differently to a payment of an exit credit, subject to the agreement between the relevant parties and any legal documentation.</w:t>
      </w:r>
    </w:p>
    <w:p w14:paraId="1F7DD7DE"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In assessing the value of the liabilities attributable to the exiting employer, the Fund Actuary may adopt differing approaches depending on the employer and the specific details surrounding the employer’s cessation scenario. </w:t>
      </w:r>
    </w:p>
    <w:p w14:paraId="39CF1EE3"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For example, if there is no guarantor in the Fund willing to accept responsibility for the residual liabilities of the exiting employer, then those liabilities are likely to be assessed on a “minimum risk” basis leading to a higher exit payment being required from (or lower exit credit being paid to) the employer, in order to extinguish their liabilities to the Fund and to reduce the risk of these liabilities needing to be met by other participating employers in future.  </w:t>
      </w:r>
    </w:p>
    <w:p w14:paraId="59E0CFFE"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If it is agreed that another employer in the Fund will accept responsibility for the residual liabilities, then the assumptions adopted will be consistent with the current ongoing funding position, but additional prudence may be included in order to take into account potential uncertainties and risk </w:t>
      </w:r>
      <w:proofErr w:type="gramStart"/>
      <w:r w:rsidRPr="006E21F9">
        <w:rPr>
          <w:rFonts w:ascii="Segoe UI" w:eastAsia="Segoe UI" w:hAnsi="Segoe UI"/>
          <w:sz w:val="20"/>
          <w:szCs w:val="20"/>
          <w:lang w:eastAsia="en-US"/>
        </w:rPr>
        <w:t>e.g.</w:t>
      </w:r>
      <w:proofErr w:type="gramEnd"/>
      <w:r w:rsidRPr="006E21F9">
        <w:rPr>
          <w:rFonts w:ascii="Segoe UI" w:eastAsia="Segoe UI" w:hAnsi="Segoe UI"/>
          <w:sz w:val="20"/>
          <w:szCs w:val="20"/>
          <w:lang w:eastAsia="en-US"/>
        </w:rPr>
        <w:t xml:space="preserve"> due to adverse market changes, additional liabilities arising from regulatory or legislative change and political/economic uncertainties. The additional level of prudence will be set by considering the distribution of funding levels under </w:t>
      </w:r>
      <w:proofErr w:type="gramStart"/>
      <w:r w:rsidRPr="006E21F9">
        <w:rPr>
          <w:rFonts w:ascii="Segoe UI" w:eastAsia="Segoe UI" w:hAnsi="Segoe UI"/>
          <w:sz w:val="20"/>
          <w:szCs w:val="20"/>
          <w:lang w:eastAsia="en-US"/>
        </w:rPr>
        <w:t>a large number of</w:t>
      </w:r>
      <w:proofErr w:type="gramEnd"/>
      <w:r w:rsidRPr="006E21F9">
        <w:rPr>
          <w:rFonts w:ascii="Segoe UI" w:eastAsia="Segoe UI" w:hAnsi="Segoe UI"/>
          <w:sz w:val="20"/>
          <w:szCs w:val="20"/>
          <w:lang w:eastAsia="en-US"/>
        </w:rPr>
        <w:t xml:space="preserve"> economic scenarios, with the aim being to gain a reasonable level of confidence that the Fund will be able to meet its benefits obligations to the relevant members in future.</w:t>
      </w:r>
    </w:p>
    <w:p w14:paraId="209821D6" w14:textId="77777777" w:rsidR="006E21F9" w:rsidRPr="006E21F9" w:rsidRDefault="006E21F9" w:rsidP="00EB4DB6">
      <w:pPr>
        <w:keepNext/>
        <w:spacing w:before="240" w:after="120"/>
        <w:outlineLvl w:val="1"/>
        <w:rPr>
          <w:rFonts w:ascii="Segoe UI Semibold" w:hAnsi="Segoe UI Semibold"/>
          <w:bCs/>
          <w:iCs/>
          <w:color w:val="009FE3"/>
          <w:sz w:val="28"/>
          <w:szCs w:val="28"/>
          <w:lang w:eastAsia="en-US"/>
        </w:rPr>
      </w:pPr>
      <w:bookmarkStart w:id="22" w:name="_Toc50110769"/>
      <w:r w:rsidRPr="006E21F9">
        <w:rPr>
          <w:rFonts w:ascii="Segoe UI Semibold" w:hAnsi="Segoe UI Semibold"/>
          <w:bCs/>
          <w:iCs/>
          <w:color w:val="009FE3"/>
          <w:sz w:val="28"/>
          <w:szCs w:val="28"/>
          <w:lang w:eastAsia="en-US"/>
        </w:rPr>
        <w:t xml:space="preserve">Exit credit </w:t>
      </w:r>
      <w:proofErr w:type="gramStart"/>
      <w:r w:rsidRPr="006E21F9">
        <w:rPr>
          <w:rFonts w:ascii="Segoe UI Semibold" w:hAnsi="Segoe UI Semibold"/>
          <w:bCs/>
          <w:iCs/>
          <w:color w:val="009FE3"/>
          <w:sz w:val="28"/>
          <w:szCs w:val="28"/>
          <w:lang w:eastAsia="en-US"/>
        </w:rPr>
        <w:t>policy</w:t>
      </w:r>
      <w:bookmarkEnd w:id="22"/>
      <w:proofErr w:type="gramEnd"/>
    </w:p>
    <w:p w14:paraId="0756CB10" w14:textId="77777777" w:rsidR="006E21F9" w:rsidRPr="006E21F9" w:rsidRDefault="006E21F9" w:rsidP="006E21F9">
      <w:pPr>
        <w:spacing w:after="200"/>
        <w:rPr>
          <w:rFonts w:ascii="Segoe UI" w:eastAsia="Segoe UI" w:hAnsi="Segoe UI"/>
          <w:color w:val="000000"/>
          <w:sz w:val="20"/>
          <w:szCs w:val="20"/>
          <w:lang w:eastAsia="en-US"/>
        </w:rPr>
      </w:pPr>
      <w:r w:rsidRPr="006E21F9">
        <w:rPr>
          <w:rFonts w:ascii="Segoe UI" w:eastAsia="Segoe UI" w:hAnsi="Segoe UI"/>
          <w:color w:val="000000"/>
          <w:sz w:val="20"/>
          <w:szCs w:val="20"/>
          <w:lang w:eastAsia="en-US"/>
        </w:rPr>
        <w:t xml:space="preserve">The Local Government Pension Scheme (LGPS) (Amendment) Regulations 2018 were introduced in May 2018 which allow administering authorities to make an exit credit payment to exiting employers. This will be reviewed on a </w:t>
      </w:r>
      <w:proofErr w:type="gramStart"/>
      <w:r w:rsidRPr="006E21F9">
        <w:rPr>
          <w:rFonts w:ascii="Segoe UI" w:eastAsia="Segoe UI" w:hAnsi="Segoe UI"/>
          <w:color w:val="000000"/>
          <w:sz w:val="20"/>
          <w:szCs w:val="20"/>
          <w:lang w:eastAsia="en-US"/>
        </w:rPr>
        <w:t>case by case</w:t>
      </w:r>
      <w:proofErr w:type="gramEnd"/>
      <w:r w:rsidRPr="006E21F9">
        <w:rPr>
          <w:rFonts w:ascii="Segoe UI" w:eastAsia="Segoe UI" w:hAnsi="Segoe UI"/>
          <w:color w:val="000000"/>
          <w:sz w:val="20"/>
          <w:szCs w:val="20"/>
          <w:lang w:eastAsia="en-US"/>
        </w:rPr>
        <w:t xml:space="preserve"> basis before any payment is made. Considerations will be based on any previous agreements made and discussions between the administering authority, the exiting </w:t>
      </w:r>
      <w:proofErr w:type="gramStart"/>
      <w:r w:rsidRPr="006E21F9">
        <w:rPr>
          <w:rFonts w:ascii="Segoe UI" w:eastAsia="Segoe UI" w:hAnsi="Segoe UI"/>
          <w:color w:val="000000"/>
          <w:sz w:val="20"/>
          <w:szCs w:val="20"/>
          <w:lang w:eastAsia="en-US"/>
        </w:rPr>
        <w:t>employer</w:t>
      </w:r>
      <w:proofErr w:type="gramEnd"/>
      <w:r w:rsidRPr="006E21F9">
        <w:rPr>
          <w:rFonts w:ascii="Segoe UI" w:eastAsia="Segoe UI" w:hAnsi="Segoe UI"/>
          <w:color w:val="000000"/>
          <w:sz w:val="20"/>
          <w:szCs w:val="20"/>
          <w:lang w:eastAsia="en-US"/>
        </w:rPr>
        <w:t xml:space="preserve"> and the guaranteeing employer (if relevant).</w:t>
      </w:r>
    </w:p>
    <w:p w14:paraId="27B8E0C2" w14:textId="77777777" w:rsidR="006E21F9" w:rsidRPr="006E21F9" w:rsidRDefault="006E21F9" w:rsidP="006E21F9">
      <w:pPr>
        <w:spacing w:after="200"/>
        <w:rPr>
          <w:rFonts w:ascii="Segoe UI" w:eastAsia="Segoe UI" w:hAnsi="Segoe UI"/>
          <w:color w:val="000000"/>
          <w:sz w:val="20"/>
          <w:szCs w:val="20"/>
          <w:lang w:eastAsia="en-US"/>
        </w:rPr>
      </w:pPr>
      <w:r w:rsidRPr="006E21F9">
        <w:rPr>
          <w:rFonts w:ascii="Segoe UI" w:eastAsia="Segoe UI" w:hAnsi="Segoe UI"/>
          <w:color w:val="000000"/>
          <w:sz w:val="20"/>
          <w:szCs w:val="20"/>
          <w:lang w:eastAsia="en-US"/>
        </w:rPr>
        <w:t>Having regard to any relevant considerations, the administering authority will take the following approach to the payment of exit credits:</w:t>
      </w:r>
    </w:p>
    <w:p w14:paraId="38CDB916" w14:textId="77777777" w:rsidR="007E7029" w:rsidRDefault="006E21F9" w:rsidP="007E7029">
      <w:pPr>
        <w:pStyle w:val="ListParagraph"/>
        <w:numPr>
          <w:ilvl w:val="0"/>
          <w:numId w:val="121"/>
        </w:numPr>
        <w:rPr>
          <w:rFonts w:ascii="Segoe UI" w:eastAsia="Segoe UI" w:hAnsi="Segoe UI"/>
          <w:color w:val="000000"/>
          <w:sz w:val="20"/>
          <w:szCs w:val="20"/>
        </w:rPr>
      </w:pPr>
      <w:r w:rsidRPr="007E7029">
        <w:rPr>
          <w:rFonts w:ascii="Segoe UI" w:eastAsia="Segoe UI" w:hAnsi="Segoe UI"/>
          <w:color w:val="000000"/>
          <w:sz w:val="20"/>
          <w:szCs w:val="20"/>
        </w:rPr>
        <w:t xml:space="preserve">Any employer who cannot demonstrate that they have been exposed to underfunding risk during their participation in the Fund will not be entitled to an exit credit payment. This is on the basis that these employers would not have been asked to pay an exit payment had a deficit existed at the time of exit.  </w:t>
      </w:r>
    </w:p>
    <w:p w14:paraId="5F3C6092" w14:textId="77777777" w:rsidR="007E7029" w:rsidRDefault="006E21F9" w:rsidP="007E7029">
      <w:pPr>
        <w:pStyle w:val="ListParagraph"/>
        <w:numPr>
          <w:ilvl w:val="0"/>
          <w:numId w:val="121"/>
        </w:numPr>
        <w:rPr>
          <w:rFonts w:ascii="Segoe UI" w:eastAsia="Segoe UI" w:hAnsi="Segoe UI"/>
          <w:color w:val="000000"/>
          <w:sz w:val="20"/>
          <w:szCs w:val="20"/>
        </w:rPr>
      </w:pPr>
      <w:r w:rsidRPr="007E7029">
        <w:rPr>
          <w:rFonts w:ascii="Segoe UI" w:eastAsia="Segoe UI" w:hAnsi="Segoe UI"/>
          <w:color w:val="000000"/>
          <w:sz w:val="20"/>
          <w:szCs w:val="20"/>
        </w:rPr>
        <w:t xml:space="preserve">The administering authority does not need to enquire into the precise risk sharing arrangement adopted by an </w:t>
      </w:r>
      <w:proofErr w:type="gramStart"/>
      <w:r w:rsidRPr="007E7029">
        <w:rPr>
          <w:rFonts w:ascii="Segoe UI" w:eastAsia="Segoe UI" w:hAnsi="Segoe UI"/>
          <w:color w:val="000000"/>
          <w:sz w:val="20"/>
          <w:szCs w:val="20"/>
        </w:rPr>
        <w:t>employer</w:t>
      </w:r>
      <w:proofErr w:type="gramEnd"/>
      <w:r w:rsidRPr="007E7029">
        <w:rPr>
          <w:rFonts w:ascii="Segoe UI" w:eastAsia="Segoe UI" w:hAnsi="Segoe UI"/>
          <w:color w:val="000000"/>
          <w:sz w:val="20"/>
          <w:szCs w:val="20"/>
        </w:rPr>
        <w:t xml:space="preserve"> but it must be satisfied that the risk sharing arrangement has been in place before it will pay out an exit credit. The level of risk that an employer has borne will be </w:t>
      </w:r>
      <w:proofErr w:type="gramStart"/>
      <w:r w:rsidRPr="007E7029">
        <w:rPr>
          <w:rFonts w:ascii="Segoe UI" w:eastAsia="Segoe UI" w:hAnsi="Segoe UI"/>
          <w:color w:val="000000"/>
          <w:sz w:val="20"/>
          <w:szCs w:val="20"/>
        </w:rPr>
        <w:t>taken into account</w:t>
      </w:r>
      <w:proofErr w:type="gramEnd"/>
      <w:r w:rsidRPr="007E7029">
        <w:rPr>
          <w:rFonts w:ascii="Segoe UI" w:eastAsia="Segoe UI" w:hAnsi="Segoe UI"/>
          <w:color w:val="000000"/>
          <w:sz w:val="20"/>
          <w:szCs w:val="20"/>
        </w:rPr>
        <w:t xml:space="preserve"> when determining the amount of any exit credit.  It is the responsibility of the exiting employer to set out why the arrangements make payment of an exit credit appropriate.</w:t>
      </w:r>
    </w:p>
    <w:p w14:paraId="31BF0B86" w14:textId="77777777" w:rsidR="007E7029" w:rsidRDefault="006E21F9" w:rsidP="007E7029">
      <w:pPr>
        <w:pStyle w:val="ListParagraph"/>
        <w:numPr>
          <w:ilvl w:val="0"/>
          <w:numId w:val="121"/>
        </w:numPr>
        <w:rPr>
          <w:rFonts w:ascii="Segoe UI" w:eastAsia="Segoe UI" w:hAnsi="Segoe UI"/>
          <w:color w:val="000000"/>
          <w:sz w:val="20"/>
          <w:szCs w:val="20"/>
        </w:rPr>
      </w:pPr>
      <w:r w:rsidRPr="007E7029">
        <w:rPr>
          <w:rFonts w:ascii="Segoe UI" w:eastAsia="Segoe UI" w:hAnsi="Segoe UI"/>
          <w:color w:val="000000"/>
          <w:sz w:val="20"/>
          <w:szCs w:val="20"/>
        </w:rPr>
        <w:t>Any exit credit payable will be subject to a maximum of the actual employer contributions paid into the Fund.</w:t>
      </w:r>
    </w:p>
    <w:p w14:paraId="1F17CAE2" w14:textId="77777777" w:rsidR="007E7029" w:rsidRDefault="006E21F9" w:rsidP="007E7029">
      <w:pPr>
        <w:pStyle w:val="ListParagraph"/>
        <w:numPr>
          <w:ilvl w:val="0"/>
          <w:numId w:val="121"/>
        </w:numPr>
        <w:rPr>
          <w:rFonts w:ascii="Segoe UI" w:eastAsia="Segoe UI" w:hAnsi="Segoe UI"/>
          <w:color w:val="000000"/>
          <w:sz w:val="20"/>
          <w:szCs w:val="20"/>
        </w:rPr>
      </w:pPr>
      <w:r w:rsidRPr="007E7029">
        <w:rPr>
          <w:rFonts w:ascii="Segoe UI" w:eastAsia="Segoe UI" w:hAnsi="Segoe UI"/>
          <w:color w:val="000000"/>
          <w:sz w:val="20"/>
          <w:szCs w:val="20"/>
        </w:rPr>
        <w:t xml:space="preserve">As detailed above, the Fund Actuary may adopt differing approaches when assessing whether an exit debt is payable by the employer, depending on the specific details surrounding the employer’s cessation scenario. The default approach to calculating the cessation position will be on a minimum-risk basis unless it can be shown that there is another employer in the Fund who will take on financial responsibility for the liabilities in the future. If the administering authority is satisfied that there is another employer willing to take on responsibility for the liabilities (or that there is some other form of guarantee in place) then the cessation position may be calculated on the ongoing funding basis. </w:t>
      </w:r>
    </w:p>
    <w:p w14:paraId="5E5E6A0E" w14:textId="77777777" w:rsidR="007E7029" w:rsidRDefault="006E21F9" w:rsidP="007E7029">
      <w:pPr>
        <w:pStyle w:val="ListParagraph"/>
        <w:numPr>
          <w:ilvl w:val="0"/>
          <w:numId w:val="121"/>
        </w:numPr>
        <w:rPr>
          <w:rFonts w:ascii="Segoe UI" w:eastAsia="Segoe UI" w:hAnsi="Segoe UI"/>
          <w:color w:val="000000"/>
          <w:sz w:val="20"/>
          <w:szCs w:val="20"/>
        </w:rPr>
      </w:pPr>
      <w:r w:rsidRPr="007E7029">
        <w:rPr>
          <w:rFonts w:ascii="Segoe UI" w:eastAsia="Segoe UI" w:hAnsi="Segoe UI"/>
          <w:color w:val="000000"/>
          <w:sz w:val="20"/>
          <w:szCs w:val="20"/>
        </w:rPr>
        <w:t xml:space="preserve">The administering authority will pay out any exit credits within six months of the cessation date where possible. A longer time may be agreed between the administering authority and the exiting employer where necessary. For </w:t>
      </w:r>
      <w:proofErr w:type="gramStart"/>
      <w:r w:rsidRPr="007E7029">
        <w:rPr>
          <w:rFonts w:ascii="Segoe UI" w:eastAsia="Segoe UI" w:hAnsi="Segoe UI"/>
          <w:color w:val="000000"/>
          <w:sz w:val="20"/>
          <w:szCs w:val="20"/>
        </w:rPr>
        <w:t>example</w:t>
      </w:r>
      <w:proofErr w:type="gramEnd"/>
      <w:r w:rsidRPr="007E7029">
        <w:rPr>
          <w:rFonts w:ascii="Segoe UI" w:eastAsia="Segoe UI" w:hAnsi="Segoe UI"/>
          <w:color w:val="000000"/>
          <w:sz w:val="20"/>
          <w:szCs w:val="20"/>
        </w:rPr>
        <w:t xml:space="preserve"> if the employer does not provide all the relevant information to the administering authority within one month of the cessation date the administering authority will not be able to guarantee payment within six months of the cessation date. </w:t>
      </w:r>
    </w:p>
    <w:p w14:paraId="5C16235F" w14:textId="2677D621" w:rsidR="006E21F9" w:rsidRPr="007E7029" w:rsidRDefault="006E21F9" w:rsidP="007E7029">
      <w:pPr>
        <w:pStyle w:val="ListParagraph"/>
        <w:numPr>
          <w:ilvl w:val="0"/>
          <w:numId w:val="121"/>
        </w:numPr>
        <w:rPr>
          <w:rFonts w:ascii="Segoe UI" w:eastAsia="Segoe UI" w:hAnsi="Segoe UI"/>
          <w:color w:val="000000"/>
          <w:sz w:val="20"/>
          <w:szCs w:val="20"/>
        </w:rPr>
      </w:pPr>
      <w:r w:rsidRPr="007E7029">
        <w:rPr>
          <w:rFonts w:ascii="Segoe UI" w:eastAsia="Segoe UI" w:hAnsi="Segoe UI"/>
          <w:color w:val="000000"/>
          <w:sz w:val="20"/>
          <w:szCs w:val="20"/>
        </w:rPr>
        <w:t xml:space="preserve">Under the Regulations, the administering authority has the discretion to </w:t>
      </w:r>
      <w:proofErr w:type="gramStart"/>
      <w:r w:rsidRPr="007E7029">
        <w:rPr>
          <w:rFonts w:ascii="Segoe UI" w:eastAsia="Segoe UI" w:hAnsi="Segoe UI"/>
          <w:color w:val="000000"/>
          <w:sz w:val="20"/>
          <w:szCs w:val="20"/>
        </w:rPr>
        <w:t>take into account</w:t>
      </w:r>
      <w:proofErr w:type="gramEnd"/>
      <w:r w:rsidRPr="007E7029">
        <w:rPr>
          <w:rFonts w:ascii="Segoe UI" w:eastAsia="Segoe UI" w:hAnsi="Segoe UI"/>
          <w:color w:val="000000"/>
          <w:sz w:val="20"/>
          <w:szCs w:val="20"/>
        </w:rPr>
        <w:t xml:space="preserve"> any other relevant factors in the calculation of any exit credit payable and they will seek legal advice where appropriate.</w:t>
      </w:r>
    </w:p>
    <w:p w14:paraId="5857D478" w14:textId="77777777" w:rsidR="006E21F9" w:rsidRPr="006E21F9" w:rsidRDefault="006E21F9" w:rsidP="007E7029">
      <w:pPr>
        <w:keepNext/>
        <w:spacing w:before="240" w:after="120"/>
        <w:outlineLvl w:val="1"/>
        <w:rPr>
          <w:rFonts w:ascii="Segoe UI Semibold" w:hAnsi="Segoe UI Semibold"/>
          <w:bCs/>
          <w:iCs/>
          <w:color w:val="009FE3"/>
          <w:sz w:val="28"/>
          <w:szCs w:val="28"/>
          <w:lang w:eastAsia="en-US"/>
        </w:rPr>
      </w:pPr>
      <w:r w:rsidRPr="006E21F9">
        <w:rPr>
          <w:rFonts w:ascii="Segoe UI Semibold" w:hAnsi="Segoe UI Semibold"/>
          <w:bCs/>
          <w:iCs/>
          <w:color w:val="009FE3"/>
          <w:sz w:val="28"/>
          <w:szCs w:val="28"/>
          <w:lang w:eastAsia="en-US"/>
        </w:rPr>
        <w:t>Managing exit payments</w:t>
      </w:r>
    </w:p>
    <w:p w14:paraId="3C7EE978"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Where a cessation valuation reveals a deficit and an exit payment is due, the expectation is that the employer settles this debt immediately through a single cash payment. However, should it not be possible for the employer to settle this amount, providing the employer puts forward sufficient supporting evidence to the administering authority, the administering authority may agree a deferred debt agreement (DDA) with the employer under Regulation 64(7A) or a debt spreading agreement (DSA) under Regulation 64B.</w:t>
      </w:r>
    </w:p>
    <w:p w14:paraId="6BCF6D51"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Under a DDA, the exiting employer becomes a deferred employer in the Fund (</w:t>
      </w:r>
      <w:proofErr w:type="gramStart"/>
      <w:r w:rsidRPr="006E21F9">
        <w:rPr>
          <w:rFonts w:ascii="Segoe UI" w:eastAsia="Segoe UI" w:hAnsi="Segoe UI"/>
          <w:sz w:val="20"/>
          <w:szCs w:val="20"/>
          <w:lang w:eastAsia="en-US"/>
        </w:rPr>
        <w:t>i.e.</w:t>
      </w:r>
      <w:proofErr w:type="gramEnd"/>
      <w:r w:rsidRPr="006E21F9">
        <w:rPr>
          <w:rFonts w:ascii="Segoe UI" w:eastAsia="Segoe UI" w:hAnsi="Segoe UI"/>
          <w:sz w:val="20"/>
          <w:szCs w:val="20"/>
          <w:lang w:eastAsia="en-US"/>
        </w:rPr>
        <w:t xml:space="preserve"> they remain as a Scheme employer but with no active members) and remains responsible for paying the secondary rate of contributions to fund their deficit. The secondary rate of contributions will be reviewed at each actuarial valuation until the termination of the agreement. </w:t>
      </w:r>
    </w:p>
    <w:p w14:paraId="0FA1BCA2"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Under a DSA, the cessation debt is crystallised and spread over a period deemed reasonable by the administering authority having regard to the views of the Fund Actuary. </w:t>
      </w:r>
    </w:p>
    <w:p w14:paraId="4ACE3E3C"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Whilst a DSA involves crystallising the cessation debt and the employer’s only obligation is to settle this set amount, in a DDA the employer remains in the Fund as a Scheme employer and is exposed to the same risks (unless agreed otherwise with the administering authority) as active employers in the Fund (</w:t>
      </w:r>
      <w:proofErr w:type="gramStart"/>
      <w:r w:rsidRPr="006E21F9">
        <w:rPr>
          <w:rFonts w:ascii="Segoe UI" w:eastAsia="Segoe UI" w:hAnsi="Segoe UI"/>
          <w:sz w:val="20"/>
          <w:szCs w:val="20"/>
          <w:lang w:eastAsia="en-US"/>
        </w:rPr>
        <w:t>e.g.</w:t>
      </w:r>
      <w:proofErr w:type="gramEnd"/>
      <w:r w:rsidRPr="006E21F9">
        <w:rPr>
          <w:rFonts w:ascii="Segoe UI" w:eastAsia="Segoe UI" w:hAnsi="Segoe UI"/>
          <w:sz w:val="20"/>
          <w:szCs w:val="20"/>
          <w:lang w:eastAsia="en-US"/>
        </w:rPr>
        <w:t xml:space="preserve"> investment, interest rate, inflation, longevity and regulatory risks) meaning that the deficit will change over time. </w:t>
      </w:r>
    </w:p>
    <w:p w14:paraId="65366427"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Guidance on the administering authority’s policy for </w:t>
      </w:r>
      <w:proofErr w:type="gramStart"/>
      <w:r w:rsidRPr="006E21F9">
        <w:rPr>
          <w:rFonts w:ascii="Segoe UI" w:eastAsia="Segoe UI" w:hAnsi="Segoe UI"/>
          <w:sz w:val="20"/>
          <w:szCs w:val="20"/>
          <w:lang w:eastAsia="en-US"/>
        </w:rPr>
        <w:t>entering into</w:t>
      </w:r>
      <w:proofErr w:type="gramEnd"/>
      <w:r w:rsidRPr="006E21F9">
        <w:rPr>
          <w:rFonts w:ascii="Segoe UI" w:eastAsia="Segoe UI" w:hAnsi="Segoe UI"/>
          <w:sz w:val="20"/>
          <w:szCs w:val="20"/>
          <w:lang w:eastAsia="en-US"/>
        </w:rPr>
        <w:t xml:space="preserve">, monitoring and terminating a DDA or DSA is set out in the Fund’s separate DSA and DDA policies document. This includes details of when a DDA or a DSA may be </w:t>
      </w:r>
      <w:proofErr w:type="gramStart"/>
      <w:r w:rsidRPr="006E21F9">
        <w:rPr>
          <w:rFonts w:ascii="Segoe UI" w:eastAsia="Segoe UI" w:hAnsi="Segoe UI"/>
          <w:sz w:val="20"/>
          <w:szCs w:val="20"/>
          <w:lang w:eastAsia="en-US"/>
        </w:rPr>
        <w:t>permitted</w:t>
      </w:r>
      <w:proofErr w:type="gramEnd"/>
      <w:r w:rsidRPr="006E21F9">
        <w:rPr>
          <w:rFonts w:ascii="Segoe UI" w:eastAsia="Segoe UI" w:hAnsi="Segoe UI"/>
          <w:sz w:val="20"/>
          <w:szCs w:val="20"/>
          <w:lang w:eastAsia="en-US"/>
        </w:rPr>
        <w:t xml:space="preserve"> and the information required from the employer when putting forward a request for a DDA or DSA.</w:t>
      </w:r>
    </w:p>
    <w:p w14:paraId="72AD1CA2" w14:textId="77777777" w:rsidR="006E21F9" w:rsidRPr="006E21F9" w:rsidRDefault="006E21F9" w:rsidP="00017458">
      <w:pPr>
        <w:keepNext/>
        <w:spacing w:before="240" w:after="120"/>
        <w:outlineLvl w:val="1"/>
        <w:rPr>
          <w:rFonts w:ascii="Segoe UI Semibold" w:hAnsi="Segoe UI Semibold"/>
          <w:bCs/>
          <w:iCs/>
          <w:color w:val="009FE3"/>
          <w:sz w:val="28"/>
          <w:szCs w:val="28"/>
          <w:lang w:eastAsia="en-US"/>
        </w:rPr>
      </w:pPr>
      <w:r w:rsidRPr="006E21F9">
        <w:rPr>
          <w:rFonts w:ascii="Segoe UI Semibold" w:hAnsi="Segoe UI Semibold"/>
          <w:bCs/>
          <w:iCs/>
          <w:color w:val="009FE3"/>
          <w:sz w:val="28"/>
          <w:szCs w:val="28"/>
          <w:lang w:eastAsia="en-US"/>
        </w:rPr>
        <w:t>Regulatory factors</w:t>
      </w:r>
    </w:p>
    <w:p w14:paraId="76306557" w14:textId="77777777" w:rsidR="006E21F9" w:rsidRP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At the date of drafting this FSS, the government is currently consulting on potential changes to the Regulations, some which may affect the timing of future actuarial valuations. This is set out in the </w:t>
      </w:r>
      <w:r w:rsidRPr="006E21F9">
        <w:rPr>
          <w:rFonts w:ascii="Segoe UI" w:eastAsia="Segoe UI" w:hAnsi="Segoe UI"/>
          <w:i/>
          <w:sz w:val="20"/>
          <w:szCs w:val="20"/>
          <w:lang w:eastAsia="en-US"/>
        </w:rPr>
        <w:t>Local government pension scheme: changes to the local valuation cycle and the management of employer risk</w:t>
      </w:r>
      <w:r w:rsidRPr="006E21F9">
        <w:rPr>
          <w:rFonts w:ascii="Segoe UI" w:eastAsia="Segoe UI" w:hAnsi="Segoe UI"/>
          <w:sz w:val="20"/>
          <w:szCs w:val="20"/>
          <w:lang w:eastAsia="en-US"/>
        </w:rPr>
        <w:t xml:space="preserve"> consultation document.</w:t>
      </w:r>
    </w:p>
    <w:p w14:paraId="39ACA96D" w14:textId="77777777" w:rsidR="006E21F9" w:rsidRDefault="006E21F9" w:rsidP="006E21F9">
      <w:pPr>
        <w:spacing w:after="200"/>
        <w:rPr>
          <w:rFonts w:ascii="Segoe UI" w:eastAsia="Segoe UI" w:hAnsi="Segoe UI"/>
          <w:sz w:val="20"/>
          <w:szCs w:val="20"/>
          <w:lang w:eastAsia="en-US"/>
        </w:rPr>
      </w:pPr>
      <w:r w:rsidRPr="006E21F9">
        <w:rPr>
          <w:rFonts w:ascii="Segoe UI" w:eastAsia="Segoe UI" w:hAnsi="Segoe UI"/>
          <w:sz w:val="20"/>
          <w:szCs w:val="20"/>
          <w:lang w:eastAsia="en-US"/>
        </w:rPr>
        <w:t xml:space="preserve">Further details of this can be found in the </w:t>
      </w:r>
      <w:r w:rsidRPr="006E21F9">
        <w:rPr>
          <w:rFonts w:ascii="Segoe UI" w:eastAsia="Segoe UI" w:hAnsi="Segoe UI"/>
          <w:sz w:val="20"/>
          <w:szCs w:val="20"/>
          <w:lang w:eastAsia="en-US"/>
        </w:rPr>
        <w:fldChar w:fldCharType="begin"/>
      </w:r>
      <w:r w:rsidRPr="006E21F9">
        <w:rPr>
          <w:rFonts w:ascii="Segoe UI" w:eastAsia="Segoe UI" w:hAnsi="Segoe UI"/>
          <w:sz w:val="20"/>
          <w:szCs w:val="20"/>
          <w:lang w:eastAsia="en-US"/>
        </w:rPr>
        <w:instrText xml:space="preserve"> REF _Ref22573573 \h </w:instrText>
      </w:r>
      <w:r w:rsidRPr="006E21F9">
        <w:rPr>
          <w:rFonts w:ascii="Segoe UI" w:eastAsia="Segoe UI" w:hAnsi="Segoe UI"/>
          <w:sz w:val="20"/>
          <w:szCs w:val="20"/>
          <w:lang w:eastAsia="en-US"/>
        </w:rPr>
      </w:r>
      <w:r w:rsidRPr="006E21F9">
        <w:rPr>
          <w:rFonts w:ascii="Segoe UI" w:eastAsia="Segoe UI" w:hAnsi="Segoe UI"/>
          <w:sz w:val="20"/>
          <w:szCs w:val="20"/>
          <w:lang w:eastAsia="en-US"/>
        </w:rPr>
        <w:fldChar w:fldCharType="separate"/>
      </w:r>
      <w:r w:rsidRPr="006E21F9">
        <w:rPr>
          <w:rFonts w:ascii="Segoe UI" w:eastAsia="Segoe UI" w:hAnsi="Segoe UI"/>
          <w:sz w:val="20"/>
          <w:szCs w:val="20"/>
          <w:lang w:eastAsia="en-US"/>
        </w:rPr>
        <w:t>Regulatory risks</w:t>
      </w:r>
      <w:r w:rsidRPr="006E21F9">
        <w:rPr>
          <w:rFonts w:ascii="Segoe UI" w:eastAsia="Segoe UI" w:hAnsi="Segoe UI"/>
          <w:sz w:val="20"/>
          <w:szCs w:val="20"/>
          <w:lang w:eastAsia="en-US"/>
        </w:rPr>
        <w:fldChar w:fldCharType="end"/>
      </w:r>
      <w:r w:rsidRPr="006E21F9">
        <w:rPr>
          <w:rFonts w:ascii="Segoe UI" w:eastAsia="Segoe UI" w:hAnsi="Segoe UI"/>
          <w:sz w:val="20"/>
          <w:szCs w:val="20"/>
          <w:lang w:eastAsia="en-US"/>
        </w:rPr>
        <w:t xml:space="preserve"> section below.</w:t>
      </w:r>
    </w:p>
    <w:p w14:paraId="732F3DE1" w14:textId="77777777" w:rsidR="003A52BA" w:rsidRPr="003A52BA" w:rsidRDefault="003A52BA" w:rsidP="003A52BA">
      <w:pPr>
        <w:keepNext/>
        <w:pageBreakBefore/>
        <w:spacing w:before="240" w:after="240"/>
        <w:outlineLvl w:val="0"/>
        <w:rPr>
          <w:rFonts w:ascii="Segoe UI Semibold" w:hAnsi="Segoe UI Semibold"/>
          <w:bCs/>
          <w:color w:val="0069B4"/>
          <w:kern w:val="32"/>
          <w:sz w:val="36"/>
          <w:szCs w:val="32"/>
          <w:lang w:eastAsia="en-US"/>
        </w:rPr>
      </w:pPr>
      <w:bookmarkStart w:id="23" w:name="_Toc16069712"/>
      <w:r w:rsidRPr="003A52BA">
        <w:rPr>
          <w:rFonts w:ascii="Segoe UI Semibold" w:hAnsi="Segoe UI Semibold"/>
          <w:bCs/>
          <w:color w:val="0069B4"/>
          <w:kern w:val="32"/>
          <w:sz w:val="36"/>
          <w:szCs w:val="32"/>
          <w:lang w:eastAsia="en-US"/>
        </w:rPr>
        <w:t>Bulk transfers</w:t>
      </w:r>
    </w:p>
    <w:p w14:paraId="7665C72A" w14:textId="77777777" w:rsidR="003A52BA" w:rsidRPr="003A52BA" w:rsidRDefault="003A52BA" w:rsidP="003A52BA">
      <w:pPr>
        <w:spacing w:after="200"/>
        <w:rPr>
          <w:rFonts w:ascii="Segoe UI" w:eastAsia="Segoe UI" w:hAnsi="Segoe UI"/>
          <w:sz w:val="20"/>
          <w:szCs w:val="20"/>
          <w:lang w:eastAsia="en-US"/>
        </w:rPr>
      </w:pPr>
      <w:r w:rsidRPr="003A52BA">
        <w:rPr>
          <w:rFonts w:ascii="Segoe UI" w:eastAsia="Segoe UI" w:hAnsi="Segoe UI"/>
          <w:sz w:val="20"/>
          <w:szCs w:val="20"/>
          <w:lang w:eastAsia="en-US"/>
        </w:rPr>
        <w:t>Bulk transfers of staff into or out of the Fund can take place from other LGPS Funds or non-LGPS Funds. In either case, the Fund Actuary for both Funds will be required to negotiate the terms for the bulk transfer – specifically the terms by which the value of assets to be paid from one Fund to the other is calculated.</w:t>
      </w:r>
    </w:p>
    <w:p w14:paraId="39967BC9" w14:textId="77777777" w:rsidR="003A52BA" w:rsidRPr="003A52BA" w:rsidRDefault="003A52BA" w:rsidP="003A52BA">
      <w:pPr>
        <w:spacing w:after="200"/>
        <w:rPr>
          <w:rFonts w:ascii="Segoe UI" w:eastAsia="Segoe UI" w:hAnsi="Segoe UI"/>
          <w:sz w:val="20"/>
          <w:szCs w:val="20"/>
          <w:lang w:eastAsia="en-US"/>
        </w:rPr>
      </w:pPr>
      <w:r w:rsidRPr="003A52BA">
        <w:rPr>
          <w:rFonts w:ascii="Segoe UI" w:eastAsia="Segoe UI" w:hAnsi="Segoe UI"/>
          <w:sz w:val="20"/>
          <w:szCs w:val="20"/>
          <w:lang w:eastAsia="en-US"/>
        </w:rPr>
        <w:t>The agreement will be specific to the situation surrounding each bulk transfer but in general the Fund will look to receive the bulk transfer on no less than a fully funded transfer (</w:t>
      </w:r>
      <w:proofErr w:type="gramStart"/>
      <w:r w:rsidRPr="003A52BA">
        <w:rPr>
          <w:rFonts w:ascii="Segoe UI" w:eastAsia="Segoe UI" w:hAnsi="Segoe UI"/>
          <w:sz w:val="20"/>
          <w:szCs w:val="20"/>
          <w:lang w:eastAsia="en-US"/>
        </w:rPr>
        <w:t>i.e.</w:t>
      </w:r>
      <w:proofErr w:type="gramEnd"/>
      <w:r w:rsidRPr="003A52BA">
        <w:rPr>
          <w:rFonts w:ascii="Segoe UI" w:eastAsia="Segoe UI" w:hAnsi="Segoe UI"/>
          <w:sz w:val="20"/>
          <w:szCs w:val="20"/>
          <w:lang w:eastAsia="en-US"/>
        </w:rPr>
        <w:t xml:space="preserve"> the assets paid from the ceding Fund are sufficient to cover the value of the liabilities on the agreed basis). </w:t>
      </w:r>
    </w:p>
    <w:p w14:paraId="5D17ACA7" w14:textId="77777777" w:rsidR="003A52BA" w:rsidRPr="003A52BA" w:rsidRDefault="003A52BA" w:rsidP="003A52BA">
      <w:pPr>
        <w:spacing w:after="200"/>
        <w:rPr>
          <w:rFonts w:ascii="Segoe UI" w:eastAsia="Segoe UI" w:hAnsi="Segoe UI"/>
          <w:sz w:val="20"/>
          <w:szCs w:val="20"/>
          <w:lang w:eastAsia="en-US"/>
        </w:rPr>
      </w:pPr>
      <w:r w:rsidRPr="003A52BA">
        <w:rPr>
          <w:rFonts w:ascii="Segoe UI" w:eastAsia="Segoe UI" w:hAnsi="Segoe UI"/>
          <w:sz w:val="20"/>
          <w:szCs w:val="20"/>
          <w:lang w:eastAsia="en-US"/>
        </w:rPr>
        <w:t xml:space="preserve">A bulk transfer may be required by an issued Direction Order. This is generally in relation to an employer merger, where all the assets and liabilities attributable to the transferring employer in its original Fund are transferred to the receiving Fund. </w:t>
      </w:r>
    </w:p>
    <w:p w14:paraId="70476C50" w14:textId="77777777" w:rsidR="003A52BA" w:rsidRPr="003A52BA" w:rsidRDefault="003A52BA" w:rsidP="003A52BA">
      <w:pPr>
        <w:keepNext/>
        <w:pageBreakBefore/>
        <w:spacing w:before="240" w:after="240"/>
        <w:outlineLvl w:val="0"/>
        <w:rPr>
          <w:rFonts w:ascii="Segoe UI Semibold" w:hAnsi="Segoe UI Semibold"/>
          <w:bCs/>
          <w:color w:val="0069B4"/>
          <w:kern w:val="32"/>
          <w:sz w:val="36"/>
          <w:szCs w:val="32"/>
          <w:lang w:eastAsia="en-US"/>
        </w:rPr>
      </w:pPr>
      <w:r w:rsidRPr="003A52BA">
        <w:rPr>
          <w:rFonts w:ascii="Segoe UI Semibold" w:hAnsi="Segoe UI Semibold"/>
          <w:bCs/>
          <w:color w:val="0069B4"/>
          <w:kern w:val="32"/>
          <w:sz w:val="36"/>
          <w:szCs w:val="32"/>
          <w:lang w:eastAsia="en-US"/>
        </w:rPr>
        <w:t>Links with the Investment Strategy Statement (ISS)</w:t>
      </w:r>
      <w:bookmarkEnd w:id="23"/>
    </w:p>
    <w:p w14:paraId="7F133D9B" w14:textId="77777777" w:rsidR="003A52BA" w:rsidRPr="003A52BA" w:rsidRDefault="003A52BA" w:rsidP="003A52BA">
      <w:pPr>
        <w:spacing w:after="200"/>
        <w:rPr>
          <w:rFonts w:ascii="Segoe UI" w:eastAsia="Segoe UI" w:hAnsi="Segoe UI"/>
          <w:sz w:val="20"/>
          <w:szCs w:val="20"/>
          <w:lang w:eastAsia="en-US"/>
        </w:rPr>
      </w:pPr>
      <w:r w:rsidRPr="003A52BA">
        <w:rPr>
          <w:rFonts w:ascii="Segoe UI" w:eastAsia="Segoe UI" w:hAnsi="Segoe UI"/>
          <w:sz w:val="20"/>
          <w:szCs w:val="20"/>
          <w:lang w:eastAsia="en-US"/>
        </w:rPr>
        <w:t>The main link between the Funding Strategy Statement (FSS) and the ISS relates to the discount rate that underlies the funding strategy as set out in the FSS, and the expected rate of investment return which is expected to be achieved by the long-term investment strategy as set out in the ISS.</w:t>
      </w:r>
    </w:p>
    <w:p w14:paraId="202F6FF4" w14:textId="77777777" w:rsidR="003A52BA" w:rsidRPr="003A52BA" w:rsidRDefault="003A52BA" w:rsidP="003A52BA">
      <w:pPr>
        <w:spacing w:after="200"/>
        <w:rPr>
          <w:rFonts w:ascii="Segoe UI" w:eastAsia="Segoe UI" w:hAnsi="Segoe UI"/>
          <w:sz w:val="20"/>
          <w:szCs w:val="20"/>
          <w:lang w:eastAsia="en-US"/>
        </w:rPr>
      </w:pPr>
      <w:r w:rsidRPr="003A52BA">
        <w:rPr>
          <w:rFonts w:ascii="Segoe UI" w:eastAsia="Segoe UI" w:hAnsi="Segoe UI"/>
          <w:sz w:val="20"/>
          <w:szCs w:val="20"/>
          <w:lang w:eastAsia="en-US"/>
        </w:rPr>
        <w:t>As explained above, the ongoing discount rate that is adopted in the actuarial valuation is derived by considering the expected return from the long-term investment strategy. This ensures consistency between the funding strategy and investment strategy.</w:t>
      </w:r>
    </w:p>
    <w:p w14:paraId="27FC3106" w14:textId="77777777" w:rsidR="00D15E32" w:rsidRDefault="00D15E32" w:rsidP="00D92232">
      <w:pPr>
        <w:spacing w:after="200"/>
        <w:rPr>
          <w:rFonts w:ascii="Segoe UI" w:eastAsia="Segoe UI" w:hAnsi="Segoe UI"/>
          <w:sz w:val="20"/>
          <w:szCs w:val="20"/>
          <w:lang w:eastAsia="en-US"/>
        </w:rPr>
      </w:pPr>
    </w:p>
    <w:p w14:paraId="5903EE48" w14:textId="77777777" w:rsidR="00760C5C" w:rsidRDefault="00760C5C" w:rsidP="00D92232">
      <w:pPr>
        <w:spacing w:after="200"/>
        <w:rPr>
          <w:rFonts w:ascii="Segoe UI" w:eastAsia="Segoe UI" w:hAnsi="Segoe UI"/>
          <w:sz w:val="20"/>
          <w:szCs w:val="20"/>
          <w:lang w:eastAsia="en-US"/>
        </w:rPr>
      </w:pPr>
    </w:p>
    <w:p w14:paraId="53148E4E" w14:textId="77777777" w:rsidR="00760C5C" w:rsidRDefault="00760C5C" w:rsidP="00D92232">
      <w:pPr>
        <w:spacing w:after="200"/>
        <w:rPr>
          <w:rFonts w:ascii="Segoe UI" w:eastAsia="Segoe UI" w:hAnsi="Segoe UI"/>
          <w:sz w:val="20"/>
          <w:szCs w:val="20"/>
          <w:lang w:eastAsia="en-US"/>
        </w:rPr>
      </w:pPr>
    </w:p>
    <w:p w14:paraId="747B4D19" w14:textId="77777777" w:rsidR="00760C5C" w:rsidRDefault="00760C5C" w:rsidP="00D92232">
      <w:pPr>
        <w:spacing w:after="200"/>
        <w:rPr>
          <w:rFonts w:ascii="Segoe UI" w:eastAsia="Segoe UI" w:hAnsi="Segoe UI"/>
          <w:sz w:val="20"/>
          <w:szCs w:val="20"/>
          <w:lang w:eastAsia="en-US"/>
        </w:rPr>
      </w:pPr>
    </w:p>
    <w:p w14:paraId="5C189B4D" w14:textId="77777777" w:rsidR="00760C5C" w:rsidRDefault="00760C5C" w:rsidP="00D92232">
      <w:pPr>
        <w:spacing w:after="200"/>
        <w:rPr>
          <w:rFonts w:ascii="Segoe UI" w:eastAsia="Segoe UI" w:hAnsi="Segoe UI"/>
          <w:sz w:val="20"/>
          <w:szCs w:val="20"/>
          <w:lang w:eastAsia="en-US"/>
        </w:rPr>
      </w:pPr>
    </w:p>
    <w:p w14:paraId="30A5C54C" w14:textId="77777777" w:rsidR="00760C5C" w:rsidRDefault="00760C5C" w:rsidP="00D92232">
      <w:pPr>
        <w:spacing w:after="200"/>
        <w:rPr>
          <w:rFonts w:ascii="Segoe UI" w:eastAsia="Segoe UI" w:hAnsi="Segoe UI"/>
          <w:sz w:val="20"/>
          <w:szCs w:val="20"/>
          <w:lang w:eastAsia="en-US"/>
        </w:rPr>
      </w:pPr>
    </w:p>
    <w:p w14:paraId="17FDECB5" w14:textId="77777777" w:rsidR="00760C5C" w:rsidRDefault="00760C5C" w:rsidP="00D92232">
      <w:pPr>
        <w:spacing w:after="200"/>
        <w:rPr>
          <w:rFonts w:ascii="Segoe UI" w:eastAsia="Segoe UI" w:hAnsi="Segoe UI"/>
          <w:sz w:val="20"/>
          <w:szCs w:val="20"/>
          <w:lang w:eastAsia="en-US"/>
        </w:rPr>
      </w:pPr>
    </w:p>
    <w:p w14:paraId="44F22B2A" w14:textId="77777777" w:rsidR="00760C5C" w:rsidRDefault="00760C5C" w:rsidP="00D92232">
      <w:pPr>
        <w:spacing w:after="200"/>
        <w:rPr>
          <w:rFonts w:ascii="Segoe UI" w:eastAsia="Segoe UI" w:hAnsi="Segoe UI"/>
          <w:sz w:val="20"/>
          <w:szCs w:val="20"/>
          <w:lang w:eastAsia="en-US"/>
        </w:rPr>
      </w:pPr>
    </w:p>
    <w:p w14:paraId="48EA2A51" w14:textId="77777777" w:rsidR="00760C5C" w:rsidRDefault="00760C5C" w:rsidP="00D92232">
      <w:pPr>
        <w:spacing w:after="200"/>
        <w:rPr>
          <w:rFonts w:ascii="Segoe UI" w:eastAsia="Segoe UI" w:hAnsi="Segoe UI"/>
          <w:sz w:val="20"/>
          <w:szCs w:val="20"/>
          <w:lang w:eastAsia="en-US"/>
        </w:rPr>
      </w:pPr>
    </w:p>
    <w:p w14:paraId="1D541F5F" w14:textId="77777777" w:rsidR="00760C5C" w:rsidRDefault="00760C5C" w:rsidP="00D92232">
      <w:pPr>
        <w:spacing w:after="200"/>
        <w:rPr>
          <w:rFonts w:ascii="Segoe UI" w:eastAsia="Segoe UI" w:hAnsi="Segoe UI"/>
          <w:sz w:val="20"/>
          <w:szCs w:val="20"/>
          <w:lang w:eastAsia="en-US"/>
        </w:rPr>
      </w:pPr>
    </w:p>
    <w:p w14:paraId="39BA9F2C" w14:textId="77777777" w:rsidR="00760C5C" w:rsidRDefault="00760C5C" w:rsidP="00D92232">
      <w:pPr>
        <w:spacing w:after="200"/>
        <w:rPr>
          <w:rFonts w:ascii="Segoe UI" w:eastAsia="Segoe UI" w:hAnsi="Segoe UI"/>
          <w:sz w:val="20"/>
          <w:szCs w:val="20"/>
          <w:lang w:eastAsia="en-US"/>
        </w:rPr>
      </w:pPr>
    </w:p>
    <w:p w14:paraId="1067EEC4" w14:textId="77777777" w:rsidR="00760C5C" w:rsidRDefault="00760C5C" w:rsidP="00D92232">
      <w:pPr>
        <w:spacing w:after="200"/>
        <w:rPr>
          <w:rFonts w:ascii="Segoe UI" w:eastAsia="Segoe UI" w:hAnsi="Segoe UI"/>
          <w:sz w:val="20"/>
          <w:szCs w:val="20"/>
          <w:lang w:eastAsia="en-US"/>
        </w:rPr>
      </w:pPr>
    </w:p>
    <w:p w14:paraId="688A9470" w14:textId="77777777" w:rsidR="00760C5C" w:rsidRDefault="00760C5C" w:rsidP="00D92232">
      <w:pPr>
        <w:spacing w:after="200"/>
        <w:rPr>
          <w:rFonts w:ascii="Segoe UI" w:eastAsia="Segoe UI" w:hAnsi="Segoe UI"/>
          <w:sz w:val="20"/>
          <w:szCs w:val="20"/>
          <w:lang w:eastAsia="en-US"/>
        </w:rPr>
      </w:pPr>
    </w:p>
    <w:p w14:paraId="2EF6ED32" w14:textId="77777777" w:rsidR="00760C5C" w:rsidRDefault="00760C5C" w:rsidP="00D92232">
      <w:pPr>
        <w:spacing w:after="200"/>
        <w:rPr>
          <w:rFonts w:ascii="Segoe UI" w:eastAsia="Segoe UI" w:hAnsi="Segoe UI"/>
          <w:sz w:val="20"/>
          <w:szCs w:val="20"/>
          <w:lang w:eastAsia="en-US"/>
        </w:rPr>
      </w:pPr>
    </w:p>
    <w:p w14:paraId="719CFB9C" w14:textId="77777777" w:rsidR="00760C5C" w:rsidRDefault="00760C5C" w:rsidP="00D92232">
      <w:pPr>
        <w:spacing w:after="200"/>
        <w:rPr>
          <w:rFonts w:ascii="Segoe UI" w:eastAsia="Segoe UI" w:hAnsi="Segoe UI"/>
          <w:sz w:val="20"/>
          <w:szCs w:val="20"/>
          <w:lang w:eastAsia="en-US"/>
        </w:rPr>
      </w:pPr>
    </w:p>
    <w:p w14:paraId="384D0321" w14:textId="77777777" w:rsidR="00760C5C" w:rsidRDefault="00760C5C" w:rsidP="00D92232">
      <w:pPr>
        <w:spacing w:after="200"/>
        <w:rPr>
          <w:rFonts w:ascii="Segoe UI" w:eastAsia="Segoe UI" w:hAnsi="Segoe UI"/>
          <w:sz w:val="20"/>
          <w:szCs w:val="20"/>
          <w:lang w:eastAsia="en-US"/>
        </w:rPr>
      </w:pPr>
    </w:p>
    <w:p w14:paraId="5EE16E4D" w14:textId="77777777" w:rsidR="00760C5C" w:rsidRDefault="00760C5C" w:rsidP="00D92232">
      <w:pPr>
        <w:spacing w:after="200"/>
        <w:rPr>
          <w:rFonts w:ascii="Segoe UI" w:eastAsia="Segoe UI" w:hAnsi="Segoe UI"/>
          <w:sz w:val="20"/>
          <w:szCs w:val="20"/>
          <w:lang w:eastAsia="en-US"/>
        </w:rPr>
      </w:pPr>
    </w:p>
    <w:p w14:paraId="14536B2E" w14:textId="77777777" w:rsidR="00760C5C" w:rsidRDefault="00760C5C" w:rsidP="00D92232">
      <w:pPr>
        <w:spacing w:after="200"/>
        <w:rPr>
          <w:rFonts w:ascii="Segoe UI" w:eastAsia="Segoe UI" w:hAnsi="Segoe UI"/>
          <w:sz w:val="20"/>
          <w:szCs w:val="20"/>
          <w:lang w:eastAsia="en-US"/>
        </w:rPr>
      </w:pPr>
    </w:p>
    <w:p w14:paraId="3D6519E6" w14:textId="77777777" w:rsidR="00760C5C" w:rsidRDefault="00760C5C" w:rsidP="00D92232">
      <w:pPr>
        <w:spacing w:after="200"/>
        <w:rPr>
          <w:rFonts w:ascii="Segoe UI" w:eastAsia="Segoe UI" w:hAnsi="Segoe UI"/>
          <w:sz w:val="20"/>
          <w:szCs w:val="20"/>
          <w:lang w:eastAsia="en-US"/>
        </w:rPr>
      </w:pPr>
    </w:p>
    <w:p w14:paraId="7FA3C84F" w14:textId="77777777" w:rsidR="00760C5C" w:rsidRDefault="00760C5C" w:rsidP="00D92232">
      <w:pPr>
        <w:spacing w:after="200"/>
        <w:rPr>
          <w:rFonts w:ascii="Segoe UI" w:eastAsia="Segoe UI" w:hAnsi="Segoe UI"/>
          <w:sz w:val="20"/>
          <w:szCs w:val="20"/>
          <w:lang w:eastAsia="en-US"/>
        </w:rPr>
      </w:pPr>
    </w:p>
    <w:p w14:paraId="7CD1BA51" w14:textId="77777777" w:rsidR="00760C5C" w:rsidRDefault="00760C5C" w:rsidP="00D92232">
      <w:pPr>
        <w:spacing w:after="200"/>
        <w:rPr>
          <w:rFonts w:ascii="Segoe UI" w:eastAsia="Segoe UI" w:hAnsi="Segoe UI"/>
          <w:sz w:val="20"/>
          <w:szCs w:val="20"/>
          <w:lang w:eastAsia="en-US"/>
        </w:rPr>
      </w:pPr>
    </w:p>
    <w:p w14:paraId="4BAC50DA" w14:textId="77777777" w:rsidR="00760C5C" w:rsidRDefault="00760C5C" w:rsidP="00D92232">
      <w:pPr>
        <w:spacing w:after="200"/>
        <w:rPr>
          <w:rFonts w:ascii="Segoe UI" w:eastAsia="Segoe UI" w:hAnsi="Segoe UI"/>
          <w:sz w:val="20"/>
          <w:szCs w:val="20"/>
          <w:lang w:eastAsia="en-US"/>
        </w:rPr>
      </w:pPr>
    </w:p>
    <w:p w14:paraId="0F795762" w14:textId="77777777" w:rsidR="00760C5C" w:rsidRDefault="00760C5C" w:rsidP="00D92232">
      <w:pPr>
        <w:spacing w:after="200"/>
        <w:rPr>
          <w:rFonts w:ascii="Segoe UI" w:eastAsia="Segoe UI" w:hAnsi="Segoe UI"/>
          <w:sz w:val="20"/>
          <w:szCs w:val="20"/>
          <w:lang w:eastAsia="en-US"/>
        </w:rPr>
      </w:pPr>
    </w:p>
    <w:p w14:paraId="28ADFD04" w14:textId="77777777" w:rsidR="00760C5C" w:rsidRDefault="00760C5C" w:rsidP="00D92232">
      <w:pPr>
        <w:spacing w:after="200"/>
        <w:rPr>
          <w:rFonts w:ascii="Segoe UI" w:eastAsia="Segoe UI" w:hAnsi="Segoe UI"/>
          <w:sz w:val="20"/>
          <w:szCs w:val="20"/>
          <w:lang w:eastAsia="en-US"/>
        </w:rPr>
      </w:pPr>
    </w:p>
    <w:p w14:paraId="712D87D6" w14:textId="77777777" w:rsidR="00760C5C" w:rsidRPr="00760C5C" w:rsidRDefault="00760C5C" w:rsidP="00760C5C">
      <w:pPr>
        <w:keepNext/>
        <w:pageBreakBefore/>
        <w:spacing w:before="240" w:after="240"/>
        <w:outlineLvl w:val="0"/>
        <w:rPr>
          <w:rFonts w:ascii="Segoe UI Semibold" w:hAnsi="Segoe UI Semibold"/>
          <w:bCs/>
          <w:color w:val="0069B4"/>
          <w:kern w:val="32"/>
          <w:sz w:val="36"/>
          <w:szCs w:val="32"/>
          <w:lang w:eastAsia="en-US"/>
        </w:rPr>
      </w:pPr>
      <w:bookmarkStart w:id="24" w:name="_Toc16069713"/>
      <w:r w:rsidRPr="00760C5C">
        <w:rPr>
          <w:rFonts w:ascii="Segoe UI Semibold" w:hAnsi="Segoe UI Semibold"/>
          <w:bCs/>
          <w:color w:val="0069B4"/>
          <w:kern w:val="32"/>
          <w:sz w:val="36"/>
          <w:szCs w:val="32"/>
          <w:lang w:eastAsia="en-US"/>
        </w:rPr>
        <w:t>Risks and counter measures</w:t>
      </w:r>
      <w:bookmarkEnd w:id="24"/>
    </w:p>
    <w:p w14:paraId="7AC1099C"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Whilst the funding strategy attempts to satisfy the funding objectives of ensuring sufficient assets to meet pension liabilities and stable levels of employer contributions, it is recognised that there are risks that may impact on the funding strategy and hence the ability of the strategy to meet the funding objectives.</w:t>
      </w:r>
    </w:p>
    <w:p w14:paraId="5A9AA307"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 xml:space="preserve">The major risks to the funding strategy are financial, although there are other external factors including demographic risks, regulatory </w:t>
      </w:r>
      <w:proofErr w:type="gramStart"/>
      <w:r w:rsidRPr="00760C5C">
        <w:rPr>
          <w:rFonts w:ascii="Segoe UI" w:eastAsia="Segoe UI" w:hAnsi="Segoe UI"/>
          <w:sz w:val="20"/>
          <w:szCs w:val="20"/>
          <w:lang w:eastAsia="en-US"/>
        </w:rPr>
        <w:t>risks</w:t>
      </w:r>
      <w:proofErr w:type="gramEnd"/>
      <w:r w:rsidRPr="00760C5C">
        <w:rPr>
          <w:rFonts w:ascii="Segoe UI" w:eastAsia="Segoe UI" w:hAnsi="Segoe UI"/>
          <w:sz w:val="20"/>
          <w:szCs w:val="20"/>
          <w:lang w:eastAsia="en-US"/>
        </w:rPr>
        <w:t xml:space="preserve"> and governance risks.</w:t>
      </w:r>
    </w:p>
    <w:p w14:paraId="796D1908" w14:textId="77777777" w:rsidR="00760C5C" w:rsidRPr="00760C5C" w:rsidRDefault="00760C5C" w:rsidP="0002155E">
      <w:pPr>
        <w:keepNext/>
        <w:spacing w:before="240" w:after="120"/>
        <w:outlineLvl w:val="1"/>
        <w:rPr>
          <w:rFonts w:ascii="Segoe UI Semibold" w:hAnsi="Segoe UI Semibold"/>
          <w:bCs/>
          <w:iCs/>
          <w:color w:val="009FE3"/>
          <w:sz w:val="28"/>
          <w:szCs w:val="28"/>
          <w:lang w:eastAsia="en-US"/>
        </w:rPr>
      </w:pPr>
      <w:bookmarkStart w:id="25" w:name="_Toc16069714"/>
      <w:r w:rsidRPr="00760C5C">
        <w:rPr>
          <w:rFonts w:ascii="Segoe UI Semibold" w:hAnsi="Segoe UI Semibold"/>
          <w:bCs/>
          <w:iCs/>
          <w:color w:val="009FE3"/>
          <w:sz w:val="28"/>
          <w:szCs w:val="28"/>
          <w:lang w:eastAsia="en-US"/>
        </w:rPr>
        <w:t>Financial risks</w:t>
      </w:r>
      <w:bookmarkEnd w:id="25"/>
    </w:p>
    <w:p w14:paraId="696651C6"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 xml:space="preserve">The main financial risk is that the actual investment strategy fails to produce the expected rate of investment return (in real terms) that underlies the funding strategy. This could be due to </w:t>
      </w:r>
      <w:proofErr w:type="gramStart"/>
      <w:r w:rsidRPr="00760C5C">
        <w:rPr>
          <w:rFonts w:ascii="Segoe UI" w:eastAsia="Segoe UI" w:hAnsi="Segoe UI"/>
          <w:sz w:val="20"/>
          <w:szCs w:val="20"/>
          <w:lang w:eastAsia="en-US"/>
        </w:rPr>
        <w:t>a number of</w:t>
      </w:r>
      <w:proofErr w:type="gramEnd"/>
      <w:r w:rsidRPr="00760C5C">
        <w:rPr>
          <w:rFonts w:ascii="Segoe UI" w:eastAsia="Segoe UI" w:hAnsi="Segoe UI"/>
          <w:sz w:val="20"/>
          <w:szCs w:val="20"/>
          <w:lang w:eastAsia="en-US"/>
        </w:rPr>
        <w:t xml:space="preserve"> factors, including market returns being less than expected and/or the fund managers who are employed to implement the chosen investment strategy failing to achieve their performance targets. </w:t>
      </w:r>
    </w:p>
    <w:p w14:paraId="155BFB2A"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The valuation results are most sensitive to the real discount rate (</w:t>
      </w:r>
      <w:proofErr w:type="gramStart"/>
      <w:r w:rsidRPr="00760C5C">
        <w:rPr>
          <w:rFonts w:ascii="Segoe UI" w:eastAsia="Segoe UI" w:hAnsi="Segoe UI"/>
          <w:sz w:val="20"/>
          <w:szCs w:val="20"/>
          <w:lang w:eastAsia="en-US"/>
        </w:rPr>
        <w:t>i.e.</w:t>
      </w:r>
      <w:proofErr w:type="gramEnd"/>
      <w:r w:rsidRPr="00760C5C">
        <w:rPr>
          <w:rFonts w:ascii="Segoe UI" w:eastAsia="Segoe UI" w:hAnsi="Segoe UI"/>
          <w:sz w:val="20"/>
          <w:szCs w:val="20"/>
          <w:lang w:eastAsia="en-US"/>
        </w:rPr>
        <w:t xml:space="preserve"> the difference between the discount rate assumption and the price inflation assumption). Broadly speaking an increase/decrease of 0.5% p.a. in the real discount rate will decrease/increase the valuation of the liabilities by 10%, and decrease/increase the required employer contribution by around 2.5% of payroll p.a.</w:t>
      </w:r>
    </w:p>
    <w:p w14:paraId="04BF32C2"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 xml:space="preserve">However, the Investment and Pension Fund Committee regularly monitors the investment returns achieved by the fund managers and receives advice from the independent advisers and officers on investment strategy. </w:t>
      </w:r>
    </w:p>
    <w:p w14:paraId="360AEE4E"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 xml:space="preserve">The Committee may also seek advice from the Fund Actuary on valuation related matters. </w:t>
      </w:r>
    </w:p>
    <w:p w14:paraId="5C64F828"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In addition, the Fund Actuary provides funding updates between valuations to check whether the funding strategy continues to meet the funding objectives.</w:t>
      </w:r>
    </w:p>
    <w:p w14:paraId="2890FDDC" w14:textId="77777777" w:rsidR="00760C5C" w:rsidRPr="00760C5C" w:rsidRDefault="00760C5C" w:rsidP="0056194B">
      <w:pPr>
        <w:keepNext/>
        <w:spacing w:before="240" w:after="120"/>
        <w:outlineLvl w:val="1"/>
        <w:rPr>
          <w:rFonts w:ascii="Segoe UI Semibold" w:hAnsi="Segoe UI Semibold"/>
          <w:bCs/>
          <w:iCs/>
          <w:color w:val="009FE3"/>
          <w:sz w:val="28"/>
          <w:szCs w:val="28"/>
          <w:lang w:eastAsia="en-US"/>
        </w:rPr>
      </w:pPr>
      <w:bookmarkStart w:id="26" w:name="_Toc16069715"/>
      <w:r w:rsidRPr="00760C5C">
        <w:rPr>
          <w:rFonts w:ascii="Segoe UI Semibold" w:hAnsi="Segoe UI Semibold"/>
          <w:bCs/>
          <w:iCs/>
          <w:color w:val="009FE3"/>
          <w:sz w:val="28"/>
          <w:szCs w:val="28"/>
          <w:lang w:eastAsia="en-US"/>
        </w:rPr>
        <w:t>Demographic risks</w:t>
      </w:r>
      <w:bookmarkEnd w:id="26"/>
    </w:p>
    <w:p w14:paraId="5D67A6E7" w14:textId="77777777" w:rsidR="00760C5C" w:rsidRPr="00760C5C" w:rsidRDefault="00760C5C" w:rsidP="00760C5C">
      <w:pPr>
        <w:keepNext/>
        <w:spacing w:before="240" w:after="60"/>
        <w:outlineLvl w:val="2"/>
        <w:rPr>
          <w:rFonts w:ascii="Segoe UI Semibold" w:hAnsi="Segoe UI Semibold"/>
          <w:bCs/>
          <w:color w:val="68C0B5"/>
          <w:szCs w:val="26"/>
          <w:lang w:eastAsia="en-US"/>
        </w:rPr>
      </w:pPr>
      <w:r w:rsidRPr="00760C5C">
        <w:rPr>
          <w:rFonts w:ascii="Segoe UI Semibold" w:hAnsi="Segoe UI Semibold"/>
          <w:bCs/>
          <w:color w:val="68C0B5"/>
          <w:szCs w:val="26"/>
          <w:lang w:eastAsia="en-US"/>
        </w:rPr>
        <w:t>Longevity</w:t>
      </w:r>
    </w:p>
    <w:p w14:paraId="6C7ADEC8"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Allowance is made in the funding strategy via the actuarial assumptions for a continuing improvement in life expectancy. However, the main demographic risk to the funding strategy is that it might underestimate the continuing improvement in longevity. For example, an increase of one year to life expectancy of all members in the Fund will increase the liabilities by approximately 3% - 4%.</w:t>
      </w:r>
    </w:p>
    <w:p w14:paraId="40C189F4"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 xml:space="preserve">The actual mortality of pensioners in the Fund is monitored by the Fund Actuary at each actuarial valuation and assumptions are kept under review. The Fund commissions bespoke longevity analysis by Club Vita </w:t>
      </w:r>
      <w:proofErr w:type="gramStart"/>
      <w:r w:rsidRPr="00760C5C">
        <w:rPr>
          <w:rFonts w:ascii="Segoe UI" w:eastAsia="Segoe UI" w:hAnsi="Segoe UI"/>
          <w:sz w:val="20"/>
          <w:szCs w:val="20"/>
          <w:lang w:eastAsia="en-US"/>
        </w:rPr>
        <w:t>in order to</w:t>
      </w:r>
      <w:proofErr w:type="gramEnd"/>
      <w:r w:rsidRPr="00760C5C">
        <w:rPr>
          <w:rFonts w:ascii="Segoe UI" w:eastAsia="Segoe UI" w:hAnsi="Segoe UI"/>
          <w:sz w:val="20"/>
          <w:szCs w:val="20"/>
          <w:lang w:eastAsia="en-US"/>
        </w:rPr>
        <w:t xml:space="preserve"> assess the mortality experience of the Fund and help set an appropriate mortality assumption for funding purposes.</w:t>
      </w:r>
    </w:p>
    <w:p w14:paraId="5BD633AD" w14:textId="77777777" w:rsidR="00760C5C" w:rsidRPr="00760C5C" w:rsidRDefault="00760C5C" w:rsidP="00760C5C">
      <w:pPr>
        <w:keepNext/>
        <w:spacing w:before="240" w:after="60"/>
        <w:outlineLvl w:val="2"/>
        <w:rPr>
          <w:rFonts w:ascii="Segoe UI Semibold" w:hAnsi="Segoe UI Semibold"/>
          <w:bCs/>
          <w:color w:val="68C0B5"/>
          <w:szCs w:val="26"/>
          <w:lang w:eastAsia="en-US"/>
        </w:rPr>
      </w:pPr>
      <w:proofErr w:type="gramStart"/>
      <w:r w:rsidRPr="00760C5C">
        <w:rPr>
          <w:rFonts w:ascii="Segoe UI Semibold" w:hAnsi="Segoe UI Semibold"/>
          <w:bCs/>
          <w:color w:val="68C0B5"/>
          <w:szCs w:val="26"/>
          <w:lang w:eastAsia="en-US"/>
        </w:rPr>
        <w:t>Non ill-health</w:t>
      </w:r>
      <w:proofErr w:type="gramEnd"/>
      <w:r w:rsidRPr="00760C5C">
        <w:rPr>
          <w:rFonts w:ascii="Segoe UI Semibold" w:hAnsi="Segoe UI Semibold"/>
          <w:bCs/>
          <w:color w:val="68C0B5"/>
          <w:szCs w:val="26"/>
          <w:lang w:eastAsia="en-US"/>
        </w:rPr>
        <w:t xml:space="preserve"> retirement costs</w:t>
      </w:r>
    </w:p>
    <w:p w14:paraId="43894C1D" w14:textId="77777777" w:rsidR="00760C5C" w:rsidRPr="00760C5C" w:rsidRDefault="00760C5C" w:rsidP="00760C5C">
      <w:pPr>
        <w:spacing w:after="200"/>
        <w:rPr>
          <w:rFonts w:ascii="Segoe UI" w:eastAsia="Segoe UI" w:hAnsi="Segoe UI"/>
          <w:iCs/>
          <w:sz w:val="20"/>
          <w:szCs w:val="20"/>
          <w:lang w:eastAsia="en-US"/>
        </w:rPr>
      </w:pPr>
      <w:r w:rsidRPr="00760C5C">
        <w:rPr>
          <w:rFonts w:ascii="Segoe UI" w:eastAsia="Segoe UI" w:hAnsi="Segoe UI"/>
          <w:sz w:val="20"/>
          <w:szCs w:val="20"/>
          <w:lang w:eastAsia="en-US"/>
        </w:rPr>
        <w:t xml:space="preserve">The liabilities of the Fund can also increase by more than has been planned </w:t>
      </w:r>
      <w:proofErr w:type="gramStart"/>
      <w:r w:rsidRPr="00760C5C">
        <w:rPr>
          <w:rFonts w:ascii="Segoe UI" w:eastAsia="Segoe UI" w:hAnsi="Segoe UI"/>
          <w:sz w:val="20"/>
          <w:szCs w:val="20"/>
          <w:lang w:eastAsia="en-US"/>
        </w:rPr>
        <w:t>as a result of</w:t>
      </w:r>
      <w:proofErr w:type="gramEnd"/>
      <w:r w:rsidRPr="00760C5C">
        <w:rPr>
          <w:rFonts w:ascii="Segoe UI" w:eastAsia="Segoe UI" w:hAnsi="Segoe UI"/>
          <w:sz w:val="20"/>
          <w:szCs w:val="20"/>
          <w:lang w:eastAsia="en-US"/>
        </w:rPr>
        <w:t xml:space="preserve"> the additional financial costs of early retirements and ill-health retirements. </w:t>
      </w:r>
      <w:r w:rsidRPr="00760C5C">
        <w:rPr>
          <w:rFonts w:ascii="Segoe UI" w:eastAsia="Segoe UI" w:hAnsi="Segoe UI"/>
          <w:iCs/>
          <w:sz w:val="20"/>
          <w:szCs w:val="20"/>
          <w:lang w:eastAsia="en-US"/>
        </w:rPr>
        <w:t xml:space="preserve">It is assumed that members’ benefits are payable from the earliest age that the employee could retire without incurring a reduction to their benefit (and without requiring their employer’s consent to retire). (NB the relevant age may be different for different periods of service, following the benefit changes from April 2008 and April 2014). </w:t>
      </w:r>
    </w:p>
    <w:p w14:paraId="0539CD54" w14:textId="77777777" w:rsidR="00760C5C" w:rsidRPr="00760C5C" w:rsidRDefault="00760C5C" w:rsidP="00760C5C">
      <w:pPr>
        <w:spacing w:after="200"/>
        <w:rPr>
          <w:rFonts w:ascii="Segoe UI" w:eastAsia="Segoe UI" w:hAnsi="Segoe UI"/>
          <w:iCs/>
          <w:sz w:val="20"/>
          <w:szCs w:val="20"/>
          <w:lang w:eastAsia="en-US"/>
        </w:rPr>
      </w:pPr>
      <w:r w:rsidRPr="00760C5C">
        <w:rPr>
          <w:rFonts w:ascii="Segoe UI" w:eastAsia="Segoe UI" w:hAnsi="Segoe UI"/>
          <w:sz w:val="20"/>
          <w:szCs w:val="20"/>
          <w:lang w:eastAsia="en-US"/>
        </w:rPr>
        <w:t>The administering authority monitors the incidence of early retirements; and procedures are in place that require individual employers to pay additional amounts into the Fund to meet any additional costs arising from early retirements.</w:t>
      </w:r>
    </w:p>
    <w:p w14:paraId="1586CC5C" w14:textId="77777777" w:rsidR="00760C5C" w:rsidRPr="00760C5C" w:rsidRDefault="00760C5C" w:rsidP="00760C5C">
      <w:pPr>
        <w:spacing w:after="200"/>
        <w:rPr>
          <w:rFonts w:ascii="Segoe UI" w:eastAsia="Segoe UI" w:hAnsi="Segoe UI"/>
          <w:iCs/>
          <w:sz w:val="20"/>
          <w:szCs w:val="20"/>
          <w:lang w:eastAsia="en-US"/>
        </w:rPr>
      </w:pPr>
      <w:r w:rsidRPr="00760C5C">
        <w:rPr>
          <w:rFonts w:ascii="Segoe UI" w:eastAsia="Segoe UI" w:hAnsi="Segoe UI"/>
          <w:iCs/>
          <w:sz w:val="20"/>
          <w:szCs w:val="20"/>
          <w:lang w:eastAsia="en-US"/>
        </w:rPr>
        <w:t>Employers are required to pay additional contributions (‘strain’) wherever an employee retires before attaining this age. The actuary’s funding basis makes no allowance for premature retirement except on grounds of ill-health. The payment is payable immediately.</w:t>
      </w:r>
    </w:p>
    <w:p w14:paraId="6F5AABC7" w14:textId="77777777" w:rsidR="00760C5C" w:rsidRPr="00760C5C" w:rsidRDefault="00760C5C" w:rsidP="00760C5C">
      <w:pPr>
        <w:keepNext/>
        <w:spacing w:before="240" w:after="60"/>
        <w:outlineLvl w:val="2"/>
        <w:rPr>
          <w:rFonts w:ascii="Segoe UI Semibold" w:hAnsi="Segoe UI Semibold"/>
          <w:bCs/>
          <w:color w:val="68C0B5"/>
          <w:szCs w:val="26"/>
          <w:lang w:eastAsia="en-US"/>
        </w:rPr>
      </w:pPr>
      <w:r w:rsidRPr="00760C5C">
        <w:rPr>
          <w:rFonts w:ascii="Segoe UI Semibold" w:hAnsi="Segoe UI Semibold"/>
          <w:bCs/>
          <w:color w:val="68C0B5"/>
          <w:szCs w:val="26"/>
          <w:lang w:eastAsia="en-US"/>
        </w:rPr>
        <w:t>Ill health retirement costs</w:t>
      </w:r>
    </w:p>
    <w:p w14:paraId="047CE0A4" w14:textId="77777777" w:rsidR="00760C5C" w:rsidRPr="00760C5C" w:rsidRDefault="00760C5C" w:rsidP="00760C5C">
      <w:pPr>
        <w:spacing w:after="200"/>
        <w:rPr>
          <w:rFonts w:ascii="Segoe UI" w:eastAsia="Segoe UI" w:hAnsi="Segoe UI"/>
          <w:iCs/>
          <w:sz w:val="20"/>
          <w:szCs w:val="20"/>
          <w:lang w:eastAsia="en-US" w:bidi="en-US"/>
        </w:rPr>
      </w:pPr>
      <w:r w:rsidRPr="00760C5C">
        <w:rPr>
          <w:rFonts w:ascii="Segoe UI" w:eastAsia="Segoe UI" w:hAnsi="Segoe UI"/>
          <w:iCs/>
          <w:sz w:val="20"/>
          <w:szCs w:val="20"/>
          <w:lang w:eastAsia="en-US" w:bidi="en-US"/>
        </w:rPr>
        <w:t>In the event of a member’s early retirement on the grounds of ill-health, a funding strain will usually arise, which can be very large. Such strains are currently met by each employer, although individual employers may elect to take external insurance.</w:t>
      </w:r>
    </w:p>
    <w:p w14:paraId="45C2A40F" w14:textId="77777777" w:rsidR="00760C5C" w:rsidRPr="00760C5C" w:rsidRDefault="00760C5C" w:rsidP="00760C5C">
      <w:pPr>
        <w:spacing w:after="200"/>
        <w:rPr>
          <w:rFonts w:ascii="Segoe UI" w:eastAsia="Segoe UI" w:hAnsi="Segoe UI"/>
          <w:iCs/>
          <w:sz w:val="20"/>
          <w:szCs w:val="20"/>
          <w:lang w:eastAsia="en-US"/>
        </w:rPr>
      </w:pPr>
      <w:r w:rsidRPr="00760C5C">
        <w:rPr>
          <w:rFonts w:ascii="Segoe UI" w:eastAsia="Segoe UI" w:hAnsi="Segoe UI"/>
          <w:iCs/>
          <w:sz w:val="20"/>
          <w:szCs w:val="20"/>
          <w:lang w:eastAsia="en-US"/>
        </w:rPr>
        <w:t>The Fund recognises ill health early retirement costs can have a significant impact on an employer’s funding and contribution rate, which could ultimately jeopardise their continued operation.</w:t>
      </w:r>
    </w:p>
    <w:p w14:paraId="571C9AEE" w14:textId="77777777" w:rsidR="00760C5C" w:rsidRPr="00760C5C" w:rsidRDefault="00760C5C" w:rsidP="00760C5C">
      <w:pPr>
        <w:spacing w:after="200"/>
        <w:rPr>
          <w:rFonts w:ascii="Segoe UI" w:eastAsia="Segoe UI" w:hAnsi="Segoe UI"/>
          <w:iCs/>
          <w:sz w:val="20"/>
          <w:szCs w:val="20"/>
          <w:lang w:eastAsia="en-US"/>
        </w:rPr>
      </w:pPr>
      <w:r w:rsidRPr="00760C5C">
        <w:rPr>
          <w:rFonts w:ascii="Segoe UI" w:eastAsia="Segoe UI" w:hAnsi="Segoe UI"/>
          <w:iCs/>
          <w:sz w:val="20"/>
          <w:szCs w:val="20"/>
          <w:lang w:eastAsia="en-US"/>
        </w:rPr>
        <w:t>If an employer provides satisfactory evidence to the Administering Authority of a current external insurance policy covering ill health early retirement strains, then:</w:t>
      </w:r>
    </w:p>
    <w:p w14:paraId="73BFF4A1" w14:textId="77777777" w:rsidR="0056194B" w:rsidRDefault="00760C5C" w:rsidP="0056194B">
      <w:pPr>
        <w:pStyle w:val="ListParagraph"/>
        <w:numPr>
          <w:ilvl w:val="0"/>
          <w:numId w:val="122"/>
        </w:numPr>
        <w:rPr>
          <w:rFonts w:ascii="Segoe UI" w:eastAsia="Segoe UI" w:hAnsi="Segoe UI"/>
          <w:sz w:val="20"/>
          <w:szCs w:val="20"/>
        </w:rPr>
      </w:pPr>
      <w:r w:rsidRPr="0056194B">
        <w:rPr>
          <w:rFonts w:ascii="Segoe UI" w:eastAsia="Segoe UI" w:hAnsi="Segoe UI"/>
          <w:sz w:val="20"/>
          <w:szCs w:val="20"/>
        </w:rPr>
        <w:t>the employer’s contribution to the Fund each year is reduced by the amount of that year’s insurance premium, so that the total contribution is unchanged, and</w:t>
      </w:r>
    </w:p>
    <w:p w14:paraId="1A1AE6C4" w14:textId="6460E1B6" w:rsidR="00760C5C" w:rsidRPr="0056194B" w:rsidRDefault="00760C5C" w:rsidP="0056194B">
      <w:pPr>
        <w:pStyle w:val="ListParagraph"/>
        <w:numPr>
          <w:ilvl w:val="0"/>
          <w:numId w:val="122"/>
        </w:numPr>
        <w:rPr>
          <w:rFonts w:ascii="Segoe UI" w:eastAsia="Segoe UI" w:hAnsi="Segoe UI"/>
          <w:sz w:val="20"/>
          <w:szCs w:val="20"/>
        </w:rPr>
      </w:pPr>
      <w:r w:rsidRPr="0056194B">
        <w:rPr>
          <w:rFonts w:ascii="Segoe UI" w:eastAsia="Segoe UI" w:hAnsi="Segoe UI"/>
          <w:sz w:val="20"/>
          <w:szCs w:val="20"/>
        </w:rPr>
        <w:t>there is no need for monitoring of allowances.</w:t>
      </w:r>
    </w:p>
    <w:p w14:paraId="1513AC5F" w14:textId="77777777" w:rsidR="00760C5C" w:rsidRPr="00760C5C" w:rsidRDefault="00760C5C" w:rsidP="00760C5C">
      <w:pPr>
        <w:spacing w:after="200"/>
        <w:rPr>
          <w:rFonts w:ascii="Segoe UI" w:eastAsia="Segoe UI" w:hAnsi="Segoe UI"/>
          <w:iCs/>
          <w:sz w:val="20"/>
          <w:szCs w:val="20"/>
          <w:lang w:eastAsia="en-US"/>
        </w:rPr>
      </w:pPr>
      <w:r w:rsidRPr="00760C5C">
        <w:rPr>
          <w:rFonts w:ascii="Segoe UI" w:eastAsia="Segoe UI" w:hAnsi="Segoe UI"/>
          <w:iCs/>
          <w:sz w:val="20"/>
          <w:szCs w:val="20"/>
          <w:lang w:eastAsia="en-US"/>
        </w:rPr>
        <w:t>When an active member retires on ill health early retirement the claim amount will be paid directly from the insurer to the insured employer. This amount should then be paid to the Fund to allow the employer’s asset share to be credited.</w:t>
      </w:r>
    </w:p>
    <w:p w14:paraId="2EC870B6" w14:textId="77777777" w:rsidR="00760C5C" w:rsidRPr="00760C5C" w:rsidRDefault="00760C5C" w:rsidP="00760C5C">
      <w:pPr>
        <w:spacing w:after="200"/>
        <w:rPr>
          <w:rFonts w:ascii="Segoe UI" w:eastAsia="Segoe UI" w:hAnsi="Segoe UI"/>
          <w:iCs/>
          <w:sz w:val="20"/>
          <w:szCs w:val="20"/>
          <w:lang w:eastAsia="en-US"/>
        </w:rPr>
      </w:pPr>
      <w:r w:rsidRPr="00760C5C">
        <w:rPr>
          <w:rFonts w:ascii="Segoe UI" w:eastAsia="Segoe UI" w:hAnsi="Segoe UI"/>
          <w:iCs/>
          <w:sz w:val="20"/>
          <w:szCs w:val="20"/>
          <w:lang w:eastAsia="en-US"/>
        </w:rPr>
        <w:t>The employer must keep the Administering Authority notified of any changes in the insurance policy’s coverage or premium terms, or if the policy is ceased.</w:t>
      </w:r>
    </w:p>
    <w:p w14:paraId="5A98B26F" w14:textId="77777777" w:rsidR="00760C5C" w:rsidRPr="00760C5C" w:rsidRDefault="00760C5C" w:rsidP="0056194B">
      <w:pPr>
        <w:keepNext/>
        <w:spacing w:before="240" w:after="120"/>
        <w:outlineLvl w:val="1"/>
        <w:rPr>
          <w:rFonts w:ascii="Segoe UI Semibold" w:hAnsi="Segoe UI Semibold"/>
          <w:bCs/>
          <w:iCs/>
          <w:color w:val="009FE3"/>
          <w:sz w:val="28"/>
          <w:szCs w:val="28"/>
          <w:lang w:eastAsia="en-US"/>
        </w:rPr>
      </w:pPr>
      <w:r w:rsidRPr="00760C5C">
        <w:rPr>
          <w:rFonts w:ascii="Segoe UI Semibold" w:hAnsi="Segoe UI Semibold"/>
          <w:bCs/>
          <w:iCs/>
          <w:color w:val="009FE3"/>
          <w:sz w:val="28"/>
          <w:szCs w:val="28"/>
          <w:lang w:eastAsia="en-US"/>
        </w:rPr>
        <w:t>Climate risk</w:t>
      </w:r>
    </w:p>
    <w:p w14:paraId="2F022EA2"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 xml:space="preserve">There are </w:t>
      </w:r>
      <w:proofErr w:type="gramStart"/>
      <w:r w:rsidRPr="00760C5C">
        <w:rPr>
          <w:rFonts w:ascii="Segoe UI" w:eastAsia="Segoe UI" w:hAnsi="Segoe UI"/>
          <w:sz w:val="20"/>
          <w:szCs w:val="20"/>
          <w:lang w:eastAsia="en-US"/>
        </w:rPr>
        <w:t>a large number of</w:t>
      </w:r>
      <w:proofErr w:type="gramEnd"/>
      <w:r w:rsidRPr="00760C5C">
        <w:rPr>
          <w:rFonts w:ascii="Segoe UI" w:eastAsia="Segoe UI" w:hAnsi="Segoe UI"/>
          <w:sz w:val="20"/>
          <w:szCs w:val="20"/>
          <w:lang w:eastAsia="en-US"/>
        </w:rPr>
        <w:t xml:space="preserve"> interlinked systemic long-term financial risks related to climate change which could potentially have a material impact on the assets and/or the liabilities of the Fund. The most obvious of these climate change risks will be the financial risks to the value of the Fund’s assets, the potential increased volatility of markets and potential changes in life expectancy. It is possible that some of these factors will impact the assets and liabilities of the Fund in the same direction, although not necessarily by the same amount.  </w:t>
      </w:r>
    </w:p>
    <w:p w14:paraId="01C3BC52" w14:textId="77777777" w:rsidR="00760C5C" w:rsidRP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 xml:space="preserve">The Fund therefore has a fiduciary duty to consider climate change risk when making investment decisions and to ensure any decisions support the effective management of climate change. The Fund therefore expects their appointed investment managers to be informed about climate change risks and take investment opportunities accordingly within their processes. More detail is included in the Fund’s Investment Strategy Statement. </w:t>
      </w:r>
    </w:p>
    <w:p w14:paraId="4D1C437F" w14:textId="77777777" w:rsidR="00760C5C" w:rsidRPr="00760C5C" w:rsidRDefault="00760C5C" w:rsidP="0056194B">
      <w:pPr>
        <w:keepNext/>
        <w:spacing w:before="240" w:after="120"/>
        <w:outlineLvl w:val="1"/>
        <w:rPr>
          <w:rFonts w:ascii="Segoe UI Semibold" w:hAnsi="Segoe UI Semibold"/>
          <w:bCs/>
          <w:iCs/>
          <w:color w:val="009FE3"/>
          <w:sz w:val="28"/>
          <w:szCs w:val="28"/>
          <w:lang w:eastAsia="en-US"/>
        </w:rPr>
      </w:pPr>
      <w:r w:rsidRPr="00760C5C">
        <w:rPr>
          <w:rFonts w:ascii="Segoe UI Semibold" w:hAnsi="Segoe UI Semibold"/>
          <w:bCs/>
          <w:iCs/>
          <w:color w:val="009FE3"/>
          <w:sz w:val="28"/>
          <w:szCs w:val="28"/>
          <w:lang w:eastAsia="en-US"/>
        </w:rPr>
        <w:t>Maturity risk</w:t>
      </w:r>
    </w:p>
    <w:p w14:paraId="50563156" w14:textId="77777777" w:rsidR="00760C5C" w:rsidRDefault="00760C5C" w:rsidP="00760C5C">
      <w:pPr>
        <w:spacing w:after="200"/>
        <w:rPr>
          <w:rFonts w:ascii="Segoe UI" w:eastAsia="Segoe UI" w:hAnsi="Segoe UI"/>
          <w:sz w:val="20"/>
          <w:szCs w:val="20"/>
          <w:lang w:eastAsia="en-US"/>
        </w:rPr>
      </w:pPr>
      <w:r w:rsidRPr="00760C5C">
        <w:rPr>
          <w:rFonts w:ascii="Segoe UI" w:eastAsia="Segoe UI" w:hAnsi="Segoe UI"/>
          <w:sz w:val="20"/>
          <w:szCs w:val="20"/>
          <w:lang w:eastAsia="en-US"/>
        </w:rPr>
        <w:t>The maturity of a Fund (or of an employer in the Fund) is an assessment of how close on average the members are to retirement (or already retired). The more mature the Fund or employer, the greater proportion of its membership that is near or in retirement. For a mature Fund or employer, the time available to generate investment returns is shorter and therefore the level of maturity needs to be considered as part of setting funding and investment strategies.</w:t>
      </w:r>
    </w:p>
    <w:p w14:paraId="54B133FC" w14:textId="77777777" w:rsidR="00B36E14" w:rsidRDefault="00B36E14" w:rsidP="00760C5C">
      <w:pPr>
        <w:spacing w:after="200"/>
        <w:rPr>
          <w:rFonts w:ascii="Segoe UI" w:eastAsia="Segoe UI" w:hAnsi="Segoe UI"/>
          <w:sz w:val="20"/>
          <w:szCs w:val="20"/>
          <w:lang w:eastAsia="en-US"/>
        </w:rPr>
      </w:pPr>
    </w:p>
    <w:p w14:paraId="36C4638F"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The cashflow profile of the Fund needs to be considered alongside the level of maturity: as a Fund matures, the ratio of active to pensioner members falls, meaning the ratio of contributions being paid into the Fund to the benefits being paid out of the Fund also falls. This therefore increases the risk of the Fund having to sell assets </w:t>
      </w:r>
      <w:proofErr w:type="gramStart"/>
      <w:r w:rsidRPr="00B36E14">
        <w:rPr>
          <w:rFonts w:ascii="Segoe UI" w:eastAsia="Segoe UI" w:hAnsi="Segoe UI"/>
          <w:sz w:val="20"/>
          <w:szCs w:val="20"/>
          <w:lang w:eastAsia="en-US"/>
        </w:rPr>
        <w:t>in order to</w:t>
      </w:r>
      <w:proofErr w:type="gramEnd"/>
      <w:r w:rsidRPr="00B36E14">
        <w:rPr>
          <w:rFonts w:ascii="Segoe UI" w:eastAsia="Segoe UI" w:hAnsi="Segoe UI"/>
          <w:sz w:val="20"/>
          <w:szCs w:val="20"/>
          <w:lang w:eastAsia="en-US"/>
        </w:rPr>
        <w:t xml:space="preserve"> meets its benefit payments. </w:t>
      </w:r>
    </w:p>
    <w:p w14:paraId="272C3114"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The government has published a consultation (</w:t>
      </w:r>
      <w:r w:rsidRPr="00B36E14">
        <w:rPr>
          <w:rFonts w:ascii="Segoe UI" w:eastAsia="Segoe UI" w:hAnsi="Segoe UI"/>
          <w:i/>
          <w:sz w:val="20"/>
          <w:szCs w:val="20"/>
          <w:lang w:eastAsia="en-US"/>
        </w:rPr>
        <w:t>Local government pension scheme: changes to the local valuation cycle and management of employer risk</w:t>
      </w:r>
      <w:r w:rsidRPr="00B36E14">
        <w:rPr>
          <w:rFonts w:ascii="Segoe UI" w:eastAsia="Segoe UI" w:hAnsi="Segoe UI"/>
          <w:sz w:val="20"/>
          <w:szCs w:val="20"/>
          <w:lang w:eastAsia="en-US"/>
        </w:rPr>
        <w:t xml:space="preserve">) which may affect the Fund’s exposure to maturity risk. More information on this can be found in the </w:t>
      </w:r>
      <w:r w:rsidRPr="00B36E14">
        <w:rPr>
          <w:rFonts w:ascii="Segoe UI" w:eastAsia="Segoe UI" w:hAnsi="Segoe UI"/>
          <w:sz w:val="20"/>
          <w:szCs w:val="20"/>
          <w:lang w:eastAsia="en-US"/>
        </w:rPr>
        <w:fldChar w:fldCharType="begin"/>
      </w:r>
      <w:r w:rsidRPr="00B36E14">
        <w:rPr>
          <w:rFonts w:ascii="Segoe UI" w:eastAsia="Segoe UI" w:hAnsi="Segoe UI"/>
          <w:sz w:val="20"/>
          <w:szCs w:val="20"/>
          <w:lang w:eastAsia="en-US"/>
        </w:rPr>
        <w:instrText xml:space="preserve"> REF _Ref22573573 \h </w:instrText>
      </w:r>
      <w:r w:rsidRPr="00B36E14">
        <w:rPr>
          <w:rFonts w:ascii="Segoe UI" w:eastAsia="Segoe UI" w:hAnsi="Segoe UI"/>
          <w:sz w:val="20"/>
          <w:szCs w:val="20"/>
          <w:lang w:eastAsia="en-US"/>
        </w:rPr>
      </w:r>
      <w:r w:rsidRPr="00B36E14">
        <w:rPr>
          <w:rFonts w:ascii="Segoe UI" w:eastAsia="Segoe UI" w:hAnsi="Segoe UI"/>
          <w:sz w:val="20"/>
          <w:szCs w:val="20"/>
          <w:lang w:eastAsia="en-US"/>
        </w:rPr>
        <w:fldChar w:fldCharType="separate"/>
      </w:r>
      <w:r w:rsidRPr="00B36E14">
        <w:rPr>
          <w:rFonts w:ascii="Segoe UI" w:eastAsia="Segoe UI" w:hAnsi="Segoe UI"/>
          <w:sz w:val="20"/>
          <w:szCs w:val="20"/>
          <w:lang w:eastAsia="en-US"/>
        </w:rPr>
        <w:t>Regulatory risks</w:t>
      </w:r>
      <w:r w:rsidRPr="00B36E14">
        <w:rPr>
          <w:rFonts w:ascii="Segoe UI" w:eastAsia="Segoe UI" w:hAnsi="Segoe UI"/>
          <w:sz w:val="20"/>
          <w:szCs w:val="20"/>
          <w:lang w:eastAsia="en-US"/>
        </w:rPr>
        <w:fldChar w:fldCharType="end"/>
      </w:r>
      <w:r w:rsidRPr="00B36E14">
        <w:rPr>
          <w:rFonts w:ascii="Segoe UI" w:eastAsia="Segoe UI" w:hAnsi="Segoe UI"/>
          <w:sz w:val="20"/>
          <w:szCs w:val="20"/>
          <w:lang w:eastAsia="en-US"/>
        </w:rPr>
        <w:t xml:space="preserve"> section below.</w:t>
      </w:r>
    </w:p>
    <w:p w14:paraId="6563A02F" w14:textId="77777777" w:rsidR="00B36E14" w:rsidRPr="00B36E14" w:rsidRDefault="00B36E14" w:rsidP="000A06A5">
      <w:pPr>
        <w:keepNext/>
        <w:spacing w:before="240" w:after="120"/>
        <w:outlineLvl w:val="1"/>
        <w:rPr>
          <w:rFonts w:ascii="Segoe UI Semibold" w:hAnsi="Segoe UI Semibold"/>
          <w:bCs/>
          <w:iCs/>
          <w:color w:val="009FE3"/>
          <w:sz w:val="28"/>
          <w:szCs w:val="28"/>
          <w:lang w:eastAsia="en-US"/>
        </w:rPr>
      </w:pPr>
      <w:bookmarkStart w:id="27" w:name="_Ref22573573"/>
      <w:r w:rsidRPr="00B36E14">
        <w:rPr>
          <w:rFonts w:ascii="Segoe UI Semibold" w:hAnsi="Segoe UI Semibold"/>
          <w:bCs/>
          <w:iCs/>
          <w:color w:val="009FE3"/>
          <w:sz w:val="28"/>
          <w:szCs w:val="28"/>
          <w:lang w:eastAsia="en-US"/>
        </w:rPr>
        <w:t>Regulatory risks</w:t>
      </w:r>
      <w:bookmarkEnd w:id="27"/>
    </w:p>
    <w:p w14:paraId="3A0515B3"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The benefits provided by the Scheme and employee contribution levels are set out in Regulations determined by central government. The tax status of the invested assets is also determined by the government. </w:t>
      </w:r>
    </w:p>
    <w:p w14:paraId="701E39B5"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The funding strategy is therefore exposed to the risks of changes in the Regulations governing the Scheme and changes to the tax regime which may affect the cost to individual employers participating in the Scheme.</w:t>
      </w:r>
    </w:p>
    <w:p w14:paraId="5298D21C"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However, the administering authority participates in any consultation process of any proposed changes in Regulations and seeks advice from the Fund Actuary on the financial implications of any proposed changes.</w:t>
      </w:r>
    </w:p>
    <w:p w14:paraId="4BC151AA"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There are </w:t>
      </w:r>
      <w:proofErr w:type="gramStart"/>
      <w:r w:rsidRPr="00B36E14">
        <w:rPr>
          <w:rFonts w:ascii="Segoe UI" w:eastAsia="Segoe UI" w:hAnsi="Segoe UI"/>
          <w:sz w:val="20"/>
          <w:szCs w:val="20"/>
          <w:lang w:eastAsia="en-US"/>
        </w:rPr>
        <w:t>a number of</w:t>
      </w:r>
      <w:proofErr w:type="gramEnd"/>
      <w:r w:rsidRPr="00B36E14">
        <w:rPr>
          <w:rFonts w:ascii="Segoe UI" w:eastAsia="Segoe UI" w:hAnsi="Segoe UI"/>
          <w:sz w:val="20"/>
          <w:szCs w:val="20"/>
          <w:lang w:eastAsia="en-US"/>
        </w:rPr>
        <w:t xml:space="preserve"> general risks to the Fund and the LGPS, including:</w:t>
      </w:r>
    </w:p>
    <w:p w14:paraId="1FFA2534" w14:textId="77777777" w:rsidR="002D03BE" w:rsidRDefault="00B36E14" w:rsidP="002D03BE">
      <w:pPr>
        <w:pStyle w:val="ListParagraph"/>
        <w:numPr>
          <w:ilvl w:val="0"/>
          <w:numId w:val="123"/>
        </w:numPr>
        <w:rPr>
          <w:rFonts w:ascii="Segoe UI" w:eastAsia="Segoe UI" w:hAnsi="Segoe UI"/>
          <w:sz w:val="20"/>
          <w:szCs w:val="20"/>
        </w:rPr>
      </w:pPr>
      <w:r w:rsidRPr="002D03BE">
        <w:rPr>
          <w:rFonts w:ascii="Segoe UI" w:eastAsia="Segoe UI" w:hAnsi="Segoe UI"/>
          <w:sz w:val="20"/>
          <w:szCs w:val="20"/>
        </w:rPr>
        <w:t xml:space="preserve">If the LGPS was to be discontinued in its current </w:t>
      </w:r>
      <w:proofErr w:type="gramStart"/>
      <w:r w:rsidRPr="002D03BE">
        <w:rPr>
          <w:rFonts w:ascii="Segoe UI" w:eastAsia="Segoe UI" w:hAnsi="Segoe UI"/>
          <w:sz w:val="20"/>
          <w:szCs w:val="20"/>
        </w:rPr>
        <w:t>form</w:t>
      </w:r>
      <w:proofErr w:type="gramEnd"/>
      <w:r w:rsidRPr="002D03BE">
        <w:rPr>
          <w:rFonts w:ascii="Segoe UI" w:eastAsia="Segoe UI" w:hAnsi="Segoe UI"/>
          <w:sz w:val="20"/>
          <w:szCs w:val="20"/>
        </w:rPr>
        <w:t xml:space="preserve"> it is not known what would happen to members’ benefits.</w:t>
      </w:r>
    </w:p>
    <w:p w14:paraId="538E5F3B" w14:textId="77777777" w:rsidR="002D03BE" w:rsidRDefault="00B36E14" w:rsidP="002D03BE">
      <w:pPr>
        <w:pStyle w:val="ListParagraph"/>
        <w:numPr>
          <w:ilvl w:val="0"/>
          <w:numId w:val="123"/>
        </w:numPr>
        <w:rPr>
          <w:rFonts w:ascii="Segoe UI" w:eastAsia="Segoe UI" w:hAnsi="Segoe UI"/>
          <w:sz w:val="20"/>
          <w:szCs w:val="20"/>
        </w:rPr>
      </w:pPr>
      <w:r w:rsidRPr="002D03BE">
        <w:rPr>
          <w:rFonts w:ascii="Segoe UI" w:eastAsia="Segoe UI" w:hAnsi="Segoe UI"/>
          <w:sz w:val="20"/>
          <w:szCs w:val="20"/>
        </w:rPr>
        <w:t xml:space="preserve">More generally, as a statutory scheme the benefits provided by the </w:t>
      </w:r>
      <w:proofErr w:type="gramStart"/>
      <w:r w:rsidRPr="002D03BE">
        <w:rPr>
          <w:rFonts w:ascii="Segoe UI" w:eastAsia="Segoe UI" w:hAnsi="Segoe UI"/>
          <w:sz w:val="20"/>
          <w:szCs w:val="20"/>
        </w:rPr>
        <w:t>LGPS</w:t>
      </w:r>
      <w:proofErr w:type="gramEnd"/>
      <w:r w:rsidRPr="002D03BE">
        <w:rPr>
          <w:rFonts w:ascii="Segoe UI" w:eastAsia="Segoe UI" w:hAnsi="Segoe UI"/>
          <w:sz w:val="20"/>
          <w:szCs w:val="20"/>
        </w:rPr>
        <w:t xml:space="preserve"> or the structure of the scheme could be changed by the government. </w:t>
      </w:r>
    </w:p>
    <w:p w14:paraId="255515E6" w14:textId="4AD474B7" w:rsidR="00B36E14" w:rsidRPr="002D03BE" w:rsidRDefault="00B36E14" w:rsidP="002D03BE">
      <w:pPr>
        <w:pStyle w:val="ListParagraph"/>
        <w:numPr>
          <w:ilvl w:val="0"/>
          <w:numId w:val="123"/>
        </w:numPr>
        <w:rPr>
          <w:rFonts w:ascii="Segoe UI" w:eastAsia="Segoe UI" w:hAnsi="Segoe UI"/>
          <w:sz w:val="20"/>
          <w:szCs w:val="20"/>
        </w:rPr>
      </w:pPr>
      <w:r w:rsidRPr="002D03BE">
        <w:rPr>
          <w:rFonts w:ascii="Segoe UI" w:eastAsia="Segoe UI" w:hAnsi="Segoe UI"/>
          <w:sz w:val="20"/>
          <w:szCs w:val="20"/>
        </w:rPr>
        <w:t>The State Pension Age is due to be reviewed by the government in the next few years.</w:t>
      </w:r>
    </w:p>
    <w:p w14:paraId="4C35F0BF"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At the time of preparing this FSS, specific regulatory risks of particular interest to the LGPS are in relation to the McCloud/Sargeant judgments and the timing of future funding valuations consultation. These are discussed in the sections below. </w:t>
      </w:r>
    </w:p>
    <w:p w14:paraId="4C61A135" w14:textId="77777777" w:rsidR="00B36E14" w:rsidRPr="00B36E14" w:rsidRDefault="00B36E14" w:rsidP="00B36E14">
      <w:pPr>
        <w:keepNext/>
        <w:spacing w:before="240" w:after="60"/>
        <w:outlineLvl w:val="2"/>
        <w:rPr>
          <w:rFonts w:ascii="Segoe UI Semibold" w:hAnsi="Segoe UI Semibold"/>
          <w:bCs/>
          <w:color w:val="68C0B5"/>
          <w:szCs w:val="26"/>
          <w:lang w:eastAsia="en-US"/>
        </w:rPr>
      </w:pPr>
      <w:r w:rsidRPr="00B36E14">
        <w:rPr>
          <w:rFonts w:ascii="Segoe UI Semibold" w:hAnsi="Segoe UI Semibold"/>
          <w:bCs/>
          <w:color w:val="68C0B5"/>
          <w:szCs w:val="26"/>
          <w:lang w:eastAsia="en-US"/>
        </w:rPr>
        <w:t xml:space="preserve">McCloud/Sargeant judgments </w:t>
      </w:r>
    </w:p>
    <w:p w14:paraId="58725594"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The Court of Appeal judgment on the McCloud and Sargeant cases, relate to age discrimination against the age-based transitional provisions put into place when the new judicial pension arrangements were introduced in 2015. The members argued that these transitional provisions were directly discriminatory on grounds of age and indirectly discriminatory on grounds of sex and race, based on the correlation between these two factors reflected in the judicial membership. The Tribunal ruled against the Government, deeming the transitional provisions as not a proportionate means of achieving a legitimate aim.</w:t>
      </w:r>
    </w:p>
    <w:p w14:paraId="3549FB1D"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The Government subsequently applied to the Supreme Court to appeal the </w:t>
      </w:r>
      <w:proofErr w:type="gramStart"/>
      <w:r w:rsidRPr="00B36E14">
        <w:rPr>
          <w:rFonts w:ascii="Segoe UI" w:eastAsia="Segoe UI" w:hAnsi="Segoe UI"/>
          <w:sz w:val="20"/>
          <w:szCs w:val="20"/>
          <w:lang w:eastAsia="en-US"/>
        </w:rPr>
        <w:t>judgment</w:t>
      </w:r>
      <w:proofErr w:type="gramEnd"/>
      <w:r w:rsidRPr="00B36E14">
        <w:rPr>
          <w:rFonts w:ascii="Segoe UI" w:eastAsia="Segoe UI" w:hAnsi="Segoe UI"/>
          <w:sz w:val="20"/>
          <w:szCs w:val="20"/>
          <w:lang w:eastAsia="en-US"/>
        </w:rPr>
        <w:t xml:space="preserve"> but their application was denied on 27 June 2019. On 16 July 2020, the Government published a consultation on the proposed remedy to be applied to LGPS benefits in response to the McCloud and Sargeant cases. A ministerial statement in response to this was published on 13 May 2021 and revised Regulations are awaited to bring a remedy into play. </w:t>
      </w:r>
    </w:p>
    <w:p w14:paraId="72335409"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At the time of drafting this FSS, Regulations and therefore confirmation of the remedy are not yet finalised and are expected in 2023.</w:t>
      </w:r>
    </w:p>
    <w:p w14:paraId="362BC891" w14:textId="77777777" w:rsidR="00B36E14" w:rsidRPr="00B36E14" w:rsidRDefault="00B36E14" w:rsidP="00B36E14">
      <w:pPr>
        <w:keepNext/>
        <w:spacing w:before="240" w:after="60"/>
        <w:outlineLvl w:val="2"/>
        <w:rPr>
          <w:rFonts w:ascii="Segoe UI Semibold" w:hAnsi="Segoe UI Semibold"/>
          <w:bCs/>
          <w:color w:val="68C0B5"/>
          <w:szCs w:val="26"/>
          <w:lang w:eastAsia="en-US"/>
        </w:rPr>
      </w:pPr>
      <w:r w:rsidRPr="00B36E14">
        <w:rPr>
          <w:rFonts w:ascii="Segoe UI Semibold" w:hAnsi="Segoe UI Semibold"/>
          <w:bCs/>
          <w:color w:val="68C0B5"/>
          <w:szCs w:val="26"/>
          <w:lang w:eastAsia="en-US"/>
        </w:rPr>
        <w:t>Cost control mechanism</w:t>
      </w:r>
    </w:p>
    <w:p w14:paraId="48BA40B6"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As a result of the public service pension schemes reforms, the Government established a cost control mechanism for all those schemes to ensure a fair balance of risks between scheme members and the taxpayer. The process has been complex and has still not been fully resolved. Although the 2016 cost cap valuation report for the LGPS has been published, at the time of writing there is still a challenge outstanding regarding the inclusion of McCloud in the cost cap. Therefore, there is still a possibility that the 2016 valuation may have to be revisited with the small chance that benefit improvements will be required and potentially backdated to April 2019. </w:t>
      </w:r>
    </w:p>
    <w:p w14:paraId="2C515E62"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For the purposes of the 2022 valuation, we have made no allowance for any potential benefit changes. The Fund’s prudence allowance already allows for an element of regulatory uncertainty and any potential impact is not deemed to be material. </w:t>
      </w:r>
    </w:p>
    <w:p w14:paraId="489EAE64" w14:textId="77777777" w:rsidR="00B36E14" w:rsidRPr="00B36E14" w:rsidRDefault="00B36E14" w:rsidP="00B36E14">
      <w:pPr>
        <w:keepNext/>
        <w:spacing w:before="240" w:after="60"/>
        <w:outlineLvl w:val="2"/>
        <w:rPr>
          <w:rFonts w:ascii="Segoe UI Semibold" w:hAnsi="Segoe UI Semibold"/>
          <w:bCs/>
          <w:color w:val="68C0B5"/>
          <w:szCs w:val="26"/>
          <w:lang w:eastAsia="en-US"/>
        </w:rPr>
      </w:pPr>
      <w:r w:rsidRPr="00B36E14">
        <w:rPr>
          <w:rFonts w:ascii="Segoe UI Semibold" w:hAnsi="Segoe UI Semibold"/>
          <w:bCs/>
          <w:color w:val="68C0B5"/>
          <w:szCs w:val="26"/>
          <w:lang w:eastAsia="en-US"/>
        </w:rPr>
        <w:t>Consultation: Local government pension scheme: changes to the local valuation cycle and management of employer risk</w:t>
      </w:r>
    </w:p>
    <w:p w14:paraId="0A951589"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On 8 May 2019, the government published a consultation seeking views on policy proposals to amend the rules of the LGPS in England and Wales. The consultation covered:</w:t>
      </w:r>
    </w:p>
    <w:p w14:paraId="7F44CEF1" w14:textId="77777777" w:rsidR="00DB172E" w:rsidRDefault="00B36E14" w:rsidP="00DB172E">
      <w:pPr>
        <w:pStyle w:val="ListParagraph"/>
        <w:numPr>
          <w:ilvl w:val="0"/>
          <w:numId w:val="124"/>
        </w:numPr>
        <w:rPr>
          <w:rFonts w:ascii="Segoe UI" w:eastAsia="Segoe UI" w:hAnsi="Segoe UI"/>
          <w:sz w:val="20"/>
          <w:szCs w:val="20"/>
        </w:rPr>
      </w:pPr>
      <w:r w:rsidRPr="00DB172E">
        <w:rPr>
          <w:rFonts w:ascii="Segoe UI" w:eastAsia="Segoe UI" w:hAnsi="Segoe UI"/>
          <w:sz w:val="20"/>
          <w:szCs w:val="20"/>
        </w:rPr>
        <w:t xml:space="preserve">amendments to the local fund valuations from the current </w:t>
      </w:r>
      <w:proofErr w:type="gramStart"/>
      <w:r w:rsidRPr="00DB172E">
        <w:rPr>
          <w:rFonts w:ascii="Segoe UI" w:eastAsia="Segoe UI" w:hAnsi="Segoe UI"/>
          <w:sz w:val="20"/>
          <w:szCs w:val="20"/>
        </w:rPr>
        <w:t>three year</w:t>
      </w:r>
      <w:proofErr w:type="gramEnd"/>
      <w:r w:rsidRPr="00DB172E">
        <w:rPr>
          <w:rFonts w:ascii="Segoe UI" w:eastAsia="Segoe UI" w:hAnsi="Segoe UI"/>
          <w:sz w:val="20"/>
          <w:szCs w:val="20"/>
        </w:rPr>
        <w:t xml:space="preserve"> (triennial) to a four year (quadrennial) cycle;</w:t>
      </w:r>
    </w:p>
    <w:p w14:paraId="39810AB4" w14:textId="77777777" w:rsidR="00DB172E" w:rsidRDefault="00B36E14" w:rsidP="00DB172E">
      <w:pPr>
        <w:pStyle w:val="ListParagraph"/>
        <w:numPr>
          <w:ilvl w:val="0"/>
          <w:numId w:val="124"/>
        </w:numPr>
        <w:rPr>
          <w:rFonts w:ascii="Segoe UI" w:eastAsia="Segoe UI" w:hAnsi="Segoe UI"/>
          <w:sz w:val="20"/>
          <w:szCs w:val="20"/>
        </w:rPr>
      </w:pPr>
      <w:r w:rsidRPr="00DB172E">
        <w:rPr>
          <w:rFonts w:ascii="Segoe UI" w:eastAsia="Segoe UI" w:hAnsi="Segoe UI"/>
          <w:sz w:val="20"/>
          <w:szCs w:val="20"/>
        </w:rPr>
        <w:t xml:space="preserve">a number of measures aimed at mitigating the risks of moving from a triennial to a quadrennial </w:t>
      </w:r>
      <w:proofErr w:type="gramStart"/>
      <w:r w:rsidRPr="00DB172E">
        <w:rPr>
          <w:rFonts w:ascii="Segoe UI" w:eastAsia="Segoe UI" w:hAnsi="Segoe UI"/>
          <w:sz w:val="20"/>
          <w:szCs w:val="20"/>
        </w:rPr>
        <w:t>cycle;</w:t>
      </w:r>
      <w:proofErr w:type="gramEnd"/>
    </w:p>
    <w:p w14:paraId="6D75DE3E" w14:textId="77777777" w:rsidR="00DB172E" w:rsidRDefault="00B36E14" w:rsidP="00DB172E">
      <w:pPr>
        <w:pStyle w:val="ListParagraph"/>
        <w:numPr>
          <w:ilvl w:val="0"/>
          <w:numId w:val="124"/>
        </w:numPr>
        <w:rPr>
          <w:rFonts w:ascii="Segoe UI" w:eastAsia="Segoe UI" w:hAnsi="Segoe UI"/>
          <w:sz w:val="20"/>
          <w:szCs w:val="20"/>
        </w:rPr>
      </w:pPr>
      <w:r w:rsidRPr="00DB172E">
        <w:rPr>
          <w:rFonts w:ascii="Segoe UI" w:eastAsia="Segoe UI" w:hAnsi="Segoe UI"/>
          <w:sz w:val="20"/>
          <w:szCs w:val="20"/>
        </w:rPr>
        <w:t xml:space="preserve">proposals for flexibility on exit </w:t>
      </w:r>
      <w:proofErr w:type="gramStart"/>
      <w:r w:rsidRPr="00DB172E">
        <w:rPr>
          <w:rFonts w:ascii="Segoe UI" w:eastAsia="Segoe UI" w:hAnsi="Segoe UI"/>
          <w:sz w:val="20"/>
          <w:szCs w:val="20"/>
        </w:rPr>
        <w:t>payments;</w:t>
      </w:r>
      <w:proofErr w:type="gramEnd"/>
      <w:r w:rsidRPr="00DB172E">
        <w:rPr>
          <w:rFonts w:ascii="Segoe UI" w:eastAsia="Segoe UI" w:hAnsi="Segoe UI"/>
          <w:sz w:val="20"/>
          <w:szCs w:val="20"/>
        </w:rPr>
        <w:t xml:space="preserve"> </w:t>
      </w:r>
    </w:p>
    <w:p w14:paraId="3200FDB9" w14:textId="77777777" w:rsidR="00DB172E" w:rsidRDefault="00B36E14" w:rsidP="00DB172E">
      <w:pPr>
        <w:pStyle w:val="ListParagraph"/>
        <w:numPr>
          <w:ilvl w:val="0"/>
          <w:numId w:val="124"/>
        </w:numPr>
        <w:rPr>
          <w:rFonts w:ascii="Segoe UI" w:eastAsia="Segoe UI" w:hAnsi="Segoe UI"/>
          <w:sz w:val="20"/>
          <w:szCs w:val="20"/>
        </w:rPr>
      </w:pPr>
      <w:r w:rsidRPr="00DB172E">
        <w:rPr>
          <w:rFonts w:ascii="Segoe UI" w:eastAsia="Segoe UI" w:hAnsi="Segoe UI"/>
          <w:sz w:val="20"/>
          <w:szCs w:val="20"/>
        </w:rPr>
        <w:t>proposals for further policy changes to exit credits; and</w:t>
      </w:r>
    </w:p>
    <w:p w14:paraId="287357FE" w14:textId="4C9CAF61" w:rsidR="00B36E14" w:rsidRPr="00DB172E" w:rsidRDefault="00B36E14" w:rsidP="00DB172E">
      <w:pPr>
        <w:pStyle w:val="ListParagraph"/>
        <w:numPr>
          <w:ilvl w:val="0"/>
          <w:numId w:val="124"/>
        </w:numPr>
        <w:rPr>
          <w:rFonts w:ascii="Segoe UI" w:eastAsia="Segoe UI" w:hAnsi="Segoe UI"/>
          <w:sz w:val="20"/>
          <w:szCs w:val="20"/>
        </w:rPr>
      </w:pPr>
      <w:r w:rsidRPr="00DB172E">
        <w:rPr>
          <w:rFonts w:ascii="Segoe UI" w:eastAsia="Segoe UI" w:hAnsi="Segoe UI"/>
          <w:sz w:val="20"/>
          <w:szCs w:val="20"/>
        </w:rPr>
        <w:t>proposals for changes to the employers required to offer LGPS membership.</w:t>
      </w:r>
    </w:p>
    <w:p w14:paraId="6C0365A4"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The proposals for flexibility on exit payments and for further policy changes to exit credits have been finalised, however, are still to be finalised for the remaining three proposals. This FSS will be revisited once the outcome is known and reviewed where appropriate.</w:t>
      </w:r>
    </w:p>
    <w:p w14:paraId="595F3186" w14:textId="77777777" w:rsidR="00B36E14" w:rsidRPr="00B36E14" w:rsidRDefault="00B36E14" w:rsidP="00B36E14">
      <w:pPr>
        <w:spacing w:after="200"/>
        <w:rPr>
          <w:rFonts w:ascii="Segoe UI" w:eastAsia="Segoe UI" w:hAnsi="Segoe UI" w:cs="Segoe UI Semibold"/>
          <w:sz w:val="20"/>
          <w:szCs w:val="20"/>
          <w:lang w:eastAsia="en-US"/>
        </w:rPr>
      </w:pPr>
      <w:r w:rsidRPr="00B36E14">
        <w:rPr>
          <w:rFonts w:ascii="Segoe UI Semibold" w:eastAsia="Segoe UI" w:hAnsi="Segoe UI Semibold" w:cs="Segoe UI Semibold"/>
          <w:sz w:val="20"/>
          <w:szCs w:val="20"/>
          <w:lang w:eastAsia="en-US"/>
        </w:rPr>
        <w:t>Timing of future actuarial valuations</w:t>
      </w:r>
    </w:p>
    <w:p w14:paraId="33FBBFB7"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LGPS valuations currently take place on a triennial basis which results in employer contributions being reviewed every three years. In September 2018 it was announced by the Chief Secretary to HMT, Elizabeth Truss, that the national Scheme valuation would take place on a quadrennial basis (</w:t>
      </w:r>
      <w:proofErr w:type="gramStart"/>
      <w:r w:rsidRPr="00B36E14">
        <w:rPr>
          <w:rFonts w:ascii="Segoe UI" w:eastAsia="Segoe UI" w:hAnsi="Segoe UI"/>
          <w:sz w:val="20"/>
          <w:szCs w:val="20"/>
          <w:lang w:eastAsia="en-US"/>
        </w:rPr>
        <w:t>i.e.</w:t>
      </w:r>
      <w:proofErr w:type="gramEnd"/>
      <w:r w:rsidRPr="00B36E14">
        <w:rPr>
          <w:rFonts w:ascii="Segoe UI" w:eastAsia="Segoe UI" w:hAnsi="Segoe UI"/>
          <w:sz w:val="20"/>
          <w:szCs w:val="20"/>
          <w:lang w:eastAsia="en-US"/>
        </w:rPr>
        <w:t xml:space="preserve"> every four years) along with the other public sector pension schemes. The results of the national Scheme valuation are used to test the cost control mechanism and HMT believed that all public sector scheme should have the cost control test happen at the same time. </w:t>
      </w:r>
    </w:p>
    <w:p w14:paraId="5BF6A7BF" w14:textId="77777777" w:rsidR="00B36E14" w:rsidRPr="00B36E14" w:rsidRDefault="00B36E14" w:rsidP="00B36E14">
      <w:pPr>
        <w:spacing w:after="200"/>
        <w:rPr>
          <w:rFonts w:ascii="Segoe UI Semibold" w:eastAsia="Segoe UI" w:hAnsi="Segoe UI Semibold" w:cs="Segoe UI Semibold"/>
          <w:sz w:val="20"/>
          <w:szCs w:val="20"/>
          <w:lang w:eastAsia="en-US"/>
        </w:rPr>
      </w:pPr>
      <w:r w:rsidRPr="00B36E14">
        <w:rPr>
          <w:rFonts w:ascii="Segoe UI Semibold" w:eastAsia="Segoe UI" w:hAnsi="Segoe UI Semibold" w:cs="Segoe UI Semibold"/>
          <w:sz w:val="20"/>
          <w:szCs w:val="20"/>
          <w:lang w:eastAsia="en-US"/>
        </w:rPr>
        <w:t xml:space="preserve">Changes to employers required to offer LGPS </w:t>
      </w:r>
      <w:proofErr w:type="gramStart"/>
      <w:r w:rsidRPr="00B36E14">
        <w:rPr>
          <w:rFonts w:ascii="Segoe UI Semibold" w:eastAsia="Segoe UI" w:hAnsi="Segoe UI Semibold" w:cs="Segoe UI Semibold"/>
          <w:sz w:val="20"/>
          <w:szCs w:val="20"/>
          <w:lang w:eastAsia="en-US"/>
        </w:rPr>
        <w:t>membership</w:t>
      </w:r>
      <w:proofErr w:type="gramEnd"/>
    </w:p>
    <w:p w14:paraId="208E232E"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At the time of drafting this FSS, under the current Regulations further education corporations, sixth form college corporations and higher education corporations in England and Wales are required to offer membership of the LGPS to their non-teaching staff.</w:t>
      </w:r>
    </w:p>
    <w:p w14:paraId="07E8588E"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With consideration of the nature of the LGPS and the changes in nature of the further education and higher education sectors, the government has proposed to remove the requirement for further education corporations, sixth form college corporations and higher education corporations in England to offer new employees access to the LGPS. Given the significance of these types of employers in the Fund, this could impact on the level of maturity of the Fund and the cashflow profile. For example, increased risk of contribution income being insufficient to meet benefit outgo, if not in the short </w:t>
      </w:r>
      <w:proofErr w:type="gramStart"/>
      <w:r w:rsidRPr="00B36E14">
        <w:rPr>
          <w:rFonts w:ascii="Segoe UI" w:eastAsia="Segoe UI" w:hAnsi="Segoe UI"/>
          <w:sz w:val="20"/>
          <w:szCs w:val="20"/>
          <w:lang w:eastAsia="en-US"/>
        </w:rPr>
        <w:t>term</w:t>
      </w:r>
      <w:proofErr w:type="gramEnd"/>
      <w:r w:rsidRPr="00B36E14">
        <w:rPr>
          <w:rFonts w:ascii="Segoe UI" w:eastAsia="Segoe UI" w:hAnsi="Segoe UI"/>
          <w:sz w:val="20"/>
          <w:szCs w:val="20"/>
          <w:lang w:eastAsia="en-US"/>
        </w:rPr>
        <w:t xml:space="preserve"> then in the long term as the payroll in respect of these types of employers decreases with fewer and fewer active members participating in the Fund.</w:t>
      </w:r>
    </w:p>
    <w:p w14:paraId="779A05F1"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This also brings an increased risk to the Fund in relation to these employers becoming exiting employers in the Fund. Should they decide not to admit new members to the Fund, the active membership attributable to the employers will gradually reduce to zero, triggering an exit under the Regulations and a potential significant exit payment. This has the associated risk of the employer not being able to meet the exit payment and thus the exit payment falling to the other employers in the Fund.</w:t>
      </w:r>
    </w:p>
    <w:p w14:paraId="6AE2DDE4" w14:textId="77777777" w:rsidR="00B36E14" w:rsidRPr="00B36E14" w:rsidRDefault="00B36E14" w:rsidP="006764DB">
      <w:pPr>
        <w:keepNext/>
        <w:spacing w:before="240" w:after="120"/>
        <w:outlineLvl w:val="1"/>
        <w:rPr>
          <w:rFonts w:ascii="Segoe UI Semibold" w:hAnsi="Segoe UI Semibold"/>
          <w:bCs/>
          <w:iCs/>
          <w:color w:val="009FE3"/>
          <w:sz w:val="28"/>
          <w:szCs w:val="28"/>
          <w:lang w:eastAsia="en-US"/>
        </w:rPr>
      </w:pPr>
      <w:bookmarkStart w:id="28" w:name="_Toc16069717"/>
      <w:r w:rsidRPr="00B36E14">
        <w:rPr>
          <w:rFonts w:ascii="Segoe UI Semibold" w:hAnsi="Segoe UI Semibold"/>
          <w:bCs/>
          <w:iCs/>
          <w:color w:val="009FE3"/>
          <w:sz w:val="28"/>
          <w:szCs w:val="28"/>
          <w:lang w:eastAsia="en-US"/>
        </w:rPr>
        <w:t>Employer</w:t>
      </w:r>
      <w:bookmarkEnd w:id="28"/>
      <w:r w:rsidRPr="00B36E14">
        <w:rPr>
          <w:rFonts w:ascii="Segoe UI Semibold" w:hAnsi="Segoe UI Semibold"/>
          <w:bCs/>
          <w:iCs/>
          <w:color w:val="009FE3"/>
          <w:sz w:val="28"/>
          <w:szCs w:val="28"/>
          <w:lang w:eastAsia="en-US"/>
        </w:rPr>
        <w:t xml:space="preserve"> risks</w:t>
      </w:r>
    </w:p>
    <w:p w14:paraId="1C677109"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Many different employers participate in the Fund. Accordingly, it is recognised that </w:t>
      </w:r>
      <w:proofErr w:type="gramStart"/>
      <w:r w:rsidRPr="00B36E14">
        <w:rPr>
          <w:rFonts w:ascii="Segoe UI" w:eastAsia="Segoe UI" w:hAnsi="Segoe UI"/>
          <w:sz w:val="20"/>
          <w:szCs w:val="20"/>
          <w:lang w:eastAsia="en-US"/>
        </w:rPr>
        <w:t>a number of</w:t>
      </w:r>
      <w:proofErr w:type="gramEnd"/>
      <w:r w:rsidRPr="00B36E14">
        <w:rPr>
          <w:rFonts w:ascii="Segoe UI" w:eastAsia="Segoe UI" w:hAnsi="Segoe UI"/>
          <w:sz w:val="20"/>
          <w:szCs w:val="20"/>
          <w:lang w:eastAsia="en-US"/>
        </w:rPr>
        <w:t xml:space="preserve"> employer-specific events could impact on the funding strategy including:</w:t>
      </w:r>
    </w:p>
    <w:p w14:paraId="6D350616" w14:textId="77777777" w:rsidR="006D418D" w:rsidRDefault="00B36E14" w:rsidP="006D418D">
      <w:pPr>
        <w:pStyle w:val="ListParagraph"/>
        <w:numPr>
          <w:ilvl w:val="0"/>
          <w:numId w:val="125"/>
        </w:numPr>
        <w:rPr>
          <w:rFonts w:ascii="Segoe UI" w:eastAsia="Segoe UI" w:hAnsi="Segoe UI"/>
          <w:sz w:val="20"/>
          <w:szCs w:val="20"/>
        </w:rPr>
      </w:pPr>
      <w:r w:rsidRPr="006D418D">
        <w:rPr>
          <w:rFonts w:ascii="Segoe UI" w:eastAsia="Segoe UI" w:hAnsi="Segoe UI"/>
          <w:sz w:val="20"/>
          <w:szCs w:val="20"/>
        </w:rPr>
        <w:t xml:space="preserve">Structural changes in an individual employer’s </w:t>
      </w:r>
      <w:proofErr w:type="gramStart"/>
      <w:r w:rsidRPr="006D418D">
        <w:rPr>
          <w:rFonts w:ascii="Segoe UI" w:eastAsia="Segoe UI" w:hAnsi="Segoe UI"/>
          <w:sz w:val="20"/>
          <w:szCs w:val="20"/>
        </w:rPr>
        <w:t>membership;</w:t>
      </w:r>
      <w:proofErr w:type="gramEnd"/>
    </w:p>
    <w:p w14:paraId="3900F6E9" w14:textId="77777777" w:rsidR="006D418D" w:rsidRDefault="00B36E14" w:rsidP="006D418D">
      <w:pPr>
        <w:pStyle w:val="ListParagraph"/>
        <w:numPr>
          <w:ilvl w:val="0"/>
          <w:numId w:val="125"/>
        </w:numPr>
        <w:rPr>
          <w:rFonts w:ascii="Segoe UI" w:eastAsia="Segoe UI" w:hAnsi="Segoe UI"/>
          <w:sz w:val="20"/>
          <w:szCs w:val="20"/>
        </w:rPr>
      </w:pPr>
      <w:r w:rsidRPr="006D418D">
        <w:rPr>
          <w:rFonts w:ascii="Segoe UI" w:eastAsia="Segoe UI" w:hAnsi="Segoe UI"/>
          <w:sz w:val="20"/>
          <w:szCs w:val="20"/>
        </w:rPr>
        <w:t>An individual employer deciding to close the Scheme to new employees; and</w:t>
      </w:r>
    </w:p>
    <w:p w14:paraId="23CAA18A" w14:textId="3DE2987E" w:rsidR="00B36E14" w:rsidRPr="006D418D" w:rsidRDefault="00B36E14" w:rsidP="006D418D">
      <w:pPr>
        <w:pStyle w:val="ListParagraph"/>
        <w:numPr>
          <w:ilvl w:val="0"/>
          <w:numId w:val="125"/>
        </w:numPr>
        <w:rPr>
          <w:rFonts w:ascii="Segoe UI" w:eastAsia="Segoe UI" w:hAnsi="Segoe UI"/>
          <w:sz w:val="20"/>
          <w:szCs w:val="20"/>
        </w:rPr>
      </w:pPr>
      <w:r w:rsidRPr="006D418D">
        <w:rPr>
          <w:rFonts w:ascii="Segoe UI" w:eastAsia="Segoe UI" w:hAnsi="Segoe UI"/>
          <w:sz w:val="20"/>
          <w:szCs w:val="20"/>
        </w:rPr>
        <w:t>An employer ceasing to exist without having fully funded their pension liabilities.</w:t>
      </w:r>
    </w:p>
    <w:p w14:paraId="2FA3EAAD"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However, the administering authority monitors the position of employers participating in the Fund, particularly those which may be susceptible to the events </w:t>
      </w:r>
      <w:proofErr w:type="gramStart"/>
      <w:r w:rsidRPr="00B36E14">
        <w:rPr>
          <w:rFonts w:ascii="Segoe UI" w:eastAsia="Segoe UI" w:hAnsi="Segoe UI"/>
          <w:sz w:val="20"/>
          <w:szCs w:val="20"/>
          <w:lang w:eastAsia="en-US"/>
        </w:rPr>
        <w:t>outlined, and</w:t>
      </w:r>
      <w:proofErr w:type="gramEnd"/>
      <w:r w:rsidRPr="00B36E14">
        <w:rPr>
          <w:rFonts w:ascii="Segoe UI" w:eastAsia="Segoe UI" w:hAnsi="Segoe UI"/>
          <w:sz w:val="20"/>
          <w:szCs w:val="20"/>
          <w:lang w:eastAsia="en-US"/>
        </w:rPr>
        <w:t xml:space="preserve"> takes advice from the Fund Actuary when required. In particular, the Fund will commission an employer risk review from the Fund Actuary on a regular basis, every three years as a minimum, to help identify the employers in the Fund that might be considered as high risk. In the case of admitted bodies, the Fund has a policy of requiring some form of security from the employer, in the form of a guarantee or a bond, in case of employer default where the risk falls to the Fund. Where the risk of default falls on the liabilities of an original letting authority, the Fund provides advice to the letting authority to enable them to </w:t>
      </w:r>
      <w:proofErr w:type="gramStart"/>
      <w:r w:rsidRPr="00B36E14">
        <w:rPr>
          <w:rFonts w:ascii="Segoe UI" w:eastAsia="Segoe UI" w:hAnsi="Segoe UI"/>
          <w:sz w:val="20"/>
          <w:szCs w:val="20"/>
          <w:lang w:eastAsia="en-US"/>
        </w:rPr>
        <w:t>make a decision</w:t>
      </w:r>
      <w:proofErr w:type="gramEnd"/>
      <w:r w:rsidRPr="00B36E14">
        <w:rPr>
          <w:rFonts w:ascii="Segoe UI" w:eastAsia="Segoe UI" w:hAnsi="Segoe UI"/>
          <w:sz w:val="20"/>
          <w:szCs w:val="20"/>
          <w:lang w:eastAsia="en-US"/>
        </w:rPr>
        <w:t xml:space="preserve"> on whether a guarantee, some other form of security or a bond should be required.</w:t>
      </w:r>
    </w:p>
    <w:p w14:paraId="3E6EBA87"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In addition, the administering authority keeps in close touch with all individual employers participating in the Fund to ensure that, as administering authority, it has the most up to date information available on individual employer situations. It also keeps individual employers briefed on funding and related issues.</w:t>
      </w:r>
    </w:p>
    <w:p w14:paraId="38F6920D" w14:textId="77777777" w:rsidR="00B36E14" w:rsidRPr="00B36E14" w:rsidRDefault="00B36E14" w:rsidP="000829E6">
      <w:pPr>
        <w:keepNext/>
        <w:spacing w:before="240" w:after="120"/>
        <w:outlineLvl w:val="1"/>
        <w:rPr>
          <w:rFonts w:ascii="Segoe UI Semibold" w:hAnsi="Segoe UI Semibold"/>
          <w:bCs/>
          <w:iCs/>
          <w:color w:val="009FE3"/>
          <w:sz w:val="28"/>
          <w:szCs w:val="28"/>
          <w:lang w:eastAsia="en-US"/>
        </w:rPr>
      </w:pPr>
      <w:bookmarkStart w:id="29" w:name="_Toc16069718"/>
      <w:r w:rsidRPr="00B36E14">
        <w:rPr>
          <w:rFonts w:ascii="Segoe UI Semibold" w:hAnsi="Segoe UI Semibold"/>
          <w:bCs/>
          <w:iCs/>
          <w:color w:val="009FE3"/>
          <w:sz w:val="28"/>
          <w:szCs w:val="28"/>
          <w:lang w:eastAsia="en-US"/>
        </w:rPr>
        <w:t>Governance risks</w:t>
      </w:r>
    </w:p>
    <w:p w14:paraId="664DE1B9"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Accurate data is necessary to ensure that members ultimately receive their correct benefits. The administering authority is responsible for keeping data up to date and results of the actuarial valuation depend on accurate data. If incorrect data is </w:t>
      </w:r>
      <w:proofErr w:type="gramStart"/>
      <w:r w:rsidRPr="00B36E14">
        <w:rPr>
          <w:rFonts w:ascii="Segoe UI" w:eastAsia="Segoe UI" w:hAnsi="Segoe UI"/>
          <w:sz w:val="20"/>
          <w:szCs w:val="20"/>
          <w:lang w:eastAsia="en-US"/>
        </w:rPr>
        <w:t>valued</w:t>
      </w:r>
      <w:proofErr w:type="gramEnd"/>
      <w:r w:rsidRPr="00B36E14">
        <w:rPr>
          <w:rFonts w:ascii="Segoe UI" w:eastAsia="Segoe UI" w:hAnsi="Segoe UI"/>
          <w:sz w:val="20"/>
          <w:szCs w:val="20"/>
          <w:lang w:eastAsia="en-US"/>
        </w:rPr>
        <w:t xml:space="preserve"> then there is a risk that the contributions paid are not adequate to cover the cost of the benefits accrued. </w:t>
      </w:r>
    </w:p>
    <w:p w14:paraId="54D970B7" w14:textId="77777777" w:rsidR="00B36E14" w:rsidRPr="00B36E14" w:rsidRDefault="00B36E14" w:rsidP="000829E6">
      <w:pPr>
        <w:keepNext/>
        <w:spacing w:before="240" w:after="120"/>
        <w:outlineLvl w:val="1"/>
        <w:rPr>
          <w:rFonts w:ascii="Segoe UI Semibold" w:hAnsi="Segoe UI Semibold"/>
          <w:bCs/>
          <w:iCs/>
          <w:color w:val="009FE3"/>
          <w:sz w:val="28"/>
          <w:szCs w:val="28"/>
          <w:lang w:eastAsia="en-US"/>
        </w:rPr>
      </w:pPr>
      <w:r w:rsidRPr="00B36E14">
        <w:rPr>
          <w:rFonts w:ascii="Segoe UI Semibold" w:hAnsi="Segoe UI Semibold"/>
          <w:bCs/>
          <w:iCs/>
          <w:color w:val="009FE3"/>
          <w:sz w:val="28"/>
          <w:szCs w:val="28"/>
          <w:lang w:eastAsia="en-US"/>
        </w:rPr>
        <w:t>Monitoring and review</w:t>
      </w:r>
      <w:bookmarkEnd w:id="29"/>
    </w:p>
    <w:p w14:paraId="34C5F5A5"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This FSS is reviewed formally, in consultation with the key parties, at least every three years to tie in with the triennial actuarial valuation process.</w:t>
      </w:r>
    </w:p>
    <w:p w14:paraId="296D9AA0"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The most recent valuation was carried out as </w:t>
      </w:r>
      <w:proofErr w:type="gramStart"/>
      <w:r w:rsidRPr="00B36E14">
        <w:rPr>
          <w:rFonts w:ascii="Segoe UI" w:eastAsia="Segoe UI" w:hAnsi="Segoe UI"/>
          <w:sz w:val="20"/>
          <w:szCs w:val="20"/>
          <w:lang w:eastAsia="en-US"/>
        </w:rPr>
        <w:t>at</w:t>
      </w:r>
      <w:proofErr w:type="gramEnd"/>
      <w:r w:rsidRPr="00B36E14">
        <w:rPr>
          <w:rFonts w:ascii="Segoe UI" w:eastAsia="Segoe UI" w:hAnsi="Segoe UI"/>
          <w:sz w:val="20"/>
          <w:szCs w:val="20"/>
          <w:lang w:eastAsia="en-US"/>
        </w:rPr>
        <w:t xml:space="preserve"> 31 March 2022, certifying the contribution rates payable by each employer in the Fund for the period from 1 April 2023 to 31 March 2026. </w:t>
      </w:r>
    </w:p>
    <w:p w14:paraId="6CD1C43D" w14:textId="77777777" w:rsidR="00B36E14" w:rsidRPr="00B36E14" w:rsidRDefault="00B36E14" w:rsidP="00B36E14">
      <w:pPr>
        <w:spacing w:after="200"/>
        <w:rPr>
          <w:rFonts w:ascii="Segoe UI" w:eastAsia="Segoe UI" w:hAnsi="Segoe UI"/>
          <w:sz w:val="20"/>
          <w:szCs w:val="20"/>
          <w:lang w:eastAsia="en-US"/>
        </w:rPr>
      </w:pPr>
      <w:r w:rsidRPr="00B36E14">
        <w:rPr>
          <w:rFonts w:ascii="Segoe UI" w:eastAsia="Segoe UI" w:hAnsi="Segoe UI"/>
          <w:sz w:val="20"/>
          <w:szCs w:val="20"/>
          <w:lang w:eastAsia="en-US"/>
        </w:rPr>
        <w:t xml:space="preserve">The timing of the next funding valuation is due to be confirmed as part of the government’s </w:t>
      </w:r>
      <w:r w:rsidRPr="00B36E14">
        <w:rPr>
          <w:rFonts w:ascii="Segoe UI" w:eastAsia="Segoe UI" w:hAnsi="Segoe UI"/>
          <w:i/>
          <w:sz w:val="20"/>
          <w:szCs w:val="20"/>
          <w:lang w:eastAsia="en-US"/>
        </w:rPr>
        <w:t>Local government pension scheme: changes to the local valuation cycle and management of employer risk</w:t>
      </w:r>
      <w:r w:rsidRPr="00B36E14">
        <w:rPr>
          <w:rFonts w:ascii="Segoe UI" w:eastAsia="Segoe UI" w:hAnsi="Segoe UI"/>
          <w:sz w:val="20"/>
          <w:szCs w:val="20"/>
          <w:lang w:eastAsia="en-US"/>
        </w:rPr>
        <w:t xml:space="preserve"> consultation which closed on 31 July 2019. At the time of drafting this FSS, it is anticipated that the next funding valuation will be due as </w:t>
      </w:r>
      <w:proofErr w:type="gramStart"/>
      <w:r w:rsidRPr="00B36E14">
        <w:rPr>
          <w:rFonts w:ascii="Segoe UI" w:eastAsia="Segoe UI" w:hAnsi="Segoe UI"/>
          <w:sz w:val="20"/>
          <w:szCs w:val="20"/>
          <w:lang w:eastAsia="en-US"/>
        </w:rPr>
        <w:t>at</w:t>
      </w:r>
      <w:proofErr w:type="gramEnd"/>
      <w:r w:rsidRPr="00B36E14">
        <w:rPr>
          <w:rFonts w:ascii="Segoe UI" w:eastAsia="Segoe UI" w:hAnsi="Segoe UI"/>
          <w:sz w:val="20"/>
          <w:szCs w:val="20"/>
          <w:lang w:eastAsia="en-US"/>
        </w:rPr>
        <w:t xml:space="preserve"> 31 March 2025. The administering authority also monitors the financial position of the Fund between actuarial valuations and may review the FSS more frequently if necessary.</w:t>
      </w:r>
    </w:p>
    <w:p w14:paraId="5F27550A" w14:textId="77777777" w:rsidR="00B36E14" w:rsidRPr="00760C5C" w:rsidRDefault="00B36E14" w:rsidP="00760C5C">
      <w:pPr>
        <w:spacing w:after="200"/>
        <w:rPr>
          <w:rFonts w:ascii="Segoe UI" w:eastAsia="Segoe UI" w:hAnsi="Segoe UI"/>
          <w:sz w:val="20"/>
          <w:szCs w:val="20"/>
          <w:lang w:eastAsia="en-US"/>
        </w:rPr>
      </w:pPr>
    </w:p>
    <w:p w14:paraId="15A81877" w14:textId="77777777" w:rsidR="00760C5C" w:rsidRPr="00D92232" w:rsidRDefault="00760C5C" w:rsidP="00D92232">
      <w:pPr>
        <w:spacing w:after="200"/>
        <w:rPr>
          <w:rFonts w:ascii="Segoe UI" w:eastAsia="Segoe UI" w:hAnsi="Segoe UI"/>
          <w:sz w:val="20"/>
          <w:szCs w:val="20"/>
          <w:lang w:eastAsia="en-US"/>
        </w:rPr>
      </w:pPr>
    </w:p>
    <w:p w14:paraId="05820C50" w14:textId="77777777" w:rsidR="004F7D8F" w:rsidRDefault="004F7D8F" w:rsidP="004F7D8F">
      <w:pPr>
        <w:pStyle w:val="BodyText"/>
        <w:rPr>
          <w:rFonts w:ascii="Segoe UI" w:eastAsia="Segoe UI" w:hAnsi="Segoe UI"/>
          <w:sz w:val="20"/>
          <w:szCs w:val="24"/>
          <w:lang w:val="en-US" w:bidi="en-US"/>
        </w:rPr>
      </w:pPr>
    </w:p>
    <w:p w14:paraId="5A9FE5C8" w14:textId="77777777" w:rsidR="00800369" w:rsidRDefault="00800369" w:rsidP="004F7D8F">
      <w:pPr>
        <w:pStyle w:val="BodyText"/>
        <w:rPr>
          <w:rFonts w:ascii="Segoe UI" w:eastAsia="Segoe UI" w:hAnsi="Segoe UI"/>
          <w:sz w:val="20"/>
          <w:szCs w:val="24"/>
          <w:lang w:val="en-US" w:bidi="en-US"/>
        </w:rPr>
      </w:pPr>
    </w:p>
    <w:p w14:paraId="3BFD7D02" w14:textId="77777777" w:rsidR="00800369" w:rsidRDefault="00800369" w:rsidP="004F7D8F">
      <w:pPr>
        <w:pStyle w:val="BodyText"/>
        <w:rPr>
          <w:rFonts w:ascii="Segoe UI" w:eastAsia="Segoe UI" w:hAnsi="Segoe UI"/>
          <w:sz w:val="20"/>
          <w:szCs w:val="24"/>
          <w:lang w:val="en-US" w:bidi="en-US"/>
        </w:rPr>
      </w:pPr>
    </w:p>
    <w:p w14:paraId="63B84C89" w14:textId="77777777" w:rsidR="00800369" w:rsidRDefault="00800369" w:rsidP="004F7D8F">
      <w:pPr>
        <w:pStyle w:val="BodyText"/>
        <w:rPr>
          <w:rFonts w:ascii="Segoe UI" w:eastAsia="Segoe UI" w:hAnsi="Segoe UI"/>
          <w:sz w:val="20"/>
          <w:szCs w:val="24"/>
          <w:lang w:val="en-US" w:bidi="en-US"/>
        </w:rPr>
      </w:pPr>
    </w:p>
    <w:p w14:paraId="7FE95CBF" w14:textId="77777777" w:rsidR="00800369" w:rsidRDefault="00800369" w:rsidP="004F7D8F">
      <w:pPr>
        <w:pStyle w:val="BodyText"/>
        <w:rPr>
          <w:rFonts w:ascii="Segoe UI" w:eastAsia="Segoe UI" w:hAnsi="Segoe UI"/>
          <w:sz w:val="20"/>
          <w:szCs w:val="24"/>
          <w:lang w:val="en-US" w:bidi="en-US"/>
        </w:rPr>
      </w:pPr>
    </w:p>
    <w:p w14:paraId="01FBB1DD" w14:textId="77777777" w:rsidR="00800369" w:rsidRDefault="00800369" w:rsidP="004F7D8F">
      <w:pPr>
        <w:pStyle w:val="BodyText"/>
        <w:rPr>
          <w:rFonts w:ascii="Segoe UI" w:eastAsia="Segoe UI" w:hAnsi="Segoe UI"/>
          <w:sz w:val="20"/>
          <w:szCs w:val="24"/>
          <w:lang w:val="en-US" w:bidi="en-US"/>
        </w:rPr>
      </w:pPr>
    </w:p>
    <w:p w14:paraId="3956370A" w14:textId="77777777" w:rsidR="00800369" w:rsidRDefault="00800369" w:rsidP="004F7D8F">
      <w:pPr>
        <w:pStyle w:val="BodyText"/>
        <w:rPr>
          <w:rFonts w:ascii="Segoe UI" w:eastAsia="Segoe UI" w:hAnsi="Segoe UI"/>
          <w:sz w:val="20"/>
          <w:szCs w:val="24"/>
          <w:lang w:val="en-US" w:bidi="en-US"/>
        </w:rPr>
      </w:pPr>
    </w:p>
    <w:p w14:paraId="418A5DA7" w14:textId="77777777" w:rsidR="00800369" w:rsidRDefault="00800369" w:rsidP="004F7D8F">
      <w:pPr>
        <w:pStyle w:val="BodyText"/>
        <w:rPr>
          <w:rFonts w:ascii="Segoe UI" w:eastAsia="Segoe UI" w:hAnsi="Segoe UI"/>
          <w:sz w:val="20"/>
          <w:szCs w:val="24"/>
          <w:lang w:val="en-US" w:bidi="en-US"/>
        </w:rPr>
      </w:pPr>
    </w:p>
    <w:p w14:paraId="13F64E5A" w14:textId="77777777" w:rsidR="00800369" w:rsidRDefault="00800369" w:rsidP="004F7D8F">
      <w:pPr>
        <w:pStyle w:val="BodyText"/>
        <w:rPr>
          <w:rFonts w:ascii="Segoe UI" w:eastAsia="Segoe UI" w:hAnsi="Segoe UI"/>
          <w:sz w:val="20"/>
          <w:szCs w:val="24"/>
          <w:lang w:val="en-US" w:bidi="en-US"/>
        </w:rPr>
      </w:pPr>
    </w:p>
    <w:p w14:paraId="1047EE46" w14:textId="77777777" w:rsidR="00800369" w:rsidRDefault="00800369" w:rsidP="004F7D8F">
      <w:pPr>
        <w:pStyle w:val="BodyText"/>
        <w:rPr>
          <w:rFonts w:ascii="Segoe UI" w:eastAsia="Segoe UI" w:hAnsi="Segoe UI"/>
          <w:sz w:val="20"/>
          <w:szCs w:val="24"/>
          <w:lang w:val="en-US" w:bidi="en-US"/>
        </w:rPr>
      </w:pPr>
    </w:p>
    <w:p w14:paraId="5C783B16" w14:textId="77777777" w:rsidR="00800369" w:rsidRDefault="00800369" w:rsidP="004F7D8F">
      <w:pPr>
        <w:pStyle w:val="BodyText"/>
        <w:rPr>
          <w:rFonts w:ascii="Segoe UI" w:eastAsia="Segoe UI" w:hAnsi="Segoe UI"/>
          <w:sz w:val="20"/>
          <w:szCs w:val="24"/>
          <w:lang w:val="en-US" w:bidi="en-US"/>
        </w:rPr>
      </w:pPr>
    </w:p>
    <w:p w14:paraId="38BCBE35" w14:textId="77777777" w:rsidR="00800369" w:rsidRDefault="00800369" w:rsidP="004F7D8F">
      <w:pPr>
        <w:pStyle w:val="BodyText"/>
        <w:rPr>
          <w:rFonts w:ascii="Segoe UI" w:eastAsia="Segoe UI" w:hAnsi="Segoe UI"/>
          <w:sz w:val="20"/>
          <w:szCs w:val="24"/>
          <w:lang w:val="en-US" w:bidi="en-US"/>
        </w:rPr>
      </w:pPr>
    </w:p>
    <w:p w14:paraId="2C0F7039" w14:textId="77777777" w:rsidR="00800369" w:rsidRDefault="00800369" w:rsidP="004F7D8F">
      <w:pPr>
        <w:pStyle w:val="BodyText"/>
        <w:rPr>
          <w:rFonts w:ascii="Segoe UI" w:eastAsia="Segoe UI" w:hAnsi="Segoe UI"/>
          <w:sz w:val="20"/>
          <w:szCs w:val="24"/>
          <w:lang w:val="en-US" w:bidi="en-US"/>
        </w:rPr>
      </w:pPr>
    </w:p>
    <w:p w14:paraId="2A54EA24" w14:textId="77777777" w:rsidR="00800369" w:rsidRDefault="00800369" w:rsidP="004F7D8F">
      <w:pPr>
        <w:pStyle w:val="BodyText"/>
        <w:rPr>
          <w:rFonts w:ascii="Segoe UI" w:eastAsia="Segoe UI" w:hAnsi="Segoe UI"/>
          <w:sz w:val="20"/>
          <w:szCs w:val="24"/>
          <w:lang w:val="en-US" w:bidi="en-US"/>
        </w:rPr>
      </w:pPr>
    </w:p>
    <w:p w14:paraId="252DFA30" w14:textId="77777777" w:rsidR="00800369" w:rsidRDefault="00800369" w:rsidP="004F7D8F">
      <w:pPr>
        <w:pStyle w:val="BodyText"/>
        <w:rPr>
          <w:rFonts w:ascii="Segoe UI" w:eastAsia="Segoe UI" w:hAnsi="Segoe UI"/>
          <w:sz w:val="20"/>
          <w:szCs w:val="24"/>
          <w:lang w:val="en-US" w:bidi="en-US"/>
        </w:rPr>
      </w:pPr>
    </w:p>
    <w:p w14:paraId="12930B24" w14:textId="77777777" w:rsidR="00800369" w:rsidRDefault="00800369" w:rsidP="004F7D8F">
      <w:pPr>
        <w:pStyle w:val="BodyText"/>
        <w:rPr>
          <w:rFonts w:ascii="Segoe UI" w:eastAsia="Segoe UI" w:hAnsi="Segoe UI"/>
          <w:sz w:val="20"/>
          <w:szCs w:val="24"/>
          <w:lang w:val="en-US" w:bidi="en-US"/>
        </w:rPr>
      </w:pPr>
    </w:p>
    <w:p w14:paraId="7CCE521D" w14:textId="77777777" w:rsidR="00800369" w:rsidRDefault="00800369" w:rsidP="004F7D8F">
      <w:pPr>
        <w:pStyle w:val="BodyText"/>
        <w:rPr>
          <w:rFonts w:ascii="Segoe UI" w:eastAsia="Segoe UI" w:hAnsi="Segoe UI"/>
          <w:sz w:val="20"/>
          <w:szCs w:val="24"/>
          <w:lang w:val="en-US" w:bidi="en-US"/>
        </w:rPr>
      </w:pPr>
    </w:p>
    <w:p w14:paraId="7FEC56FA" w14:textId="77777777" w:rsidR="00800369" w:rsidRDefault="00800369" w:rsidP="004F7D8F">
      <w:pPr>
        <w:pStyle w:val="BodyText"/>
        <w:rPr>
          <w:rFonts w:ascii="Segoe UI" w:eastAsia="Segoe UI" w:hAnsi="Segoe UI"/>
          <w:sz w:val="20"/>
          <w:szCs w:val="24"/>
          <w:lang w:val="en-US" w:bidi="en-US"/>
        </w:rPr>
      </w:pPr>
    </w:p>
    <w:p w14:paraId="0DB074A9" w14:textId="77777777" w:rsidR="00800369" w:rsidRDefault="00800369" w:rsidP="004F7D8F">
      <w:pPr>
        <w:pStyle w:val="BodyText"/>
        <w:rPr>
          <w:rFonts w:ascii="Segoe UI" w:eastAsia="Segoe UI" w:hAnsi="Segoe UI"/>
          <w:sz w:val="20"/>
          <w:szCs w:val="24"/>
          <w:lang w:val="en-US" w:bidi="en-US"/>
        </w:rPr>
      </w:pPr>
    </w:p>
    <w:p w14:paraId="2E8D1920" w14:textId="77777777" w:rsidR="00800369" w:rsidRDefault="00800369" w:rsidP="004F7D8F">
      <w:pPr>
        <w:pStyle w:val="BodyText"/>
        <w:rPr>
          <w:rFonts w:ascii="Segoe UI" w:eastAsia="Segoe UI" w:hAnsi="Segoe UI"/>
          <w:sz w:val="20"/>
          <w:szCs w:val="24"/>
          <w:lang w:val="en-US" w:bidi="en-US"/>
        </w:rPr>
      </w:pPr>
    </w:p>
    <w:p w14:paraId="6AA2C2AC" w14:textId="77777777" w:rsidR="00800369" w:rsidRDefault="00800369" w:rsidP="004F7D8F">
      <w:pPr>
        <w:pStyle w:val="BodyText"/>
        <w:rPr>
          <w:rFonts w:ascii="Segoe UI" w:eastAsia="Segoe UI" w:hAnsi="Segoe UI"/>
          <w:sz w:val="20"/>
          <w:szCs w:val="24"/>
          <w:lang w:val="en-US" w:bidi="en-US"/>
        </w:rPr>
      </w:pPr>
    </w:p>
    <w:p w14:paraId="58D9864D" w14:textId="77777777" w:rsidR="00800369" w:rsidRDefault="00800369" w:rsidP="004F7D8F">
      <w:pPr>
        <w:pStyle w:val="BodyText"/>
        <w:rPr>
          <w:rFonts w:ascii="Segoe UI" w:eastAsia="Segoe UI" w:hAnsi="Segoe UI"/>
          <w:sz w:val="20"/>
          <w:szCs w:val="24"/>
          <w:lang w:val="en-US" w:bidi="en-US"/>
        </w:rPr>
      </w:pPr>
    </w:p>
    <w:p w14:paraId="6774EA0F" w14:textId="77777777" w:rsidR="00800369" w:rsidRDefault="00800369" w:rsidP="004F7D8F">
      <w:pPr>
        <w:pStyle w:val="BodyText"/>
        <w:rPr>
          <w:rFonts w:ascii="Segoe UI" w:eastAsia="Segoe UI" w:hAnsi="Segoe UI"/>
          <w:sz w:val="20"/>
          <w:szCs w:val="24"/>
          <w:lang w:val="en-US" w:bidi="en-US"/>
        </w:rPr>
      </w:pPr>
    </w:p>
    <w:p w14:paraId="4F7B902F" w14:textId="77777777" w:rsidR="00800369" w:rsidRDefault="00800369" w:rsidP="004F7D8F">
      <w:pPr>
        <w:pStyle w:val="BodyText"/>
        <w:rPr>
          <w:rFonts w:ascii="Segoe UI" w:eastAsia="Segoe UI" w:hAnsi="Segoe UI"/>
          <w:sz w:val="20"/>
          <w:szCs w:val="24"/>
          <w:lang w:val="en-US" w:bidi="en-US"/>
        </w:rPr>
      </w:pPr>
    </w:p>
    <w:p w14:paraId="75CF6F9A" w14:textId="77777777" w:rsidR="00800369" w:rsidRDefault="00800369" w:rsidP="004F7D8F">
      <w:pPr>
        <w:pStyle w:val="BodyText"/>
        <w:rPr>
          <w:rFonts w:ascii="Segoe UI" w:eastAsia="Segoe UI" w:hAnsi="Segoe UI"/>
          <w:sz w:val="20"/>
          <w:szCs w:val="24"/>
          <w:lang w:val="en-US" w:bidi="en-US"/>
        </w:rPr>
      </w:pPr>
    </w:p>
    <w:p w14:paraId="4484762E" w14:textId="77777777" w:rsidR="00800369" w:rsidRDefault="00800369" w:rsidP="004F7D8F">
      <w:pPr>
        <w:pStyle w:val="BodyText"/>
        <w:rPr>
          <w:rFonts w:ascii="Segoe UI" w:eastAsia="Segoe UI" w:hAnsi="Segoe UI"/>
          <w:sz w:val="20"/>
          <w:szCs w:val="24"/>
          <w:lang w:val="en-US" w:bidi="en-US"/>
        </w:rPr>
      </w:pPr>
    </w:p>
    <w:p w14:paraId="006FC119" w14:textId="77777777" w:rsidR="00800369" w:rsidRDefault="00800369" w:rsidP="004F7D8F">
      <w:pPr>
        <w:pStyle w:val="BodyText"/>
        <w:rPr>
          <w:rFonts w:ascii="Segoe UI" w:eastAsia="Segoe UI" w:hAnsi="Segoe UI"/>
          <w:sz w:val="20"/>
          <w:szCs w:val="24"/>
          <w:lang w:val="en-US" w:bidi="en-US"/>
        </w:rPr>
      </w:pPr>
    </w:p>
    <w:p w14:paraId="38321EE9" w14:textId="77777777" w:rsidR="00800369" w:rsidRDefault="00800369" w:rsidP="004F7D8F">
      <w:pPr>
        <w:pStyle w:val="BodyText"/>
        <w:rPr>
          <w:rFonts w:ascii="Segoe UI" w:eastAsia="Segoe UI" w:hAnsi="Segoe UI"/>
          <w:sz w:val="20"/>
          <w:szCs w:val="24"/>
          <w:lang w:val="en-US" w:bidi="en-US"/>
        </w:rPr>
      </w:pPr>
    </w:p>
    <w:p w14:paraId="1125CA59" w14:textId="77777777" w:rsidR="00800369" w:rsidRDefault="00800369" w:rsidP="004F7D8F">
      <w:pPr>
        <w:pStyle w:val="BodyText"/>
        <w:rPr>
          <w:rFonts w:ascii="Segoe UI" w:eastAsia="Segoe UI" w:hAnsi="Segoe UI"/>
          <w:sz w:val="20"/>
          <w:szCs w:val="24"/>
          <w:lang w:val="en-US" w:bidi="en-US"/>
        </w:rPr>
      </w:pPr>
    </w:p>
    <w:p w14:paraId="696FC1F0" w14:textId="77777777" w:rsidR="004F7D8F" w:rsidRDefault="004F7D8F" w:rsidP="004F7D8F">
      <w:pPr>
        <w:pStyle w:val="BodyText"/>
        <w:rPr>
          <w:rFonts w:ascii="Segoe UI" w:eastAsia="Segoe UI" w:hAnsi="Segoe UI"/>
          <w:sz w:val="20"/>
          <w:szCs w:val="24"/>
          <w:lang w:val="en-US" w:bidi="en-US"/>
        </w:rPr>
      </w:pPr>
    </w:p>
    <w:p w14:paraId="06F0F2DA" w14:textId="77777777" w:rsidR="004F7D8F" w:rsidRPr="00E57C8C" w:rsidRDefault="004F7D8F" w:rsidP="004F7D8F">
      <w:pPr>
        <w:pStyle w:val="BodyText"/>
        <w:rPr>
          <w:rFonts w:ascii="Arial" w:hAnsi="Arial" w:cs="Arial"/>
          <w:color w:val="000000"/>
        </w:rPr>
      </w:pPr>
    </w:p>
    <w:p w14:paraId="6D1634A9" w14:textId="77777777" w:rsidR="00427FA7" w:rsidRPr="002542AD" w:rsidRDefault="00427FA7" w:rsidP="00427FA7">
      <w:pPr>
        <w:pStyle w:val="BodyText"/>
        <w:spacing w:after="0"/>
        <w:rPr>
          <w:rFonts w:ascii="Arial" w:hAnsi="Arial" w:cs="Arial"/>
          <w:b/>
          <w:color w:val="C00000"/>
          <w:sz w:val="28"/>
          <w:szCs w:val="28"/>
        </w:rPr>
      </w:pPr>
      <w:r w:rsidRPr="002542AD">
        <w:rPr>
          <w:rFonts w:ascii="Arial" w:hAnsi="Arial" w:cs="Arial"/>
          <w:b/>
          <w:color w:val="C00000"/>
          <w:sz w:val="28"/>
          <w:szCs w:val="28"/>
        </w:rPr>
        <w:t xml:space="preserve">Appendix </w:t>
      </w:r>
      <w:r w:rsidR="00AF17F2">
        <w:rPr>
          <w:rFonts w:ascii="Arial" w:hAnsi="Arial" w:cs="Arial"/>
          <w:b/>
          <w:color w:val="C00000"/>
          <w:sz w:val="28"/>
          <w:szCs w:val="28"/>
        </w:rPr>
        <w:t>4</w:t>
      </w:r>
      <w:r w:rsidRPr="002542AD">
        <w:rPr>
          <w:rFonts w:ascii="Arial" w:hAnsi="Arial" w:cs="Arial"/>
          <w:b/>
          <w:color w:val="C00000"/>
          <w:sz w:val="28"/>
          <w:szCs w:val="28"/>
        </w:rPr>
        <w:t xml:space="preserve">: </w:t>
      </w:r>
    </w:p>
    <w:p w14:paraId="6D1634AA" w14:textId="77777777" w:rsidR="00DF6F04" w:rsidRDefault="00DF6F04" w:rsidP="00DF6F04">
      <w:pPr>
        <w:autoSpaceDE w:val="0"/>
        <w:autoSpaceDN w:val="0"/>
        <w:adjustRightInd w:val="0"/>
        <w:rPr>
          <w:rFonts w:ascii="Arial" w:hAnsi="Arial" w:cs="Arial"/>
          <w:b/>
          <w:bCs/>
          <w:color w:val="A60021"/>
          <w:sz w:val="40"/>
          <w:szCs w:val="40"/>
        </w:rPr>
      </w:pPr>
    </w:p>
    <w:p w14:paraId="6D1634AB" w14:textId="77777777" w:rsidR="006D2AFD" w:rsidRDefault="006D2AFD" w:rsidP="006D2AFD">
      <w:pPr>
        <w:autoSpaceDE w:val="0"/>
        <w:autoSpaceDN w:val="0"/>
        <w:adjustRightInd w:val="0"/>
        <w:rPr>
          <w:rFonts w:ascii="Arial" w:hAnsi="Arial" w:cs="Arial"/>
          <w:b/>
          <w:bCs/>
          <w:color w:val="A60021"/>
          <w:sz w:val="40"/>
          <w:szCs w:val="40"/>
        </w:rPr>
      </w:pPr>
    </w:p>
    <w:p w14:paraId="6D1634AC" w14:textId="77777777" w:rsidR="006D2AFD" w:rsidRDefault="006D2AFD" w:rsidP="006D2AFD">
      <w:pPr>
        <w:autoSpaceDE w:val="0"/>
        <w:autoSpaceDN w:val="0"/>
        <w:adjustRightInd w:val="0"/>
        <w:rPr>
          <w:rFonts w:ascii="Arial" w:hAnsi="Arial" w:cs="Arial"/>
          <w:b/>
          <w:bCs/>
          <w:color w:val="A60021"/>
          <w:sz w:val="40"/>
          <w:szCs w:val="40"/>
        </w:rPr>
      </w:pPr>
    </w:p>
    <w:p w14:paraId="6D1634AD" w14:textId="6A298B08" w:rsidR="006D2AFD" w:rsidRDefault="006D2AFD" w:rsidP="006D2AFD">
      <w:pPr>
        <w:autoSpaceDE w:val="0"/>
        <w:autoSpaceDN w:val="0"/>
        <w:adjustRightInd w:val="0"/>
        <w:rPr>
          <w:rFonts w:ascii="Arial" w:hAnsi="Arial" w:cs="Arial"/>
          <w:b/>
          <w:bCs/>
          <w:color w:val="A60021"/>
          <w:sz w:val="40"/>
          <w:szCs w:val="40"/>
        </w:rPr>
      </w:pPr>
      <w:r>
        <w:rPr>
          <w:noProof/>
        </w:rPr>
        <w:drawing>
          <wp:inline distT="0" distB="0" distL="0" distR="0" wp14:anchorId="6D16408A" wp14:editId="15350E96">
            <wp:extent cx="5534025" cy="2190750"/>
            <wp:effectExtent l="0" t="0" r="9525" b="0"/>
            <wp:docPr id="16" name="Picture 16" descr="B&amp;D LOGO sml"/>
            <wp:cNvGraphicFramePr/>
            <a:graphic xmlns:a="http://schemas.openxmlformats.org/drawingml/2006/main">
              <a:graphicData uri="http://schemas.openxmlformats.org/drawingml/2006/picture">
                <pic:pic xmlns:pic="http://schemas.openxmlformats.org/drawingml/2006/picture">
                  <pic:nvPicPr>
                    <pic:cNvPr id="2" name="Picture 2" descr="B&amp;D LOGO sml"/>
                    <pic:cNvPicPr/>
                  </pic:nvPicPr>
                  <pic:blipFill>
                    <a:blip r:embed="rId18" cstate="print"/>
                    <a:srcRect/>
                    <a:stretch>
                      <a:fillRect/>
                    </a:stretch>
                  </pic:blipFill>
                  <pic:spPr bwMode="auto">
                    <a:xfrm>
                      <a:off x="0" y="0"/>
                      <a:ext cx="5534025" cy="2190750"/>
                    </a:xfrm>
                    <a:prstGeom prst="rect">
                      <a:avLst/>
                    </a:prstGeom>
                    <a:noFill/>
                  </pic:spPr>
                </pic:pic>
              </a:graphicData>
            </a:graphic>
          </wp:inline>
        </w:drawing>
      </w:r>
    </w:p>
    <w:p w14:paraId="6D1634AE" w14:textId="77777777" w:rsidR="006D2AFD" w:rsidRDefault="006D2AFD" w:rsidP="006D2AFD">
      <w:pPr>
        <w:autoSpaceDE w:val="0"/>
        <w:autoSpaceDN w:val="0"/>
        <w:adjustRightInd w:val="0"/>
        <w:rPr>
          <w:rFonts w:ascii="Arial" w:hAnsi="Arial" w:cs="Arial"/>
          <w:b/>
          <w:bCs/>
          <w:color w:val="A60021"/>
          <w:sz w:val="40"/>
          <w:szCs w:val="40"/>
        </w:rPr>
      </w:pPr>
    </w:p>
    <w:p w14:paraId="6D1634AF" w14:textId="77777777" w:rsidR="006D2AFD" w:rsidRPr="00B77C6F" w:rsidRDefault="006D2AFD" w:rsidP="006D2AFD">
      <w:pPr>
        <w:pStyle w:val="TenderVerticalBigBlue"/>
        <w:spacing w:after="20"/>
        <w:jc w:val="center"/>
        <w:rPr>
          <w:b/>
          <w:caps w:val="0"/>
          <w:snapToGrid w:val="0"/>
          <w:color w:val="C00000"/>
          <w:sz w:val="48"/>
          <w:szCs w:val="48"/>
        </w:rPr>
      </w:pPr>
      <w:r w:rsidRPr="00B77C6F">
        <w:rPr>
          <w:b/>
          <w:caps w:val="0"/>
          <w:snapToGrid w:val="0"/>
          <w:color w:val="C00000"/>
          <w:sz w:val="48"/>
          <w:szCs w:val="48"/>
        </w:rPr>
        <w:t>London Borough of Barking and Dagenham Pension Fund</w:t>
      </w:r>
    </w:p>
    <w:p w14:paraId="6D1634B0" w14:textId="77777777" w:rsidR="006D2AFD" w:rsidRDefault="006D2AFD" w:rsidP="006D2AFD">
      <w:pPr>
        <w:autoSpaceDE w:val="0"/>
        <w:autoSpaceDN w:val="0"/>
        <w:adjustRightInd w:val="0"/>
        <w:jc w:val="center"/>
        <w:rPr>
          <w:rFonts w:ascii="Arial" w:hAnsi="Arial" w:cs="Arial"/>
          <w:b/>
          <w:bCs/>
          <w:color w:val="C00000"/>
          <w:sz w:val="56"/>
          <w:szCs w:val="56"/>
        </w:rPr>
      </w:pPr>
    </w:p>
    <w:p w14:paraId="6D1634B1" w14:textId="38860D56" w:rsidR="006D2AFD" w:rsidRDefault="006D2AFD" w:rsidP="006D2AFD">
      <w:pPr>
        <w:autoSpaceDE w:val="0"/>
        <w:autoSpaceDN w:val="0"/>
        <w:adjustRightInd w:val="0"/>
        <w:jc w:val="center"/>
        <w:rPr>
          <w:rFonts w:ascii="Arial" w:hAnsi="Arial" w:cs="Arial"/>
          <w:b/>
          <w:bCs/>
          <w:color w:val="C00000"/>
          <w:sz w:val="56"/>
          <w:szCs w:val="56"/>
        </w:rPr>
      </w:pPr>
      <w:r>
        <w:rPr>
          <w:noProof/>
        </w:rPr>
        <w:drawing>
          <wp:inline distT="0" distB="0" distL="0" distR="0" wp14:anchorId="6D16408C" wp14:editId="2F7D555A">
            <wp:extent cx="2838450" cy="2550795"/>
            <wp:effectExtent l="0" t="0" r="0" b="1905"/>
            <wp:docPr id="17" name="Picture 17" descr="Image result for pictures of barking and dagenham">
              <a:hlinkClick xmlns:a="http://schemas.openxmlformats.org/drawingml/2006/main" r:id="rId43"/>
            </wp:docPr>
            <wp:cNvGraphicFramePr/>
            <a:graphic xmlns:a="http://schemas.openxmlformats.org/drawingml/2006/main">
              <a:graphicData uri="http://schemas.openxmlformats.org/drawingml/2006/picture">
                <pic:pic xmlns:pic="http://schemas.openxmlformats.org/drawingml/2006/picture">
                  <pic:nvPicPr>
                    <pic:cNvPr id="3" name="Picture 3" descr="Image result for pictures of barking and dagenham">
                      <a:hlinkClick r:id="rId43"/>
                    </pic:cNvPr>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838450" cy="2550795"/>
                    </a:xfrm>
                    <a:prstGeom prst="rect">
                      <a:avLst/>
                    </a:prstGeom>
                    <a:noFill/>
                    <a:ln>
                      <a:noFill/>
                    </a:ln>
                  </pic:spPr>
                </pic:pic>
              </a:graphicData>
            </a:graphic>
          </wp:inline>
        </w:drawing>
      </w:r>
    </w:p>
    <w:p w14:paraId="6D1634B2" w14:textId="77777777" w:rsidR="006D2AFD" w:rsidRPr="00884393" w:rsidRDefault="006D2AFD" w:rsidP="006D2AFD">
      <w:pPr>
        <w:autoSpaceDE w:val="0"/>
        <w:autoSpaceDN w:val="0"/>
        <w:adjustRightInd w:val="0"/>
        <w:jc w:val="center"/>
        <w:rPr>
          <w:rFonts w:ascii="Arial" w:hAnsi="Arial" w:cs="Arial"/>
          <w:b/>
          <w:bCs/>
          <w:color w:val="C00000"/>
          <w:sz w:val="56"/>
          <w:szCs w:val="56"/>
        </w:rPr>
      </w:pPr>
    </w:p>
    <w:p w14:paraId="6D1634B3" w14:textId="77777777" w:rsidR="006D2AFD" w:rsidRPr="002542AD" w:rsidRDefault="006D2AFD" w:rsidP="006D2AFD">
      <w:pPr>
        <w:jc w:val="center"/>
        <w:rPr>
          <w:rFonts w:ascii="Arial" w:hAnsi="Arial" w:cs="Arial"/>
          <w:b/>
          <w:color w:val="C00000"/>
          <w:sz w:val="28"/>
          <w:szCs w:val="28"/>
        </w:rPr>
      </w:pPr>
      <w:r>
        <w:rPr>
          <w:rFonts w:ascii="Arial" w:hAnsi="Arial" w:cs="Arial"/>
          <w:b/>
          <w:color w:val="C00000"/>
          <w:sz w:val="48"/>
          <w:szCs w:val="48"/>
        </w:rPr>
        <w:t xml:space="preserve"> INVESTMENT STRATEGY STATEMENT</w:t>
      </w:r>
    </w:p>
    <w:p w14:paraId="6D1634B4" w14:textId="77777777" w:rsidR="006D2AFD" w:rsidRDefault="006D2AFD" w:rsidP="006D2AFD">
      <w:pPr>
        <w:rPr>
          <w:rFonts w:ascii="Arial" w:hAnsi="Arial" w:cs="Arial"/>
          <w:b/>
        </w:rPr>
      </w:pPr>
      <w:r>
        <w:rPr>
          <w:rFonts w:ascii="Arial" w:hAnsi="Arial" w:cs="Arial"/>
        </w:rPr>
        <w:br w:type="page"/>
      </w:r>
    </w:p>
    <w:p w14:paraId="0B4232FB" w14:textId="77777777" w:rsidR="00B15CDD" w:rsidRPr="00601B12" w:rsidRDefault="00B15CDD" w:rsidP="00B15CDD">
      <w:pPr>
        <w:pStyle w:val="Heading2"/>
        <w:rPr>
          <w:rFonts w:ascii="Arial" w:hAnsi="Arial" w:cs="Arial"/>
          <w:szCs w:val="24"/>
        </w:rPr>
      </w:pPr>
      <w:r w:rsidRPr="00601B12">
        <w:rPr>
          <w:rFonts w:ascii="Arial" w:hAnsi="Arial" w:cs="Arial"/>
          <w:szCs w:val="24"/>
        </w:rPr>
        <w:t xml:space="preserve">Introduction </w:t>
      </w:r>
    </w:p>
    <w:p w14:paraId="05AA7891" w14:textId="77777777" w:rsidR="00B15CDD" w:rsidRPr="00601B12" w:rsidRDefault="00B15CDD" w:rsidP="00B15CDD">
      <w:pPr>
        <w:pStyle w:val="BodyTextGrey"/>
        <w:spacing w:after="0" w:line="240" w:lineRule="auto"/>
        <w:rPr>
          <w:color w:val="auto"/>
          <w:sz w:val="24"/>
          <w:szCs w:val="24"/>
        </w:rPr>
      </w:pPr>
    </w:p>
    <w:p w14:paraId="77DFFAAF"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This is the Investment Strategy Statement (ISS) produced by London Borough of Barking and Dagenham as administering authority of the London Borough of Barking and Dagenham Pension Fund (“the Fund”), to comply with the regulatory requirements specified in The Local Government Pension Scheme (Management and Investment of Funds) Regulations 2016 and the Statutory Guidance on Preparing and Maintaining an Investment Strategy Statement issued by the Department for Communities and Local Government (DCLG) in September 2016. </w:t>
      </w:r>
    </w:p>
    <w:p w14:paraId="66A10BA0" w14:textId="77777777" w:rsidR="00B15CDD" w:rsidRPr="00601B12" w:rsidRDefault="00B15CDD" w:rsidP="00B15CDD">
      <w:pPr>
        <w:pStyle w:val="BodyTextGrey"/>
        <w:spacing w:after="0" w:line="240" w:lineRule="auto"/>
        <w:jc w:val="both"/>
        <w:rPr>
          <w:color w:val="auto"/>
          <w:sz w:val="24"/>
          <w:szCs w:val="24"/>
        </w:rPr>
      </w:pPr>
    </w:p>
    <w:p w14:paraId="4B47E34C"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Regulations (regulation 7) set out that the ISS must include: </w:t>
      </w:r>
    </w:p>
    <w:p w14:paraId="1FE7C336" w14:textId="77777777" w:rsidR="00B15CDD" w:rsidRPr="00601B12" w:rsidRDefault="00B15CDD" w:rsidP="00B15CDD">
      <w:pPr>
        <w:pStyle w:val="BodyTextGrey"/>
        <w:spacing w:after="0" w:line="240" w:lineRule="auto"/>
        <w:jc w:val="both"/>
        <w:rPr>
          <w:color w:val="auto"/>
          <w:sz w:val="24"/>
          <w:szCs w:val="24"/>
        </w:rPr>
      </w:pPr>
    </w:p>
    <w:p w14:paraId="1938B7FA" w14:textId="77777777" w:rsidR="00B15CDD" w:rsidRPr="00601B12" w:rsidRDefault="00B15CDD" w:rsidP="007337FE">
      <w:pPr>
        <w:numPr>
          <w:ilvl w:val="0"/>
          <w:numId w:val="86"/>
        </w:numPr>
        <w:jc w:val="both"/>
        <w:rPr>
          <w:rFonts w:ascii="Arial" w:hAnsi="Arial" w:cs="Arial"/>
          <w:i/>
        </w:rPr>
      </w:pPr>
      <w:r w:rsidRPr="00601B12">
        <w:rPr>
          <w:rFonts w:ascii="Arial" w:hAnsi="Arial" w:cs="Arial"/>
          <w:i/>
        </w:rPr>
        <w:t xml:space="preserve">a requirement to invest fund money in a wide variety of </w:t>
      </w:r>
      <w:proofErr w:type="gramStart"/>
      <w:r w:rsidRPr="00601B12">
        <w:rPr>
          <w:rFonts w:ascii="Arial" w:hAnsi="Arial" w:cs="Arial"/>
          <w:i/>
        </w:rPr>
        <w:t>investments;</w:t>
      </w:r>
      <w:proofErr w:type="gramEnd"/>
    </w:p>
    <w:p w14:paraId="2FF69EA1" w14:textId="77777777" w:rsidR="00B15CDD" w:rsidRPr="00601B12" w:rsidRDefault="00B15CDD" w:rsidP="007337FE">
      <w:pPr>
        <w:numPr>
          <w:ilvl w:val="0"/>
          <w:numId w:val="86"/>
        </w:numPr>
        <w:jc w:val="both"/>
        <w:rPr>
          <w:rFonts w:ascii="Arial" w:hAnsi="Arial" w:cs="Arial"/>
          <w:i/>
        </w:rPr>
      </w:pPr>
      <w:r w:rsidRPr="00601B12">
        <w:rPr>
          <w:rFonts w:ascii="Arial" w:hAnsi="Arial" w:cs="Arial"/>
          <w:i/>
        </w:rPr>
        <w:t xml:space="preserve">the authority’s assessment of the suitability of particular investments and types of </w:t>
      </w:r>
      <w:proofErr w:type="gramStart"/>
      <w:r w:rsidRPr="00601B12">
        <w:rPr>
          <w:rFonts w:ascii="Arial" w:hAnsi="Arial" w:cs="Arial"/>
          <w:i/>
        </w:rPr>
        <w:t>investments;</w:t>
      </w:r>
      <w:proofErr w:type="gramEnd"/>
    </w:p>
    <w:p w14:paraId="233051CB" w14:textId="77777777" w:rsidR="00B15CDD" w:rsidRPr="00601B12" w:rsidRDefault="00B15CDD" w:rsidP="007337FE">
      <w:pPr>
        <w:numPr>
          <w:ilvl w:val="0"/>
          <w:numId w:val="86"/>
        </w:numPr>
        <w:jc w:val="both"/>
        <w:rPr>
          <w:rFonts w:ascii="Arial" w:hAnsi="Arial" w:cs="Arial"/>
          <w:i/>
        </w:rPr>
      </w:pPr>
      <w:r w:rsidRPr="00601B12">
        <w:rPr>
          <w:rFonts w:ascii="Arial" w:hAnsi="Arial" w:cs="Arial"/>
          <w:i/>
        </w:rPr>
        <w:t xml:space="preserve">the authority’s approach to risk, including the ways in which risks are to be assessed and </w:t>
      </w:r>
      <w:proofErr w:type="gramStart"/>
      <w:r w:rsidRPr="00601B12">
        <w:rPr>
          <w:rFonts w:ascii="Arial" w:hAnsi="Arial" w:cs="Arial"/>
          <w:i/>
        </w:rPr>
        <w:t>managed;</w:t>
      </w:r>
      <w:proofErr w:type="gramEnd"/>
    </w:p>
    <w:p w14:paraId="0FBEA148" w14:textId="77777777" w:rsidR="00B15CDD" w:rsidRPr="00601B12" w:rsidRDefault="00B15CDD" w:rsidP="007337FE">
      <w:pPr>
        <w:numPr>
          <w:ilvl w:val="0"/>
          <w:numId w:val="86"/>
        </w:numPr>
        <w:jc w:val="both"/>
        <w:rPr>
          <w:rFonts w:ascii="Arial" w:hAnsi="Arial" w:cs="Arial"/>
          <w:i/>
        </w:rPr>
      </w:pPr>
      <w:r w:rsidRPr="00601B12">
        <w:rPr>
          <w:rFonts w:ascii="Arial" w:hAnsi="Arial" w:cs="Arial"/>
          <w:i/>
        </w:rPr>
        <w:t xml:space="preserve">the authority’s approach to pooling investments, including the use of collective investment vehicles and shared </w:t>
      </w:r>
      <w:proofErr w:type="gramStart"/>
      <w:r w:rsidRPr="00601B12">
        <w:rPr>
          <w:rFonts w:ascii="Arial" w:hAnsi="Arial" w:cs="Arial"/>
          <w:i/>
        </w:rPr>
        <w:t>services;</w:t>
      </w:r>
      <w:proofErr w:type="gramEnd"/>
    </w:p>
    <w:p w14:paraId="1F3DF40A" w14:textId="77777777" w:rsidR="00B15CDD" w:rsidRPr="00601B12" w:rsidRDefault="00B15CDD" w:rsidP="007337FE">
      <w:pPr>
        <w:numPr>
          <w:ilvl w:val="0"/>
          <w:numId w:val="86"/>
        </w:numPr>
        <w:jc w:val="both"/>
        <w:rPr>
          <w:rFonts w:ascii="Arial" w:hAnsi="Arial" w:cs="Arial"/>
          <w:i/>
        </w:rPr>
      </w:pPr>
      <w:r w:rsidRPr="00601B12">
        <w:rPr>
          <w:rFonts w:ascii="Arial" w:hAnsi="Arial" w:cs="Arial"/>
          <w:i/>
        </w:rPr>
        <w:t xml:space="preserve">the authority’s policy on how social, </w:t>
      </w:r>
      <w:proofErr w:type="gramStart"/>
      <w:r w:rsidRPr="00601B12">
        <w:rPr>
          <w:rFonts w:ascii="Arial" w:hAnsi="Arial" w:cs="Arial"/>
          <w:i/>
        </w:rPr>
        <w:t>environmental</w:t>
      </w:r>
      <w:proofErr w:type="gramEnd"/>
      <w:r w:rsidRPr="00601B12">
        <w:rPr>
          <w:rFonts w:ascii="Arial" w:hAnsi="Arial" w:cs="Arial"/>
          <w:i/>
        </w:rPr>
        <w:t xml:space="preserve"> and corporate governance considerations are taken into account in the selection, non-selection, retention and realisation of investments; and</w:t>
      </w:r>
    </w:p>
    <w:p w14:paraId="26C7F5E8" w14:textId="77777777" w:rsidR="00B15CDD" w:rsidRPr="00601B12" w:rsidRDefault="00B15CDD" w:rsidP="007337FE">
      <w:pPr>
        <w:numPr>
          <w:ilvl w:val="0"/>
          <w:numId w:val="86"/>
        </w:numPr>
        <w:jc w:val="both"/>
        <w:rPr>
          <w:rFonts w:ascii="Arial" w:hAnsi="Arial" w:cs="Arial"/>
          <w:i/>
        </w:rPr>
      </w:pPr>
      <w:r w:rsidRPr="00601B12">
        <w:rPr>
          <w:rFonts w:ascii="Arial" w:hAnsi="Arial" w:cs="Arial"/>
          <w:i/>
        </w:rPr>
        <w:t>the authority’s policy on the exercise of the rights (including voting rights) attaching to investments.</w:t>
      </w:r>
    </w:p>
    <w:p w14:paraId="603189B0" w14:textId="77777777" w:rsidR="00B15CDD" w:rsidRPr="00601B12" w:rsidRDefault="00B15CDD" w:rsidP="00B15CDD">
      <w:pPr>
        <w:jc w:val="both"/>
        <w:rPr>
          <w:rFonts w:ascii="Arial" w:hAnsi="Arial" w:cs="Arial"/>
        </w:rPr>
      </w:pPr>
    </w:p>
    <w:p w14:paraId="677C1EEB" w14:textId="77777777" w:rsidR="00B15CDD" w:rsidRPr="00601B12" w:rsidRDefault="00B15CDD" w:rsidP="00B15CDD">
      <w:pPr>
        <w:jc w:val="both"/>
        <w:rPr>
          <w:rFonts w:ascii="Arial" w:hAnsi="Arial" w:cs="Arial"/>
        </w:rPr>
      </w:pPr>
      <w:r w:rsidRPr="00601B12">
        <w:rPr>
          <w:rFonts w:ascii="Arial" w:hAnsi="Arial" w:cs="Arial"/>
        </w:rPr>
        <w:t>This ISS seeks to address the Requirements of Regulation 7 and the Statutory Guidance of September 2016.</w:t>
      </w:r>
    </w:p>
    <w:p w14:paraId="1FBB127C" w14:textId="77777777" w:rsidR="00B15CDD" w:rsidRPr="00601B12" w:rsidRDefault="00B15CDD" w:rsidP="00B15CDD">
      <w:pPr>
        <w:pStyle w:val="BodyTextGrey"/>
        <w:spacing w:after="0" w:line="240" w:lineRule="auto"/>
        <w:jc w:val="both"/>
        <w:rPr>
          <w:color w:val="auto"/>
          <w:sz w:val="24"/>
          <w:szCs w:val="24"/>
        </w:rPr>
      </w:pPr>
    </w:p>
    <w:p w14:paraId="66C0F536"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The ISS replaces the Statement of Investment Principles and, although it is a similar document, there are several additional disclosures that need to be covered including:</w:t>
      </w:r>
    </w:p>
    <w:p w14:paraId="138C147A" w14:textId="77777777" w:rsidR="00B15CDD" w:rsidRPr="00601B12" w:rsidRDefault="00B15CDD" w:rsidP="00B15CDD">
      <w:pPr>
        <w:pStyle w:val="BodyTextGrey"/>
        <w:spacing w:after="0" w:line="240" w:lineRule="auto"/>
        <w:jc w:val="both"/>
        <w:rPr>
          <w:color w:val="auto"/>
          <w:sz w:val="24"/>
          <w:szCs w:val="24"/>
        </w:rPr>
      </w:pPr>
    </w:p>
    <w:p w14:paraId="7FFA4975" w14:textId="77777777" w:rsidR="00B15CDD" w:rsidRPr="00601B12" w:rsidRDefault="00B15CDD" w:rsidP="007337FE">
      <w:pPr>
        <w:pStyle w:val="BodyTextGrey"/>
        <w:numPr>
          <w:ilvl w:val="0"/>
          <w:numId w:val="82"/>
        </w:numPr>
        <w:spacing w:after="0" w:line="240" w:lineRule="auto"/>
        <w:jc w:val="both"/>
        <w:rPr>
          <w:color w:val="auto"/>
          <w:sz w:val="24"/>
          <w:szCs w:val="24"/>
        </w:rPr>
      </w:pPr>
      <w:r w:rsidRPr="00601B12">
        <w:rPr>
          <w:color w:val="auto"/>
          <w:sz w:val="24"/>
          <w:szCs w:val="24"/>
        </w:rPr>
        <w:t xml:space="preserve">The removal of the investment restrictions contained in schedule 1of the LGPS (Management and Investment of Funds) Regulations </w:t>
      </w:r>
      <w:proofErr w:type="gramStart"/>
      <w:r w:rsidRPr="00601B12">
        <w:rPr>
          <w:color w:val="auto"/>
          <w:sz w:val="24"/>
          <w:szCs w:val="24"/>
        </w:rPr>
        <w:t>2009;</w:t>
      </w:r>
      <w:proofErr w:type="gramEnd"/>
    </w:p>
    <w:p w14:paraId="3FE11619" w14:textId="77777777" w:rsidR="00B15CDD" w:rsidRPr="00601B12" w:rsidRDefault="00B15CDD" w:rsidP="007337FE">
      <w:pPr>
        <w:pStyle w:val="BodyTextGrey"/>
        <w:numPr>
          <w:ilvl w:val="0"/>
          <w:numId w:val="82"/>
        </w:numPr>
        <w:spacing w:after="0" w:line="240" w:lineRule="auto"/>
        <w:jc w:val="both"/>
        <w:rPr>
          <w:color w:val="auto"/>
          <w:sz w:val="24"/>
          <w:szCs w:val="24"/>
        </w:rPr>
      </w:pPr>
      <w:r w:rsidRPr="00601B12">
        <w:rPr>
          <w:color w:val="auto"/>
          <w:sz w:val="24"/>
          <w:szCs w:val="24"/>
        </w:rPr>
        <w:t xml:space="preserve">Fund’s approach to pooling investments and shared </w:t>
      </w:r>
      <w:proofErr w:type="gramStart"/>
      <w:r w:rsidRPr="00601B12">
        <w:rPr>
          <w:color w:val="auto"/>
          <w:sz w:val="24"/>
          <w:szCs w:val="24"/>
        </w:rPr>
        <w:t>services;</w:t>
      </w:r>
      <w:proofErr w:type="gramEnd"/>
    </w:p>
    <w:p w14:paraId="39199C04" w14:textId="77777777" w:rsidR="00B15CDD" w:rsidRPr="00601B12" w:rsidRDefault="00B15CDD" w:rsidP="007337FE">
      <w:pPr>
        <w:pStyle w:val="BodyTextGrey"/>
        <w:numPr>
          <w:ilvl w:val="0"/>
          <w:numId w:val="82"/>
        </w:numPr>
        <w:spacing w:after="0" w:line="240" w:lineRule="auto"/>
        <w:jc w:val="both"/>
        <w:rPr>
          <w:color w:val="auto"/>
          <w:sz w:val="24"/>
          <w:szCs w:val="24"/>
        </w:rPr>
      </w:pPr>
      <w:r w:rsidRPr="00601B12">
        <w:rPr>
          <w:color w:val="auto"/>
          <w:sz w:val="24"/>
          <w:szCs w:val="24"/>
        </w:rPr>
        <w:t xml:space="preserve">How social, </w:t>
      </w:r>
      <w:proofErr w:type="gramStart"/>
      <w:r w:rsidRPr="00601B12">
        <w:rPr>
          <w:color w:val="auto"/>
          <w:sz w:val="24"/>
          <w:szCs w:val="24"/>
        </w:rPr>
        <w:t>environmental</w:t>
      </w:r>
      <w:proofErr w:type="gramEnd"/>
      <w:r w:rsidRPr="00601B12">
        <w:rPr>
          <w:color w:val="auto"/>
          <w:sz w:val="24"/>
          <w:szCs w:val="24"/>
        </w:rPr>
        <w:t xml:space="preserve"> and corporate governance considerations are taken into account in the selection, non-selection, retention and realisation of investments; and</w:t>
      </w:r>
    </w:p>
    <w:p w14:paraId="2683249D" w14:textId="77777777" w:rsidR="00B15CDD" w:rsidRPr="00601B12" w:rsidRDefault="00B15CDD" w:rsidP="007337FE">
      <w:pPr>
        <w:pStyle w:val="BodyTextGrey"/>
        <w:numPr>
          <w:ilvl w:val="0"/>
          <w:numId w:val="82"/>
        </w:numPr>
        <w:spacing w:after="0" w:line="240" w:lineRule="auto"/>
        <w:jc w:val="both"/>
        <w:rPr>
          <w:color w:val="auto"/>
          <w:sz w:val="24"/>
          <w:szCs w:val="24"/>
        </w:rPr>
      </w:pPr>
      <w:r w:rsidRPr="00601B12">
        <w:rPr>
          <w:color w:val="auto"/>
          <w:sz w:val="24"/>
          <w:szCs w:val="24"/>
        </w:rPr>
        <w:t>The Fund’s assessment of the suitability of all major asset classes.</w:t>
      </w:r>
    </w:p>
    <w:p w14:paraId="102068BD" w14:textId="77777777" w:rsidR="00B15CDD" w:rsidRPr="00601B12" w:rsidRDefault="00B15CDD" w:rsidP="00B15CDD">
      <w:pPr>
        <w:pStyle w:val="BodyTextGrey"/>
        <w:spacing w:after="0" w:line="240" w:lineRule="auto"/>
        <w:ind w:left="780"/>
        <w:jc w:val="both"/>
        <w:rPr>
          <w:color w:val="auto"/>
          <w:sz w:val="24"/>
          <w:szCs w:val="24"/>
        </w:rPr>
      </w:pPr>
    </w:p>
    <w:p w14:paraId="465EDBFF"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The Statement is subject to review from time to time and will certainly be reviewed within six months of any material change in investment policy or other matters as required by law. As a minimum the ISS must be reviewed every three years. The ISS has been produced following a complete review of the Fund’s investment strategy and incorporates the requirements of the Funding Strategy Statement. In preparing this Statement the administrating authority has taken and considered advice from the Fund’s Investment Advisor, Aon Hewitt, and from the Fund’s Independent Investment Advisor, John Raisin Financial Services Limited.</w:t>
      </w:r>
    </w:p>
    <w:p w14:paraId="402AAE76" w14:textId="77777777" w:rsidR="00B15CDD" w:rsidRPr="00601B12" w:rsidRDefault="00B15CDD" w:rsidP="00B15CDD">
      <w:pPr>
        <w:pStyle w:val="BodyTextGrey"/>
        <w:spacing w:after="0" w:line="240" w:lineRule="auto"/>
        <w:jc w:val="both"/>
        <w:rPr>
          <w:color w:val="auto"/>
          <w:sz w:val="24"/>
          <w:szCs w:val="24"/>
        </w:rPr>
      </w:pPr>
    </w:p>
    <w:p w14:paraId="4073C321" w14:textId="77777777" w:rsidR="00B15CDD" w:rsidRPr="00601B12" w:rsidRDefault="00B15CDD" w:rsidP="00B15CDD">
      <w:pPr>
        <w:pStyle w:val="BodyTextGrey"/>
        <w:spacing w:after="0" w:line="240" w:lineRule="auto"/>
        <w:jc w:val="both"/>
        <w:rPr>
          <w:sz w:val="24"/>
          <w:szCs w:val="24"/>
        </w:rPr>
      </w:pPr>
      <w:r w:rsidRPr="00601B12">
        <w:rPr>
          <w:color w:val="auto"/>
          <w:sz w:val="24"/>
          <w:szCs w:val="24"/>
        </w:rPr>
        <w:t xml:space="preserve">A copy of the ISS can be found at: </w:t>
      </w:r>
      <w:hyperlink r:id="rId46" w:history="1">
        <w:r w:rsidRPr="00AF1B6D">
          <w:rPr>
            <w:rStyle w:val="Hyperlink"/>
            <w:rFonts w:eastAsiaTheme="majorEastAsia"/>
            <w:sz w:val="24"/>
            <w:szCs w:val="24"/>
          </w:rPr>
          <w:t>www.lbbdpensionfund.org</w:t>
        </w:r>
      </w:hyperlink>
    </w:p>
    <w:p w14:paraId="34118FCC" w14:textId="77777777" w:rsidR="00B15CDD" w:rsidRPr="00601B12" w:rsidRDefault="00B15CDD" w:rsidP="00B15CDD">
      <w:pPr>
        <w:pStyle w:val="BodyTextGrey"/>
        <w:spacing w:after="0" w:line="240" w:lineRule="auto"/>
        <w:ind w:right="-188"/>
        <w:rPr>
          <w:color w:val="auto"/>
          <w:sz w:val="24"/>
          <w:szCs w:val="24"/>
          <w:lang w:eastAsia="en-GB"/>
        </w:rPr>
      </w:pPr>
      <w:r w:rsidRPr="00601B12">
        <w:rPr>
          <w:color w:val="auto"/>
          <w:sz w:val="24"/>
          <w:szCs w:val="24"/>
          <w:lang w:eastAsia="en-GB"/>
        </w:rPr>
        <w:t xml:space="preserve">For further information please contact David Dickinson: </w:t>
      </w:r>
      <w:hyperlink r:id="rId47" w:history="1">
        <w:r w:rsidRPr="00AF1B6D">
          <w:rPr>
            <w:rStyle w:val="Hyperlink"/>
            <w:rFonts w:eastAsiaTheme="majorEastAsia"/>
          </w:rPr>
          <w:t>david.dickinson@lbbd.gov.uk</w:t>
        </w:r>
      </w:hyperlink>
      <w:r w:rsidRPr="00AF1B6D">
        <w:rPr>
          <w:color w:val="auto"/>
          <w:lang w:eastAsia="en-GB"/>
        </w:rPr>
        <w:t>.</w:t>
      </w:r>
    </w:p>
    <w:p w14:paraId="20C6518A" w14:textId="77777777" w:rsidR="00B15CDD" w:rsidRPr="00601B12" w:rsidRDefault="00B15CDD" w:rsidP="00B15CDD">
      <w:pPr>
        <w:pStyle w:val="Heading2"/>
        <w:rPr>
          <w:rFonts w:ascii="Arial" w:hAnsi="Arial" w:cs="Arial"/>
          <w:szCs w:val="24"/>
        </w:rPr>
      </w:pPr>
      <w:r w:rsidRPr="00601B12">
        <w:rPr>
          <w:rFonts w:ascii="Arial" w:hAnsi="Arial" w:cs="Arial"/>
          <w:szCs w:val="24"/>
        </w:rPr>
        <w:t xml:space="preserve">Overall Responsibilities </w:t>
      </w:r>
    </w:p>
    <w:p w14:paraId="7332D919" w14:textId="77777777" w:rsidR="00B15CDD" w:rsidRPr="00601B12" w:rsidRDefault="00B15CDD" w:rsidP="00B15CDD">
      <w:pPr>
        <w:pStyle w:val="BodyTextGrey"/>
        <w:spacing w:after="0" w:line="240" w:lineRule="auto"/>
        <w:rPr>
          <w:color w:val="auto"/>
          <w:sz w:val="24"/>
          <w:szCs w:val="24"/>
        </w:rPr>
      </w:pPr>
    </w:p>
    <w:p w14:paraId="00BF763E"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A full explanation of the Fund’s governance arrangements can be found in the Council’s Constitution Part C – Responsibility for Functions – Our Scheme of Delegation - Section M – The Pension Committee published on the Council’s website: </w:t>
      </w:r>
      <w:hyperlink r:id="rId48" w:history="1">
        <w:r w:rsidRPr="00E35F96">
          <w:rPr>
            <w:rStyle w:val="Hyperlink"/>
            <w:rFonts w:eastAsiaTheme="majorEastAsia"/>
            <w:szCs w:val="24"/>
          </w:rPr>
          <w:t>http://www.lbbd.gov.uk/CouncilandDemocracy/Documents/Constitution/const-c-section-m.pdf</w:t>
        </w:r>
      </w:hyperlink>
    </w:p>
    <w:p w14:paraId="4C27DA33" w14:textId="77777777" w:rsidR="00B15CDD" w:rsidRPr="00601B12" w:rsidRDefault="00B15CDD" w:rsidP="00B15CDD">
      <w:pPr>
        <w:pStyle w:val="BodyTextGrey"/>
        <w:spacing w:after="0" w:line="240" w:lineRule="auto"/>
        <w:jc w:val="both"/>
        <w:rPr>
          <w:color w:val="auto"/>
          <w:sz w:val="24"/>
          <w:szCs w:val="24"/>
        </w:rPr>
      </w:pPr>
    </w:p>
    <w:p w14:paraId="2FEAC0C7" w14:textId="77777777" w:rsidR="00B15CDD" w:rsidRPr="00601B12" w:rsidRDefault="00B15CDD" w:rsidP="00B15CDD">
      <w:pPr>
        <w:pStyle w:val="Heading2"/>
        <w:rPr>
          <w:rFonts w:ascii="Arial" w:hAnsi="Arial" w:cs="Arial"/>
          <w:szCs w:val="24"/>
        </w:rPr>
      </w:pPr>
      <w:r w:rsidRPr="00601B12">
        <w:rPr>
          <w:rFonts w:ascii="Arial" w:hAnsi="Arial" w:cs="Arial"/>
          <w:szCs w:val="24"/>
        </w:rPr>
        <w:t xml:space="preserve">Investment Responsibilities </w:t>
      </w:r>
    </w:p>
    <w:p w14:paraId="5BF266F6" w14:textId="77777777" w:rsidR="00B15CDD" w:rsidRPr="00E35F96" w:rsidRDefault="00B15CDD" w:rsidP="00B15CDD">
      <w:pPr>
        <w:jc w:val="both"/>
        <w:rPr>
          <w:rFonts w:ascii="Arial" w:hAnsi="Arial" w:cs="Arial"/>
        </w:rPr>
      </w:pPr>
    </w:p>
    <w:p w14:paraId="7D64CEF2"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Administering Authority the Council has delegated responsibility for the administration of the Fund to the Section 151 officer, advised by the Pension Committee and after taking expert advice from the </w:t>
      </w:r>
      <w:r w:rsidRPr="00AA116D">
        <w:rPr>
          <w:color w:val="auto"/>
          <w:sz w:val="24"/>
          <w:szCs w:val="24"/>
        </w:rPr>
        <w:t>Fund’s Investment Advisor (</w:t>
      </w:r>
      <w:r>
        <w:rPr>
          <w:color w:val="auto"/>
          <w:sz w:val="24"/>
          <w:szCs w:val="24"/>
        </w:rPr>
        <w:t>Hymans Robertson</w:t>
      </w:r>
      <w:r w:rsidRPr="00AA116D">
        <w:rPr>
          <w:color w:val="auto"/>
          <w:sz w:val="24"/>
          <w:szCs w:val="24"/>
        </w:rPr>
        <w:t>) and</w:t>
      </w:r>
      <w:r w:rsidRPr="00601B12">
        <w:rPr>
          <w:color w:val="auto"/>
          <w:sz w:val="24"/>
          <w:szCs w:val="24"/>
        </w:rPr>
        <w:t xml:space="preserve"> the Fund’s Independent Advisor, John Raisin Financial Services Limited.</w:t>
      </w:r>
    </w:p>
    <w:p w14:paraId="1F64031E" w14:textId="77777777" w:rsidR="00B15CDD" w:rsidRPr="00601B12" w:rsidRDefault="00B15CDD" w:rsidP="00B15CDD">
      <w:pPr>
        <w:pStyle w:val="BodyTextGrey"/>
        <w:spacing w:after="0" w:line="240" w:lineRule="auto"/>
        <w:rPr>
          <w:color w:val="auto"/>
          <w:sz w:val="24"/>
          <w:szCs w:val="24"/>
        </w:rPr>
      </w:pPr>
    </w:p>
    <w:p w14:paraId="5AD84A46" w14:textId="77777777" w:rsidR="00B15CDD" w:rsidRPr="00601B12" w:rsidRDefault="00B15CDD" w:rsidP="00B15CDD">
      <w:pPr>
        <w:pStyle w:val="BodyTextGrey"/>
        <w:spacing w:after="0" w:line="240" w:lineRule="auto"/>
        <w:rPr>
          <w:color w:val="auto"/>
          <w:sz w:val="24"/>
          <w:szCs w:val="24"/>
        </w:rPr>
      </w:pPr>
      <w:r w:rsidRPr="00601B12">
        <w:rPr>
          <w:color w:val="auto"/>
          <w:sz w:val="24"/>
          <w:szCs w:val="24"/>
        </w:rPr>
        <w:t xml:space="preserve">As </w:t>
      </w:r>
      <w:proofErr w:type="gramStart"/>
      <w:r w:rsidRPr="00601B12">
        <w:rPr>
          <w:color w:val="auto"/>
          <w:sz w:val="24"/>
          <w:szCs w:val="24"/>
        </w:rPr>
        <w:t>at</w:t>
      </w:r>
      <w:proofErr w:type="gramEnd"/>
      <w:r w:rsidRPr="00601B12">
        <w:rPr>
          <w:color w:val="auto"/>
          <w:sz w:val="24"/>
          <w:szCs w:val="24"/>
        </w:rPr>
        <w:t xml:space="preserve"> </w:t>
      </w:r>
      <w:r>
        <w:rPr>
          <w:color w:val="auto"/>
          <w:sz w:val="24"/>
          <w:szCs w:val="24"/>
        </w:rPr>
        <w:t>31 December 2020</w:t>
      </w:r>
      <w:r w:rsidRPr="00601B12">
        <w:rPr>
          <w:color w:val="auto"/>
          <w:sz w:val="24"/>
          <w:szCs w:val="24"/>
        </w:rPr>
        <w:t xml:space="preserve"> Pension Committee comprised: </w:t>
      </w:r>
    </w:p>
    <w:p w14:paraId="36A637FF" w14:textId="77777777" w:rsidR="00B15CDD" w:rsidRPr="00601B12" w:rsidRDefault="00B15CDD" w:rsidP="00B15CDD">
      <w:pPr>
        <w:pStyle w:val="BodyTextGrey"/>
        <w:spacing w:after="0" w:line="240" w:lineRule="auto"/>
        <w:rPr>
          <w:color w:val="auto"/>
          <w:sz w:val="24"/>
          <w:szCs w:val="24"/>
        </w:rPr>
      </w:pPr>
    </w:p>
    <w:tbl>
      <w:tblPr>
        <w:tblW w:w="8113" w:type="dxa"/>
        <w:tblInd w:w="-108" w:type="dxa"/>
        <w:tblLook w:val="04A0" w:firstRow="1" w:lastRow="0" w:firstColumn="1" w:lastColumn="0" w:noHBand="0" w:noVBand="1"/>
      </w:tblPr>
      <w:tblGrid>
        <w:gridCol w:w="3115"/>
        <w:gridCol w:w="4998"/>
      </w:tblGrid>
      <w:tr w:rsidR="00B15CDD" w:rsidRPr="00601B12" w14:paraId="376D6CE9" w14:textId="77777777" w:rsidTr="00A660AD">
        <w:trPr>
          <w:trHeight w:val="276"/>
        </w:trPr>
        <w:tc>
          <w:tcPr>
            <w:tcW w:w="8113" w:type="dxa"/>
            <w:gridSpan w:val="2"/>
            <w:tcBorders>
              <w:top w:val="nil"/>
              <w:left w:val="nil"/>
              <w:bottom w:val="nil"/>
              <w:right w:val="nil"/>
            </w:tcBorders>
            <w:shd w:val="clear" w:color="auto" w:fill="auto"/>
            <w:noWrap/>
            <w:vAlign w:val="bottom"/>
            <w:hideMark/>
          </w:tcPr>
          <w:p w14:paraId="21BEFFF0" w14:textId="77777777" w:rsidR="00B15CDD" w:rsidRPr="00601B12" w:rsidRDefault="00B15CDD" w:rsidP="00A660AD">
            <w:pPr>
              <w:pStyle w:val="BodyTextGrey"/>
              <w:spacing w:after="0" w:line="240" w:lineRule="auto"/>
              <w:rPr>
                <w:b/>
                <w:color w:val="auto"/>
                <w:sz w:val="24"/>
                <w:szCs w:val="24"/>
              </w:rPr>
            </w:pPr>
            <w:r w:rsidRPr="00601B12">
              <w:rPr>
                <w:b/>
                <w:color w:val="auto"/>
                <w:sz w:val="24"/>
                <w:szCs w:val="24"/>
              </w:rPr>
              <w:t>Pension Committee Voting Members</w:t>
            </w:r>
          </w:p>
        </w:tc>
      </w:tr>
      <w:tr w:rsidR="00B15CDD" w:rsidRPr="00601B12" w14:paraId="2A6934A0" w14:textId="77777777" w:rsidTr="00A660AD">
        <w:trPr>
          <w:trHeight w:val="276"/>
        </w:trPr>
        <w:tc>
          <w:tcPr>
            <w:tcW w:w="3115" w:type="dxa"/>
            <w:tcBorders>
              <w:top w:val="nil"/>
              <w:left w:val="nil"/>
              <w:bottom w:val="nil"/>
              <w:right w:val="nil"/>
            </w:tcBorders>
            <w:shd w:val="clear" w:color="auto" w:fill="auto"/>
            <w:noWrap/>
            <w:vAlign w:val="center"/>
            <w:hideMark/>
          </w:tcPr>
          <w:p w14:paraId="7BF7EE7F" w14:textId="77777777" w:rsidR="00B15CDD" w:rsidRPr="00066031" w:rsidRDefault="00B15CDD" w:rsidP="00A660AD">
            <w:pPr>
              <w:rPr>
                <w:rFonts w:ascii="Arial" w:hAnsi="Arial" w:cs="Arial"/>
                <w:b/>
                <w:color w:val="000000"/>
              </w:rPr>
            </w:pPr>
            <w:r w:rsidRPr="00066031">
              <w:rPr>
                <w:rFonts w:ascii="Arial" w:hAnsi="Arial" w:cs="Arial"/>
                <w:b/>
                <w:color w:val="000000"/>
                <w:sz w:val="22"/>
                <w:szCs w:val="22"/>
              </w:rPr>
              <w:t>Chair:</w:t>
            </w:r>
          </w:p>
        </w:tc>
        <w:tc>
          <w:tcPr>
            <w:tcW w:w="4998" w:type="dxa"/>
            <w:tcBorders>
              <w:top w:val="nil"/>
              <w:left w:val="nil"/>
              <w:bottom w:val="nil"/>
              <w:right w:val="nil"/>
            </w:tcBorders>
            <w:shd w:val="clear" w:color="auto" w:fill="auto"/>
            <w:noWrap/>
            <w:vAlign w:val="center"/>
            <w:hideMark/>
          </w:tcPr>
          <w:p w14:paraId="718585C1" w14:textId="77777777" w:rsidR="00B15CDD" w:rsidRPr="00981460" w:rsidRDefault="00FF40A3" w:rsidP="00A660AD">
            <w:pPr>
              <w:rPr>
                <w:rFonts w:ascii="Arial" w:hAnsi="Arial" w:cs="Arial"/>
                <w:color w:val="000000"/>
              </w:rPr>
            </w:pPr>
            <w:hyperlink r:id="rId49" w:history="1">
              <w:r w:rsidR="00B15CDD" w:rsidRPr="00981460">
                <w:rPr>
                  <w:rStyle w:val="Hyperlink"/>
                  <w:rFonts w:ascii="Arial" w:hAnsi="Arial" w:cs="Arial"/>
                  <w:color w:val="000000" w:themeColor="text1"/>
                </w:rPr>
                <w:t>Cllr Kashif Haroon</w:t>
              </w:r>
            </w:hyperlink>
          </w:p>
        </w:tc>
      </w:tr>
      <w:tr w:rsidR="00B15CDD" w:rsidRPr="00601B12" w14:paraId="2797C88E" w14:textId="77777777" w:rsidTr="00A660AD">
        <w:trPr>
          <w:trHeight w:val="276"/>
        </w:trPr>
        <w:tc>
          <w:tcPr>
            <w:tcW w:w="3115" w:type="dxa"/>
            <w:tcBorders>
              <w:top w:val="nil"/>
              <w:left w:val="nil"/>
              <w:bottom w:val="nil"/>
              <w:right w:val="nil"/>
            </w:tcBorders>
            <w:shd w:val="clear" w:color="auto" w:fill="auto"/>
            <w:noWrap/>
            <w:vAlign w:val="center"/>
            <w:hideMark/>
          </w:tcPr>
          <w:p w14:paraId="2114AD2D" w14:textId="77777777" w:rsidR="00B15CDD" w:rsidRPr="00066031" w:rsidRDefault="00B15CDD" w:rsidP="00A660AD">
            <w:pPr>
              <w:rPr>
                <w:rFonts w:ascii="Arial" w:hAnsi="Arial" w:cs="Arial"/>
                <w:b/>
                <w:color w:val="000000"/>
              </w:rPr>
            </w:pPr>
            <w:r w:rsidRPr="00066031">
              <w:rPr>
                <w:rFonts w:ascii="Arial" w:hAnsi="Arial" w:cs="Arial"/>
                <w:b/>
                <w:color w:val="000000"/>
                <w:sz w:val="22"/>
                <w:szCs w:val="22"/>
              </w:rPr>
              <w:t>Deputy:</w:t>
            </w:r>
          </w:p>
        </w:tc>
        <w:tc>
          <w:tcPr>
            <w:tcW w:w="4998" w:type="dxa"/>
            <w:tcBorders>
              <w:top w:val="nil"/>
              <w:left w:val="nil"/>
              <w:bottom w:val="nil"/>
              <w:right w:val="nil"/>
            </w:tcBorders>
            <w:shd w:val="clear" w:color="auto" w:fill="auto"/>
            <w:noWrap/>
            <w:vAlign w:val="center"/>
            <w:hideMark/>
          </w:tcPr>
          <w:p w14:paraId="31446307" w14:textId="77777777" w:rsidR="00B15CDD" w:rsidRPr="00981460" w:rsidRDefault="00FF40A3" w:rsidP="00A660AD">
            <w:pPr>
              <w:rPr>
                <w:rFonts w:ascii="Arial" w:hAnsi="Arial" w:cs="Arial"/>
                <w:color w:val="000000"/>
              </w:rPr>
            </w:pPr>
            <w:hyperlink r:id="rId50" w:history="1">
              <w:r w:rsidR="00B15CDD" w:rsidRPr="00981460">
                <w:rPr>
                  <w:rStyle w:val="Hyperlink"/>
                  <w:rFonts w:ascii="Arial" w:hAnsi="Arial" w:cs="Arial"/>
                  <w:color w:val="000000" w:themeColor="text1"/>
                </w:rPr>
                <w:t xml:space="preserve">Cllr </w:t>
              </w:r>
              <w:proofErr w:type="spellStart"/>
              <w:r w:rsidR="00B15CDD" w:rsidRPr="00981460">
                <w:rPr>
                  <w:rStyle w:val="Hyperlink"/>
                  <w:rFonts w:ascii="Arial" w:hAnsi="Arial" w:cs="Arial"/>
                  <w:color w:val="000000" w:themeColor="text1"/>
                </w:rPr>
                <w:t>Foyzur</w:t>
              </w:r>
              <w:proofErr w:type="spellEnd"/>
              <w:r w:rsidR="00B15CDD" w:rsidRPr="00981460">
                <w:rPr>
                  <w:rStyle w:val="Hyperlink"/>
                  <w:rFonts w:ascii="Arial" w:hAnsi="Arial" w:cs="Arial"/>
                  <w:color w:val="000000" w:themeColor="text1"/>
                </w:rPr>
                <w:t xml:space="preserve"> Rahman</w:t>
              </w:r>
            </w:hyperlink>
          </w:p>
        </w:tc>
      </w:tr>
      <w:tr w:rsidR="00B15CDD" w:rsidRPr="00601B12" w14:paraId="3C000625" w14:textId="77777777" w:rsidTr="00A660AD">
        <w:trPr>
          <w:trHeight w:val="276"/>
        </w:trPr>
        <w:tc>
          <w:tcPr>
            <w:tcW w:w="3115" w:type="dxa"/>
            <w:tcBorders>
              <w:top w:val="nil"/>
              <w:left w:val="nil"/>
              <w:bottom w:val="nil"/>
              <w:right w:val="nil"/>
            </w:tcBorders>
            <w:shd w:val="clear" w:color="auto" w:fill="auto"/>
            <w:noWrap/>
            <w:vAlign w:val="bottom"/>
            <w:hideMark/>
          </w:tcPr>
          <w:p w14:paraId="04F5AE3B" w14:textId="77777777" w:rsidR="00B15CDD" w:rsidRPr="00066031" w:rsidRDefault="00B15CDD" w:rsidP="00A660AD">
            <w:pPr>
              <w:rPr>
                <w:rFonts w:ascii="Arial" w:hAnsi="Arial" w:cs="Arial"/>
                <w:color w:val="000000"/>
              </w:rPr>
            </w:pPr>
          </w:p>
        </w:tc>
        <w:tc>
          <w:tcPr>
            <w:tcW w:w="4998" w:type="dxa"/>
            <w:tcBorders>
              <w:top w:val="nil"/>
              <w:left w:val="nil"/>
              <w:bottom w:val="nil"/>
              <w:right w:val="nil"/>
            </w:tcBorders>
            <w:shd w:val="clear" w:color="auto" w:fill="auto"/>
            <w:noWrap/>
            <w:vAlign w:val="center"/>
            <w:hideMark/>
          </w:tcPr>
          <w:p w14:paraId="6029BB37" w14:textId="77777777" w:rsidR="00B15CDD" w:rsidRPr="00981460" w:rsidRDefault="00FF40A3" w:rsidP="00A660AD">
            <w:pPr>
              <w:rPr>
                <w:rFonts w:ascii="Arial" w:hAnsi="Arial" w:cs="Arial"/>
                <w:color w:val="000000"/>
              </w:rPr>
            </w:pPr>
            <w:hyperlink r:id="rId51" w:history="1">
              <w:r w:rsidR="00B15CDD" w:rsidRPr="00981460">
                <w:rPr>
                  <w:rStyle w:val="Hyperlink"/>
                  <w:rFonts w:ascii="Arial" w:hAnsi="Arial" w:cs="Arial"/>
                  <w:color w:val="000000" w:themeColor="text1"/>
                </w:rPr>
                <w:t>Cllr Rocky Gill</w:t>
              </w:r>
            </w:hyperlink>
          </w:p>
        </w:tc>
      </w:tr>
      <w:tr w:rsidR="00B15CDD" w:rsidRPr="00601B12" w14:paraId="60E89BE0" w14:textId="77777777" w:rsidTr="00A660AD">
        <w:trPr>
          <w:trHeight w:val="276"/>
        </w:trPr>
        <w:tc>
          <w:tcPr>
            <w:tcW w:w="3115" w:type="dxa"/>
            <w:tcBorders>
              <w:top w:val="nil"/>
              <w:left w:val="nil"/>
              <w:bottom w:val="nil"/>
              <w:right w:val="nil"/>
            </w:tcBorders>
            <w:shd w:val="clear" w:color="auto" w:fill="auto"/>
            <w:noWrap/>
            <w:vAlign w:val="bottom"/>
            <w:hideMark/>
          </w:tcPr>
          <w:p w14:paraId="67F8991F" w14:textId="77777777" w:rsidR="00B15CDD" w:rsidRPr="00066031" w:rsidRDefault="00B15CDD" w:rsidP="00A660AD">
            <w:pPr>
              <w:rPr>
                <w:rFonts w:ascii="Arial" w:hAnsi="Arial" w:cs="Arial"/>
                <w:color w:val="000000"/>
              </w:rPr>
            </w:pPr>
          </w:p>
        </w:tc>
        <w:tc>
          <w:tcPr>
            <w:tcW w:w="4998" w:type="dxa"/>
            <w:tcBorders>
              <w:top w:val="nil"/>
              <w:left w:val="nil"/>
              <w:bottom w:val="nil"/>
              <w:right w:val="nil"/>
            </w:tcBorders>
            <w:shd w:val="clear" w:color="auto" w:fill="auto"/>
            <w:noWrap/>
            <w:vAlign w:val="center"/>
            <w:hideMark/>
          </w:tcPr>
          <w:p w14:paraId="471738BE" w14:textId="77777777" w:rsidR="00B15CDD" w:rsidRPr="00981460" w:rsidRDefault="00FF40A3" w:rsidP="00A660AD">
            <w:pPr>
              <w:rPr>
                <w:rFonts w:ascii="Arial" w:hAnsi="Arial" w:cs="Arial"/>
                <w:color w:val="000000"/>
              </w:rPr>
            </w:pPr>
            <w:hyperlink r:id="rId52" w:history="1">
              <w:r w:rsidR="00B15CDD" w:rsidRPr="00981460">
                <w:rPr>
                  <w:rStyle w:val="Hyperlink"/>
                  <w:rFonts w:ascii="Arial" w:hAnsi="Arial" w:cs="Arial"/>
                  <w:color w:val="000000" w:themeColor="text1"/>
                </w:rPr>
                <w:t>Cllr Amardeep Singh Jamu</w:t>
              </w:r>
            </w:hyperlink>
          </w:p>
        </w:tc>
      </w:tr>
      <w:tr w:rsidR="00B15CDD" w:rsidRPr="00601B12" w14:paraId="1CBD915E" w14:textId="77777777" w:rsidTr="00A660AD">
        <w:trPr>
          <w:trHeight w:val="276"/>
        </w:trPr>
        <w:tc>
          <w:tcPr>
            <w:tcW w:w="3115" w:type="dxa"/>
            <w:tcBorders>
              <w:top w:val="nil"/>
              <w:left w:val="nil"/>
              <w:bottom w:val="nil"/>
              <w:right w:val="nil"/>
            </w:tcBorders>
            <w:shd w:val="clear" w:color="auto" w:fill="auto"/>
            <w:noWrap/>
            <w:vAlign w:val="bottom"/>
            <w:hideMark/>
          </w:tcPr>
          <w:p w14:paraId="56B0CBD2" w14:textId="77777777" w:rsidR="00B15CDD" w:rsidRPr="00066031" w:rsidRDefault="00B15CDD" w:rsidP="00A660AD">
            <w:pPr>
              <w:rPr>
                <w:rFonts w:ascii="Arial" w:hAnsi="Arial" w:cs="Arial"/>
                <w:color w:val="000000"/>
              </w:rPr>
            </w:pPr>
          </w:p>
        </w:tc>
        <w:tc>
          <w:tcPr>
            <w:tcW w:w="4998" w:type="dxa"/>
            <w:tcBorders>
              <w:top w:val="nil"/>
              <w:left w:val="nil"/>
              <w:bottom w:val="nil"/>
              <w:right w:val="nil"/>
            </w:tcBorders>
            <w:shd w:val="clear" w:color="auto" w:fill="auto"/>
            <w:noWrap/>
            <w:vAlign w:val="center"/>
            <w:hideMark/>
          </w:tcPr>
          <w:p w14:paraId="57882342" w14:textId="77777777" w:rsidR="00B15CDD" w:rsidRPr="00981460" w:rsidRDefault="00FF40A3" w:rsidP="00A660AD">
            <w:pPr>
              <w:rPr>
                <w:rFonts w:ascii="Arial" w:hAnsi="Arial" w:cs="Arial"/>
                <w:color w:val="000000"/>
              </w:rPr>
            </w:pPr>
            <w:hyperlink r:id="rId53" w:history="1">
              <w:r w:rsidR="00B15CDD" w:rsidRPr="00981460">
                <w:rPr>
                  <w:rStyle w:val="Hyperlink"/>
                  <w:rFonts w:ascii="Arial" w:hAnsi="Arial" w:cs="Arial"/>
                  <w:color w:val="000000" w:themeColor="text1"/>
                </w:rPr>
                <w:t>Cllr Mick McCarthy</w:t>
              </w:r>
            </w:hyperlink>
          </w:p>
        </w:tc>
      </w:tr>
      <w:tr w:rsidR="00B15CDD" w:rsidRPr="00601B12" w14:paraId="65FA28EF" w14:textId="77777777" w:rsidTr="00A660AD">
        <w:trPr>
          <w:trHeight w:val="276"/>
        </w:trPr>
        <w:tc>
          <w:tcPr>
            <w:tcW w:w="3115" w:type="dxa"/>
            <w:tcBorders>
              <w:top w:val="nil"/>
              <w:left w:val="nil"/>
              <w:bottom w:val="nil"/>
              <w:right w:val="nil"/>
            </w:tcBorders>
            <w:shd w:val="clear" w:color="auto" w:fill="auto"/>
            <w:noWrap/>
            <w:vAlign w:val="bottom"/>
            <w:hideMark/>
          </w:tcPr>
          <w:p w14:paraId="2F7E7653" w14:textId="77777777" w:rsidR="00B15CDD" w:rsidRPr="00066031" w:rsidRDefault="00B15CDD" w:rsidP="00A660AD">
            <w:pPr>
              <w:rPr>
                <w:rFonts w:ascii="Arial" w:hAnsi="Arial" w:cs="Arial"/>
                <w:color w:val="000000"/>
              </w:rPr>
            </w:pPr>
          </w:p>
        </w:tc>
        <w:tc>
          <w:tcPr>
            <w:tcW w:w="4998" w:type="dxa"/>
            <w:tcBorders>
              <w:top w:val="nil"/>
              <w:left w:val="nil"/>
              <w:bottom w:val="nil"/>
              <w:right w:val="nil"/>
            </w:tcBorders>
            <w:shd w:val="clear" w:color="auto" w:fill="auto"/>
            <w:noWrap/>
            <w:vAlign w:val="center"/>
            <w:hideMark/>
          </w:tcPr>
          <w:p w14:paraId="218E2A51" w14:textId="77777777" w:rsidR="00B15CDD" w:rsidRPr="00981460" w:rsidRDefault="00FF40A3" w:rsidP="00A660AD">
            <w:pPr>
              <w:rPr>
                <w:rFonts w:ascii="Arial" w:hAnsi="Arial" w:cs="Arial"/>
                <w:color w:val="000000"/>
              </w:rPr>
            </w:pPr>
            <w:hyperlink r:id="rId54" w:history="1">
              <w:r w:rsidR="00B15CDD" w:rsidRPr="00981460">
                <w:rPr>
                  <w:rStyle w:val="Hyperlink"/>
                  <w:rFonts w:ascii="Arial" w:hAnsi="Arial" w:cs="Arial"/>
                  <w:color w:val="000000" w:themeColor="text1"/>
                </w:rPr>
                <w:t>Cllr Dave Miles</w:t>
              </w:r>
            </w:hyperlink>
          </w:p>
        </w:tc>
      </w:tr>
      <w:tr w:rsidR="00B15CDD" w:rsidRPr="00601B12" w14:paraId="53B43B81" w14:textId="77777777" w:rsidTr="00A660AD">
        <w:trPr>
          <w:trHeight w:val="276"/>
        </w:trPr>
        <w:tc>
          <w:tcPr>
            <w:tcW w:w="3115" w:type="dxa"/>
            <w:tcBorders>
              <w:top w:val="nil"/>
              <w:left w:val="nil"/>
              <w:bottom w:val="nil"/>
              <w:right w:val="nil"/>
            </w:tcBorders>
            <w:shd w:val="clear" w:color="auto" w:fill="auto"/>
            <w:noWrap/>
            <w:vAlign w:val="bottom"/>
            <w:hideMark/>
          </w:tcPr>
          <w:p w14:paraId="49014BEA" w14:textId="77777777" w:rsidR="00B15CDD" w:rsidRPr="00066031" w:rsidRDefault="00B15CDD" w:rsidP="00A660AD">
            <w:pPr>
              <w:rPr>
                <w:rFonts w:ascii="Arial" w:hAnsi="Arial" w:cs="Arial"/>
                <w:color w:val="000000"/>
              </w:rPr>
            </w:pPr>
          </w:p>
        </w:tc>
        <w:tc>
          <w:tcPr>
            <w:tcW w:w="4998" w:type="dxa"/>
            <w:tcBorders>
              <w:top w:val="nil"/>
              <w:left w:val="nil"/>
              <w:bottom w:val="nil"/>
              <w:right w:val="nil"/>
            </w:tcBorders>
            <w:shd w:val="clear" w:color="auto" w:fill="auto"/>
            <w:noWrap/>
            <w:vAlign w:val="center"/>
            <w:hideMark/>
          </w:tcPr>
          <w:p w14:paraId="51CA29D9" w14:textId="77777777" w:rsidR="00B15CDD" w:rsidRPr="00981460" w:rsidRDefault="00FF40A3" w:rsidP="00A660AD">
            <w:pPr>
              <w:rPr>
                <w:rFonts w:ascii="Arial" w:hAnsi="Arial" w:cs="Arial"/>
                <w:color w:val="000000"/>
              </w:rPr>
            </w:pPr>
            <w:hyperlink r:id="rId55" w:history="1">
              <w:r w:rsidR="00B15CDD" w:rsidRPr="00981460">
                <w:rPr>
                  <w:rStyle w:val="Hyperlink"/>
                  <w:rFonts w:ascii="Arial" w:hAnsi="Arial" w:cs="Arial"/>
                  <w:color w:val="000000" w:themeColor="text1"/>
                </w:rPr>
                <w:t>Cllr Tony Ramsay</w:t>
              </w:r>
            </w:hyperlink>
          </w:p>
        </w:tc>
      </w:tr>
      <w:tr w:rsidR="00B15CDD" w:rsidRPr="00601B12" w14:paraId="09AC94D8" w14:textId="77777777" w:rsidTr="00A660AD">
        <w:trPr>
          <w:trHeight w:val="276"/>
        </w:trPr>
        <w:tc>
          <w:tcPr>
            <w:tcW w:w="8113" w:type="dxa"/>
            <w:gridSpan w:val="2"/>
            <w:tcBorders>
              <w:top w:val="nil"/>
              <w:left w:val="nil"/>
              <w:bottom w:val="nil"/>
              <w:right w:val="nil"/>
            </w:tcBorders>
            <w:shd w:val="clear" w:color="auto" w:fill="auto"/>
            <w:noWrap/>
            <w:vAlign w:val="bottom"/>
            <w:hideMark/>
          </w:tcPr>
          <w:p w14:paraId="445B9D41" w14:textId="77777777" w:rsidR="00B15CDD" w:rsidRPr="00981460" w:rsidRDefault="00B15CDD" w:rsidP="00A660AD">
            <w:pPr>
              <w:pStyle w:val="BodyTextGrey"/>
              <w:spacing w:after="0"/>
              <w:rPr>
                <w:b/>
                <w:color w:val="auto"/>
                <w:sz w:val="24"/>
                <w:szCs w:val="24"/>
              </w:rPr>
            </w:pPr>
            <w:r w:rsidRPr="00981460">
              <w:rPr>
                <w:b/>
                <w:color w:val="auto"/>
                <w:sz w:val="24"/>
                <w:szCs w:val="24"/>
              </w:rPr>
              <w:t>Non-Voting Members</w:t>
            </w:r>
          </w:p>
        </w:tc>
      </w:tr>
      <w:tr w:rsidR="00B15CDD" w:rsidRPr="00601B12" w14:paraId="144E6E71" w14:textId="77777777" w:rsidTr="00A660AD">
        <w:trPr>
          <w:trHeight w:val="276"/>
        </w:trPr>
        <w:tc>
          <w:tcPr>
            <w:tcW w:w="3115" w:type="dxa"/>
            <w:tcBorders>
              <w:top w:val="nil"/>
              <w:left w:val="nil"/>
              <w:bottom w:val="nil"/>
              <w:right w:val="nil"/>
            </w:tcBorders>
            <w:shd w:val="clear" w:color="auto" w:fill="auto"/>
            <w:noWrap/>
            <w:vAlign w:val="center"/>
            <w:hideMark/>
          </w:tcPr>
          <w:p w14:paraId="3CD6C7DC" w14:textId="77777777" w:rsidR="00B15CDD" w:rsidRPr="00066031" w:rsidRDefault="00B15CDD" w:rsidP="00A660AD">
            <w:pPr>
              <w:rPr>
                <w:rFonts w:ascii="Arial" w:hAnsi="Arial" w:cs="Arial"/>
                <w:b/>
                <w:color w:val="000000"/>
              </w:rPr>
            </w:pPr>
            <w:r w:rsidRPr="00066031">
              <w:rPr>
                <w:rFonts w:ascii="Arial" w:hAnsi="Arial" w:cs="Arial"/>
                <w:b/>
                <w:color w:val="000000"/>
                <w:sz w:val="22"/>
                <w:szCs w:val="22"/>
              </w:rPr>
              <w:t xml:space="preserve">Union Representative: </w:t>
            </w:r>
          </w:p>
        </w:tc>
        <w:tc>
          <w:tcPr>
            <w:tcW w:w="4998" w:type="dxa"/>
            <w:tcBorders>
              <w:top w:val="nil"/>
              <w:left w:val="nil"/>
              <w:bottom w:val="nil"/>
              <w:right w:val="nil"/>
            </w:tcBorders>
            <w:shd w:val="clear" w:color="auto" w:fill="auto"/>
            <w:noWrap/>
            <w:vAlign w:val="center"/>
            <w:hideMark/>
          </w:tcPr>
          <w:p w14:paraId="16BE0EE7" w14:textId="77777777" w:rsidR="00B15CDD" w:rsidRPr="00981460" w:rsidRDefault="00B15CDD" w:rsidP="00A660AD">
            <w:pPr>
              <w:rPr>
                <w:rFonts w:ascii="Arial" w:hAnsi="Arial" w:cs="Arial"/>
                <w:color w:val="000000"/>
              </w:rPr>
            </w:pPr>
            <w:r w:rsidRPr="00981460">
              <w:rPr>
                <w:rFonts w:ascii="Arial" w:hAnsi="Arial" w:cs="Arial"/>
                <w:color w:val="000000"/>
              </w:rPr>
              <w:t>GMB - Steve Davies</w:t>
            </w:r>
          </w:p>
        </w:tc>
      </w:tr>
      <w:tr w:rsidR="00B15CDD" w:rsidRPr="00601B12" w14:paraId="26C09BA2" w14:textId="77777777" w:rsidTr="00A660AD">
        <w:trPr>
          <w:trHeight w:val="276"/>
        </w:trPr>
        <w:tc>
          <w:tcPr>
            <w:tcW w:w="3115" w:type="dxa"/>
            <w:tcBorders>
              <w:top w:val="nil"/>
              <w:left w:val="nil"/>
              <w:bottom w:val="nil"/>
              <w:right w:val="nil"/>
            </w:tcBorders>
            <w:shd w:val="clear" w:color="auto" w:fill="auto"/>
            <w:noWrap/>
            <w:vAlign w:val="center"/>
            <w:hideMark/>
          </w:tcPr>
          <w:p w14:paraId="1FEF9335" w14:textId="77777777" w:rsidR="00B15CDD" w:rsidRPr="00066031" w:rsidRDefault="00B15CDD" w:rsidP="00A660AD">
            <w:pPr>
              <w:rPr>
                <w:rFonts w:ascii="Arial" w:hAnsi="Arial" w:cs="Arial"/>
                <w:b/>
                <w:color w:val="000000"/>
              </w:rPr>
            </w:pPr>
            <w:r w:rsidRPr="00066031">
              <w:rPr>
                <w:rFonts w:ascii="Arial" w:hAnsi="Arial" w:cs="Arial"/>
                <w:b/>
                <w:color w:val="000000"/>
                <w:sz w:val="22"/>
                <w:szCs w:val="22"/>
              </w:rPr>
              <w:t xml:space="preserve">Member Representative: </w:t>
            </w:r>
          </w:p>
        </w:tc>
        <w:tc>
          <w:tcPr>
            <w:tcW w:w="4998" w:type="dxa"/>
            <w:tcBorders>
              <w:top w:val="nil"/>
              <w:left w:val="nil"/>
              <w:bottom w:val="nil"/>
              <w:right w:val="nil"/>
            </w:tcBorders>
            <w:shd w:val="clear" w:color="auto" w:fill="auto"/>
            <w:noWrap/>
            <w:vAlign w:val="center"/>
            <w:hideMark/>
          </w:tcPr>
          <w:p w14:paraId="44EF2DE6" w14:textId="77777777" w:rsidR="00B15CDD" w:rsidRPr="00981460" w:rsidRDefault="00B15CDD" w:rsidP="00A660AD">
            <w:pPr>
              <w:rPr>
                <w:rFonts w:ascii="Arial" w:hAnsi="Arial" w:cs="Arial"/>
                <w:color w:val="000000"/>
              </w:rPr>
            </w:pPr>
            <w:r w:rsidRPr="00981460">
              <w:rPr>
                <w:rFonts w:ascii="Arial" w:hAnsi="Arial" w:cs="Arial"/>
                <w:color w:val="000000"/>
              </w:rPr>
              <w:t>Unison - Susan Parkin</w:t>
            </w:r>
          </w:p>
        </w:tc>
      </w:tr>
      <w:tr w:rsidR="00B15CDD" w:rsidRPr="00601B12" w14:paraId="4094BFA1" w14:textId="77777777" w:rsidTr="00A660AD">
        <w:trPr>
          <w:trHeight w:val="276"/>
        </w:trPr>
        <w:tc>
          <w:tcPr>
            <w:tcW w:w="3115" w:type="dxa"/>
            <w:tcBorders>
              <w:top w:val="nil"/>
              <w:left w:val="nil"/>
              <w:bottom w:val="nil"/>
              <w:right w:val="nil"/>
            </w:tcBorders>
            <w:shd w:val="clear" w:color="auto" w:fill="auto"/>
            <w:noWrap/>
            <w:vAlign w:val="center"/>
            <w:hideMark/>
          </w:tcPr>
          <w:p w14:paraId="461F6FD7" w14:textId="77777777" w:rsidR="00B15CDD" w:rsidRPr="00066031" w:rsidRDefault="00B15CDD" w:rsidP="00A660AD">
            <w:pPr>
              <w:rPr>
                <w:rFonts w:ascii="Arial" w:hAnsi="Arial" w:cs="Arial"/>
                <w:b/>
                <w:color w:val="000000"/>
              </w:rPr>
            </w:pPr>
            <w:r w:rsidRPr="00066031">
              <w:rPr>
                <w:rFonts w:ascii="Arial" w:hAnsi="Arial" w:cs="Arial"/>
                <w:b/>
                <w:color w:val="000000"/>
                <w:sz w:val="22"/>
                <w:szCs w:val="22"/>
              </w:rPr>
              <w:t xml:space="preserve">Employer Representative: </w:t>
            </w:r>
          </w:p>
        </w:tc>
        <w:tc>
          <w:tcPr>
            <w:tcW w:w="4998" w:type="dxa"/>
            <w:tcBorders>
              <w:top w:val="nil"/>
              <w:left w:val="nil"/>
              <w:bottom w:val="nil"/>
              <w:right w:val="nil"/>
            </w:tcBorders>
            <w:shd w:val="clear" w:color="auto" w:fill="auto"/>
            <w:noWrap/>
            <w:vAlign w:val="center"/>
            <w:hideMark/>
          </w:tcPr>
          <w:p w14:paraId="3F126AB7" w14:textId="77777777" w:rsidR="00B15CDD" w:rsidRPr="00981460" w:rsidRDefault="00B15CDD" w:rsidP="00A660AD">
            <w:pPr>
              <w:rPr>
                <w:rFonts w:ascii="Arial" w:hAnsi="Arial" w:cs="Arial"/>
                <w:color w:val="000000"/>
              </w:rPr>
            </w:pPr>
            <w:r w:rsidRPr="00981460">
              <w:rPr>
                <w:rFonts w:ascii="Arial" w:hAnsi="Arial" w:cs="Arial"/>
                <w:color w:val="000000"/>
              </w:rPr>
              <w:t xml:space="preserve">UEL – </w:t>
            </w:r>
            <w:r>
              <w:rPr>
                <w:rFonts w:ascii="Arial" w:hAnsi="Arial" w:cs="Arial"/>
                <w:color w:val="000000"/>
              </w:rPr>
              <w:t>Dean Curtis</w:t>
            </w:r>
          </w:p>
        </w:tc>
      </w:tr>
    </w:tbl>
    <w:p w14:paraId="25885277" w14:textId="77777777" w:rsidR="00B15CDD" w:rsidRPr="00601B12" w:rsidRDefault="00B15CDD" w:rsidP="00B15CDD">
      <w:pPr>
        <w:pStyle w:val="BodyTextGrey"/>
        <w:spacing w:after="0" w:line="240" w:lineRule="auto"/>
        <w:rPr>
          <w:color w:val="auto"/>
          <w:sz w:val="24"/>
          <w:szCs w:val="24"/>
        </w:rPr>
      </w:pPr>
    </w:p>
    <w:p w14:paraId="79D063F0"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In preparing the ISS the Committee has consulted with the administrating authority and other principal employers within the Fund and has taken and considered proper written advice from </w:t>
      </w:r>
      <w:r>
        <w:rPr>
          <w:color w:val="auto"/>
          <w:sz w:val="24"/>
          <w:szCs w:val="24"/>
        </w:rPr>
        <w:t>Hymans Robertson</w:t>
      </w:r>
      <w:r w:rsidRPr="00601B12">
        <w:rPr>
          <w:color w:val="auto"/>
          <w:sz w:val="24"/>
          <w:szCs w:val="24"/>
        </w:rPr>
        <w:t xml:space="preserve"> and John Raisin Financial Services Limited.</w:t>
      </w:r>
    </w:p>
    <w:p w14:paraId="4A96DDAE" w14:textId="77777777" w:rsidR="00B15CDD" w:rsidRPr="00601B12" w:rsidRDefault="00B15CDD" w:rsidP="00B15CDD">
      <w:pPr>
        <w:pStyle w:val="BodyTextGrey"/>
        <w:spacing w:after="0" w:line="240" w:lineRule="auto"/>
        <w:jc w:val="both"/>
        <w:rPr>
          <w:color w:val="auto"/>
          <w:sz w:val="24"/>
          <w:szCs w:val="24"/>
        </w:rPr>
      </w:pPr>
    </w:p>
    <w:p w14:paraId="18C340D8"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In Appendix A, the Committee has set out details of the extent to which the Fund complies with the six principles set out in the Chartered Institute of Public Finance and Accountancy’s (CIPFA) publication, ‘Investment Decision Making and Disclosure in the Local Government Pension Scheme 2012 – a guide to the application of the 2008 </w:t>
      </w:r>
      <w:proofErr w:type="spellStart"/>
      <w:r w:rsidRPr="00601B12">
        <w:rPr>
          <w:color w:val="auto"/>
          <w:sz w:val="24"/>
          <w:szCs w:val="24"/>
        </w:rPr>
        <w:t>Myners</w:t>
      </w:r>
      <w:proofErr w:type="spellEnd"/>
      <w:r w:rsidRPr="00601B12">
        <w:rPr>
          <w:color w:val="auto"/>
          <w:sz w:val="24"/>
          <w:szCs w:val="24"/>
        </w:rPr>
        <w:t xml:space="preserve"> Principles to the management of LGPS </w:t>
      </w:r>
      <w:proofErr w:type="gramStart"/>
      <w:r w:rsidRPr="00601B12">
        <w:rPr>
          <w:color w:val="auto"/>
          <w:sz w:val="24"/>
          <w:szCs w:val="24"/>
        </w:rPr>
        <w:t>funds’</w:t>
      </w:r>
      <w:proofErr w:type="gramEnd"/>
      <w:r w:rsidRPr="00601B12">
        <w:rPr>
          <w:color w:val="auto"/>
          <w:sz w:val="24"/>
          <w:szCs w:val="24"/>
        </w:rPr>
        <w:t>.</w:t>
      </w:r>
    </w:p>
    <w:p w14:paraId="159B4FC6" w14:textId="77777777" w:rsidR="00B15CDD" w:rsidRPr="00601B12" w:rsidRDefault="00B15CDD" w:rsidP="00B15CDD">
      <w:pPr>
        <w:pStyle w:val="BodyTextGrey"/>
        <w:spacing w:after="0" w:line="240" w:lineRule="auto"/>
        <w:jc w:val="both"/>
        <w:rPr>
          <w:color w:val="auto"/>
          <w:sz w:val="24"/>
          <w:szCs w:val="24"/>
        </w:rPr>
      </w:pPr>
    </w:p>
    <w:p w14:paraId="02502657"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Although under the LGPS Investment Regulations 2016 an Administering Authority is no longer required to report the extent of their compliance against the </w:t>
      </w:r>
      <w:proofErr w:type="spellStart"/>
      <w:r w:rsidRPr="00601B12">
        <w:rPr>
          <w:color w:val="auto"/>
          <w:sz w:val="24"/>
          <w:szCs w:val="24"/>
        </w:rPr>
        <w:t>Myners</w:t>
      </w:r>
      <w:proofErr w:type="spellEnd"/>
      <w:r w:rsidRPr="00601B12">
        <w:rPr>
          <w:color w:val="auto"/>
          <w:sz w:val="24"/>
          <w:szCs w:val="24"/>
        </w:rPr>
        <w:t xml:space="preserve"> Principles, the London Borough of Barking and Dagenham has decided to continue to report this, as an appendix to the ISS, as it considers this to be both good governance practice and an element of good investment practice.</w:t>
      </w:r>
    </w:p>
    <w:p w14:paraId="57DB8F0D" w14:textId="77777777" w:rsidR="00B15CDD" w:rsidRPr="00601B12" w:rsidRDefault="00B15CDD" w:rsidP="00B15CDD">
      <w:pPr>
        <w:pStyle w:val="BodyTextGrey"/>
        <w:spacing w:after="0" w:line="240" w:lineRule="auto"/>
        <w:jc w:val="both"/>
        <w:rPr>
          <w:color w:val="auto"/>
          <w:sz w:val="24"/>
          <w:szCs w:val="24"/>
        </w:rPr>
      </w:pPr>
    </w:p>
    <w:p w14:paraId="1D0BCF74" w14:textId="77777777" w:rsidR="00B15CDD" w:rsidRPr="00601B12" w:rsidRDefault="00B15CDD" w:rsidP="00B15CDD">
      <w:pPr>
        <w:pStyle w:val="BodyTextGrey"/>
        <w:spacing w:after="0" w:line="240" w:lineRule="auto"/>
        <w:jc w:val="both"/>
        <w:rPr>
          <w:color w:val="auto"/>
          <w:sz w:val="24"/>
          <w:szCs w:val="24"/>
        </w:rPr>
      </w:pPr>
    </w:p>
    <w:p w14:paraId="69224491" w14:textId="77777777" w:rsidR="00B15CDD" w:rsidRDefault="00B15CDD" w:rsidP="00B15CDD">
      <w:pPr>
        <w:pStyle w:val="Heading2"/>
        <w:numPr>
          <w:ilvl w:val="0"/>
          <w:numId w:val="0"/>
        </w:numPr>
        <w:ind w:left="360"/>
        <w:jc w:val="both"/>
        <w:rPr>
          <w:rFonts w:ascii="Arial" w:hAnsi="Arial" w:cs="Arial"/>
          <w:szCs w:val="24"/>
        </w:rPr>
      </w:pPr>
    </w:p>
    <w:p w14:paraId="62AD6E0D" w14:textId="77777777" w:rsidR="00B15CDD" w:rsidRPr="00E35F96" w:rsidRDefault="00B15CDD" w:rsidP="00B15CDD"/>
    <w:p w14:paraId="3263E0D5"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 xml:space="preserve">Fund Objective </w:t>
      </w:r>
    </w:p>
    <w:p w14:paraId="3CB52BBD" w14:textId="77777777" w:rsidR="00B15CDD" w:rsidRPr="00601B12" w:rsidRDefault="00B15CDD" w:rsidP="00B15CDD">
      <w:pPr>
        <w:pStyle w:val="BodyTextGrey"/>
        <w:spacing w:after="0" w:line="240" w:lineRule="auto"/>
        <w:jc w:val="both"/>
        <w:rPr>
          <w:color w:val="auto"/>
          <w:sz w:val="24"/>
          <w:szCs w:val="24"/>
        </w:rPr>
      </w:pPr>
    </w:p>
    <w:p w14:paraId="0D5BBBC5"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primary objective of the Fund is to provide pension and lump sum benefits for members on their retirement and/or benefits on death, before or after retirement, for their dependents, on a defined benefits basis. </w:t>
      </w:r>
    </w:p>
    <w:p w14:paraId="133F1A55" w14:textId="77777777" w:rsidR="00B15CDD" w:rsidRPr="00601B12" w:rsidRDefault="00B15CDD" w:rsidP="00B15CDD">
      <w:pPr>
        <w:pStyle w:val="BodyTextGrey"/>
        <w:spacing w:after="0" w:line="240" w:lineRule="auto"/>
        <w:jc w:val="both"/>
        <w:rPr>
          <w:b/>
          <w:color w:val="auto"/>
          <w:sz w:val="24"/>
          <w:szCs w:val="24"/>
        </w:rPr>
      </w:pPr>
    </w:p>
    <w:p w14:paraId="76E1F755"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The Committee aims to fund the Fund in such a manner that, in normal market conditions, all accrued benefits are fully covered by the value of the Fund's assets and that an appropriate level of employer contributions is set to meet the cost of future benefits accruing. For employee members, benefits will be based on service completed but will take account of future salary increases.</w:t>
      </w:r>
    </w:p>
    <w:p w14:paraId="55DA6A85" w14:textId="77777777" w:rsidR="00B15CDD" w:rsidRPr="00601B12" w:rsidRDefault="00B15CDD" w:rsidP="00B15CDD">
      <w:pPr>
        <w:pStyle w:val="BodyTextGrey"/>
        <w:spacing w:after="0" w:line="240" w:lineRule="auto"/>
        <w:jc w:val="both"/>
        <w:rPr>
          <w:color w:val="auto"/>
          <w:sz w:val="24"/>
          <w:szCs w:val="24"/>
        </w:rPr>
      </w:pPr>
    </w:p>
    <w:p w14:paraId="373546DC"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This funding position will be reviewed at each triennial actuarial valuation of the Fund, or more frequently as required. The most recent triennial valuation took place in 201</w:t>
      </w:r>
      <w:r>
        <w:rPr>
          <w:color w:val="auto"/>
          <w:sz w:val="24"/>
          <w:szCs w:val="24"/>
        </w:rPr>
        <w:t>9</w:t>
      </w:r>
      <w:r w:rsidRPr="00601B12">
        <w:rPr>
          <w:color w:val="auto"/>
          <w:sz w:val="24"/>
          <w:szCs w:val="24"/>
        </w:rPr>
        <w:t xml:space="preserve">, with the contribution rates effective from 1 April </w:t>
      </w:r>
      <w:r>
        <w:rPr>
          <w:color w:val="auto"/>
          <w:sz w:val="24"/>
          <w:szCs w:val="24"/>
        </w:rPr>
        <w:t>2020</w:t>
      </w:r>
      <w:r w:rsidRPr="00601B12">
        <w:rPr>
          <w:color w:val="auto"/>
          <w:sz w:val="24"/>
          <w:szCs w:val="24"/>
        </w:rPr>
        <w:t xml:space="preserve">. </w:t>
      </w:r>
    </w:p>
    <w:p w14:paraId="11EC37E6" w14:textId="77777777" w:rsidR="00B15CDD" w:rsidRPr="00601B12" w:rsidRDefault="00B15CDD" w:rsidP="00B15CDD">
      <w:pPr>
        <w:pStyle w:val="BodyTextGrey"/>
        <w:spacing w:after="0" w:line="240" w:lineRule="auto"/>
        <w:jc w:val="both"/>
        <w:rPr>
          <w:b/>
        </w:rPr>
      </w:pPr>
    </w:p>
    <w:p w14:paraId="2E291B18" w14:textId="77777777" w:rsidR="00B15CDD" w:rsidRDefault="00B15CDD" w:rsidP="00B15CDD">
      <w:pPr>
        <w:pStyle w:val="Heading2"/>
        <w:jc w:val="both"/>
        <w:rPr>
          <w:rFonts w:ascii="Arial" w:hAnsi="Arial" w:cs="Arial"/>
          <w:szCs w:val="24"/>
        </w:rPr>
      </w:pPr>
      <w:r>
        <w:rPr>
          <w:rFonts w:ascii="Arial" w:hAnsi="Arial" w:cs="Arial"/>
          <w:szCs w:val="24"/>
        </w:rPr>
        <w:t>Investment Beliefs</w:t>
      </w:r>
    </w:p>
    <w:p w14:paraId="7A012575" w14:textId="77777777" w:rsidR="00B15CDD" w:rsidRDefault="00B15CDD" w:rsidP="00B15CDD">
      <w:pPr>
        <w:rPr>
          <w:lang w:eastAsia="en-US"/>
        </w:rPr>
      </w:pPr>
    </w:p>
    <w:p w14:paraId="1906ED1F" w14:textId="77777777" w:rsidR="00B15CDD" w:rsidRDefault="00B15CDD" w:rsidP="00B15CDD">
      <w:pPr>
        <w:rPr>
          <w:rFonts w:ascii="Arial" w:hAnsi="Arial" w:cs="Arial"/>
          <w:shd w:val="clear" w:color="auto" w:fill="FAF9F8"/>
        </w:rPr>
      </w:pPr>
      <w:r w:rsidRPr="008406CA">
        <w:rPr>
          <w:rFonts w:ascii="Arial" w:hAnsi="Arial" w:cs="Arial"/>
          <w:shd w:val="clear" w:color="auto" w:fill="FAF9F8"/>
        </w:rPr>
        <w:t>Following</w:t>
      </w:r>
      <w:r>
        <w:rPr>
          <w:rFonts w:ascii="Arial" w:hAnsi="Arial" w:cs="Arial"/>
          <w:shd w:val="clear" w:color="auto" w:fill="FAF9F8"/>
        </w:rPr>
        <w:t xml:space="preserve"> </w:t>
      </w:r>
      <w:r w:rsidRPr="008406CA">
        <w:rPr>
          <w:rFonts w:ascii="Arial" w:hAnsi="Arial" w:cs="Arial"/>
          <w:shd w:val="clear" w:color="auto" w:fill="FAF9F8"/>
        </w:rPr>
        <w:t>the</w:t>
      </w:r>
      <w:r>
        <w:rPr>
          <w:rFonts w:ascii="Arial" w:hAnsi="Arial" w:cs="Arial"/>
          <w:shd w:val="clear" w:color="auto" w:fill="FAF9F8"/>
        </w:rPr>
        <w:t xml:space="preserve"> </w:t>
      </w:r>
      <w:r w:rsidRPr="008406CA">
        <w:rPr>
          <w:rFonts w:ascii="Arial" w:hAnsi="Arial" w:cs="Arial"/>
          <w:shd w:val="clear" w:color="auto" w:fill="FAF9F8"/>
        </w:rPr>
        <w:t>session</w:t>
      </w:r>
      <w:r>
        <w:rPr>
          <w:rFonts w:ascii="Arial" w:hAnsi="Arial" w:cs="Arial"/>
          <w:shd w:val="clear" w:color="auto" w:fill="FAF9F8"/>
        </w:rPr>
        <w:t xml:space="preserve"> </w:t>
      </w:r>
      <w:r w:rsidRPr="008406CA">
        <w:rPr>
          <w:rFonts w:ascii="Arial" w:hAnsi="Arial" w:cs="Arial"/>
          <w:shd w:val="clear" w:color="auto" w:fill="FAF9F8"/>
        </w:rPr>
        <w:t>at</w:t>
      </w:r>
      <w:r>
        <w:rPr>
          <w:rFonts w:ascii="Arial" w:hAnsi="Arial" w:cs="Arial"/>
          <w:shd w:val="clear" w:color="auto" w:fill="FAF9F8"/>
        </w:rPr>
        <w:t xml:space="preserve"> </w:t>
      </w:r>
      <w:r w:rsidRPr="008406CA">
        <w:rPr>
          <w:rFonts w:ascii="Arial" w:hAnsi="Arial" w:cs="Arial"/>
          <w:shd w:val="clear" w:color="auto" w:fill="FAF9F8"/>
        </w:rPr>
        <w:t>the</w:t>
      </w:r>
      <w:r>
        <w:rPr>
          <w:rFonts w:ascii="Arial" w:hAnsi="Arial" w:cs="Arial"/>
          <w:shd w:val="clear" w:color="auto" w:fill="FAF9F8"/>
        </w:rPr>
        <w:t xml:space="preserve"> </w:t>
      </w:r>
      <w:r w:rsidRPr="008406CA">
        <w:rPr>
          <w:rFonts w:ascii="Arial" w:hAnsi="Arial" w:cs="Arial"/>
          <w:shd w:val="clear" w:color="auto" w:fill="FAF9F8"/>
        </w:rPr>
        <w:t>10</w:t>
      </w:r>
      <w:r>
        <w:rPr>
          <w:rFonts w:ascii="Arial" w:hAnsi="Arial" w:cs="Arial"/>
          <w:shd w:val="clear" w:color="auto" w:fill="FAF9F8"/>
        </w:rPr>
        <w:t xml:space="preserve"> </w:t>
      </w:r>
      <w:r w:rsidRPr="008406CA">
        <w:rPr>
          <w:rFonts w:ascii="Arial" w:hAnsi="Arial" w:cs="Arial"/>
          <w:shd w:val="clear" w:color="auto" w:fill="FAF9F8"/>
        </w:rPr>
        <w:t>June</w:t>
      </w:r>
      <w:r>
        <w:rPr>
          <w:rFonts w:ascii="Arial" w:hAnsi="Arial" w:cs="Arial"/>
          <w:shd w:val="clear" w:color="auto" w:fill="FAF9F8"/>
        </w:rPr>
        <w:t xml:space="preserve"> </w:t>
      </w:r>
      <w:r w:rsidRPr="008406CA">
        <w:rPr>
          <w:rFonts w:ascii="Arial" w:hAnsi="Arial" w:cs="Arial"/>
          <w:shd w:val="clear" w:color="auto" w:fill="FAF9F8"/>
        </w:rPr>
        <w:t>2020</w:t>
      </w:r>
      <w:r>
        <w:rPr>
          <w:rFonts w:ascii="Arial" w:hAnsi="Arial" w:cs="Arial"/>
          <w:shd w:val="clear" w:color="auto" w:fill="FAF9F8"/>
        </w:rPr>
        <w:t xml:space="preserve"> </w:t>
      </w:r>
      <w:r w:rsidRPr="008406CA">
        <w:rPr>
          <w:rFonts w:ascii="Arial" w:hAnsi="Arial" w:cs="Arial"/>
          <w:shd w:val="clear" w:color="auto" w:fill="FAF9F8"/>
        </w:rPr>
        <w:t>Committee,</w:t>
      </w:r>
      <w:r>
        <w:rPr>
          <w:rFonts w:ascii="Arial" w:hAnsi="Arial" w:cs="Arial"/>
          <w:shd w:val="clear" w:color="auto" w:fill="FAF9F8"/>
        </w:rPr>
        <w:t xml:space="preserve"> </w:t>
      </w:r>
      <w:r w:rsidRPr="008406CA">
        <w:rPr>
          <w:rFonts w:ascii="Arial" w:hAnsi="Arial" w:cs="Arial"/>
          <w:shd w:val="clear" w:color="auto" w:fill="FAF9F8"/>
        </w:rPr>
        <w:t>a</w:t>
      </w:r>
      <w:r>
        <w:rPr>
          <w:rFonts w:ascii="Arial" w:hAnsi="Arial" w:cs="Arial"/>
          <w:shd w:val="clear" w:color="auto" w:fill="FAF9F8"/>
        </w:rPr>
        <w:t xml:space="preserve"> </w:t>
      </w:r>
      <w:r w:rsidRPr="008406CA">
        <w:rPr>
          <w:rFonts w:ascii="Arial" w:hAnsi="Arial" w:cs="Arial"/>
          <w:shd w:val="clear" w:color="auto" w:fill="FAF9F8"/>
        </w:rPr>
        <w:t>draft</w:t>
      </w:r>
      <w:r>
        <w:rPr>
          <w:rFonts w:ascii="Arial" w:hAnsi="Arial" w:cs="Arial"/>
          <w:shd w:val="clear" w:color="auto" w:fill="FAF9F8"/>
        </w:rPr>
        <w:t xml:space="preserve"> </w:t>
      </w:r>
      <w:r w:rsidRPr="008406CA">
        <w:rPr>
          <w:rFonts w:ascii="Arial" w:hAnsi="Arial" w:cs="Arial"/>
          <w:shd w:val="clear" w:color="auto" w:fill="FAF9F8"/>
        </w:rPr>
        <w:t>set</w:t>
      </w:r>
      <w:r>
        <w:rPr>
          <w:rFonts w:ascii="Arial" w:hAnsi="Arial" w:cs="Arial"/>
          <w:shd w:val="clear" w:color="auto" w:fill="FAF9F8"/>
        </w:rPr>
        <w:t xml:space="preserve"> </w:t>
      </w:r>
      <w:r w:rsidRPr="008406CA">
        <w:rPr>
          <w:rFonts w:ascii="Arial" w:hAnsi="Arial" w:cs="Arial"/>
          <w:shd w:val="clear" w:color="auto" w:fill="FAF9F8"/>
        </w:rPr>
        <w:t>of</w:t>
      </w:r>
      <w:r>
        <w:rPr>
          <w:rFonts w:ascii="Arial" w:hAnsi="Arial" w:cs="Arial"/>
          <w:shd w:val="clear" w:color="auto" w:fill="FAF9F8"/>
        </w:rPr>
        <w:t xml:space="preserve"> </w:t>
      </w:r>
      <w:r w:rsidRPr="008406CA">
        <w:rPr>
          <w:rFonts w:ascii="Arial" w:hAnsi="Arial" w:cs="Arial"/>
          <w:shd w:val="clear" w:color="auto" w:fill="FAF9F8"/>
        </w:rPr>
        <w:t>investment</w:t>
      </w:r>
      <w:r>
        <w:rPr>
          <w:rFonts w:ascii="Arial" w:hAnsi="Arial" w:cs="Arial"/>
          <w:shd w:val="clear" w:color="auto" w:fill="FAF9F8"/>
        </w:rPr>
        <w:t xml:space="preserve"> </w:t>
      </w:r>
      <w:r w:rsidRPr="008406CA">
        <w:rPr>
          <w:rFonts w:ascii="Arial" w:hAnsi="Arial" w:cs="Arial"/>
          <w:shd w:val="clear" w:color="auto" w:fill="FAF9F8"/>
        </w:rPr>
        <w:t>beliefs</w:t>
      </w:r>
      <w:r>
        <w:rPr>
          <w:rFonts w:ascii="Arial" w:hAnsi="Arial" w:cs="Arial"/>
          <w:shd w:val="clear" w:color="auto" w:fill="FAF9F8"/>
        </w:rPr>
        <w:t xml:space="preserve"> </w:t>
      </w:r>
      <w:r w:rsidRPr="008406CA">
        <w:rPr>
          <w:rFonts w:ascii="Arial" w:hAnsi="Arial" w:cs="Arial"/>
          <w:shd w:val="clear" w:color="auto" w:fill="FAF9F8"/>
        </w:rPr>
        <w:t>was</w:t>
      </w:r>
      <w:r>
        <w:rPr>
          <w:rFonts w:ascii="Arial" w:hAnsi="Arial" w:cs="Arial"/>
          <w:shd w:val="clear" w:color="auto" w:fill="FAF9F8"/>
        </w:rPr>
        <w:t xml:space="preserve"> </w:t>
      </w:r>
      <w:r w:rsidRPr="008406CA">
        <w:rPr>
          <w:rFonts w:ascii="Arial" w:hAnsi="Arial" w:cs="Arial"/>
          <w:shd w:val="clear" w:color="auto" w:fill="FAF9F8"/>
        </w:rPr>
        <w:t>prepared</w:t>
      </w:r>
      <w:r>
        <w:rPr>
          <w:rFonts w:ascii="Arial" w:hAnsi="Arial" w:cs="Arial"/>
          <w:shd w:val="clear" w:color="auto" w:fill="FAF9F8"/>
        </w:rPr>
        <w:t xml:space="preserve"> </w:t>
      </w:r>
      <w:r w:rsidRPr="008406CA">
        <w:rPr>
          <w:rFonts w:ascii="Arial" w:hAnsi="Arial" w:cs="Arial"/>
          <w:shd w:val="clear" w:color="auto" w:fill="FAF9F8"/>
        </w:rPr>
        <w:t>and</w:t>
      </w:r>
      <w:r>
        <w:rPr>
          <w:rFonts w:ascii="Arial" w:hAnsi="Arial" w:cs="Arial"/>
          <w:shd w:val="clear" w:color="auto" w:fill="FAF9F8"/>
        </w:rPr>
        <w:t xml:space="preserve"> </w:t>
      </w:r>
      <w:r w:rsidRPr="008406CA">
        <w:rPr>
          <w:rFonts w:ascii="Arial" w:hAnsi="Arial" w:cs="Arial"/>
          <w:shd w:val="clear" w:color="auto" w:fill="FAF9F8"/>
        </w:rPr>
        <w:t>discussed</w:t>
      </w:r>
      <w:r>
        <w:rPr>
          <w:rFonts w:ascii="Arial" w:hAnsi="Arial" w:cs="Arial"/>
          <w:shd w:val="clear" w:color="auto" w:fill="FAF9F8"/>
        </w:rPr>
        <w:t xml:space="preserve"> </w:t>
      </w:r>
      <w:r w:rsidRPr="008406CA">
        <w:rPr>
          <w:rFonts w:ascii="Arial" w:hAnsi="Arial" w:cs="Arial"/>
          <w:shd w:val="clear" w:color="auto" w:fill="FAF9F8"/>
        </w:rPr>
        <w:t>at</w:t>
      </w:r>
      <w:r>
        <w:rPr>
          <w:rFonts w:ascii="Arial" w:hAnsi="Arial" w:cs="Arial"/>
          <w:shd w:val="clear" w:color="auto" w:fill="FAF9F8"/>
        </w:rPr>
        <w:t xml:space="preserve"> </w:t>
      </w:r>
      <w:r w:rsidRPr="008406CA">
        <w:rPr>
          <w:rFonts w:ascii="Arial" w:hAnsi="Arial" w:cs="Arial"/>
          <w:shd w:val="clear" w:color="auto" w:fill="FAF9F8"/>
        </w:rPr>
        <w:t>the</w:t>
      </w:r>
      <w:r>
        <w:rPr>
          <w:rFonts w:ascii="Arial" w:hAnsi="Arial" w:cs="Arial"/>
          <w:shd w:val="clear" w:color="auto" w:fill="FAF9F8"/>
        </w:rPr>
        <w:t xml:space="preserve"> </w:t>
      </w:r>
      <w:r w:rsidRPr="008406CA">
        <w:rPr>
          <w:rFonts w:ascii="Arial" w:hAnsi="Arial" w:cs="Arial"/>
          <w:shd w:val="clear" w:color="auto" w:fill="FAF9F8"/>
        </w:rPr>
        <w:t>September</w:t>
      </w:r>
      <w:r>
        <w:rPr>
          <w:rFonts w:ascii="Arial" w:hAnsi="Arial" w:cs="Arial"/>
          <w:shd w:val="clear" w:color="auto" w:fill="FAF9F8"/>
        </w:rPr>
        <w:t xml:space="preserve"> 2020 </w:t>
      </w:r>
      <w:r w:rsidRPr="008406CA">
        <w:rPr>
          <w:rFonts w:ascii="Arial" w:hAnsi="Arial" w:cs="Arial"/>
          <w:shd w:val="clear" w:color="auto" w:fill="FAF9F8"/>
        </w:rPr>
        <w:t>Committee</w:t>
      </w:r>
      <w:r>
        <w:rPr>
          <w:rFonts w:ascii="Arial" w:hAnsi="Arial" w:cs="Arial"/>
          <w:shd w:val="clear" w:color="auto" w:fill="FAF9F8"/>
        </w:rPr>
        <w:t xml:space="preserve"> </w:t>
      </w:r>
      <w:r w:rsidRPr="008406CA">
        <w:rPr>
          <w:rFonts w:ascii="Arial" w:hAnsi="Arial" w:cs="Arial"/>
          <w:shd w:val="clear" w:color="auto" w:fill="FAF9F8"/>
        </w:rPr>
        <w:t>meeting.</w:t>
      </w:r>
      <w:r>
        <w:rPr>
          <w:rFonts w:ascii="Arial" w:hAnsi="Arial" w:cs="Arial"/>
          <w:shd w:val="clear" w:color="auto" w:fill="FAF9F8"/>
        </w:rPr>
        <w:t xml:space="preserve"> These </w:t>
      </w:r>
      <w:r w:rsidRPr="00C41DB7">
        <w:rPr>
          <w:rFonts w:ascii="Arial" w:hAnsi="Arial" w:cs="Arial"/>
          <w:shd w:val="clear" w:color="auto" w:fill="FAF9F8"/>
        </w:rPr>
        <w:t>beliefs underpin the ISS and</w:t>
      </w:r>
      <w:r>
        <w:rPr>
          <w:rFonts w:ascii="Arial" w:hAnsi="Arial" w:cs="Arial"/>
          <w:shd w:val="clear" w:color="auto" w:fill="FAF9F8"/>
        </w:rPr>
        <w:t xml:space="preserve"> </w:t>
      </w:r>
      <w:r w:rsidRPr="00C41DB7">
        <w:rPr>
          <w:rFonts w:ascii="Arial" w:hAnsi="Arial" w:cs="Arial"/>
          <w:shd w:val="clear" w:color="auto" w:fill="FAF9F8"/>
        </w:rPr>
        <w:t>cover:</w:t>
      </w:r>
    </w:p>
    <w:p w14:paraId="39C37C3A" w14:textId="77777777" w:rsidR="00B15CDD" w:rsidRDefault="00B15CDD" w:rsidP="00B15CDD">
      <w:pPr>
        <w:rPr>
          <w:rFonts w:ascii="Arial" w:hAnsi="Arial" w:cs="Arial"/>
          <w:shd w:val="clear" w:color="auto" w:fill="FAF9F8"/>
        </w:rPr>
      </w:pPr>
    </w:p>
    <w:p w14:paraId="1B819F3B" w14:textId="77777777" w:rsidR="00B15CDD" w:rsidRDefault="00B15CDD" w:rsidP="007337FE">
      <w:pPr>
        <w:pStyle w:val="ListParagraph"/>
        <w:numPr>
          <w:ilvl w:val="0"/>
          <w:numId w:val="100"/>
        </w:numPr>
        <w:rPr>
          <w:rFonts w:ascii="Arial" w:hAnsi="Arial" w:cs="Arial"/>
          <w:sz w:val="24"/>
          <w:szCs w:val="24"/>
          <w:shd w:val="clear" w:color="auto" w:fill="FAF9F8"/>
        </w:rPr>
      </w:pPr>
      <w:r w:rsidRPr="0051023F">
        <w:rPr>
          <w:rFonts w:ascii="Arial" w:hAnsi="Arial" w:cs="Arial"/>
          <w:sz w:val="24"/>
          <w:szCs w:val="24"/>
          <w:shd w:val="clear" w:color="auto" w:fill="FAF9F8"/>
        </w:rPr>
        <w:t>The long-term objective of achieving contribution stability for the Fund should be key in determining the level of investment risk.</w:t>
      </w:r>
    </w:p>
    <w:p w14:paraId="56C64BF6" w14:textId="77777777" w:rsidR="00B15CDD" w:rsidRDefault="00B15CDD" w:rsidP="007337FE">
      <w:pPr>
        <w:pStyle w:val="ListParagraph"/>
        <w:numPr>
          <w:ilvl w:val="0"/>
          <w:numId w:val="100"/>
        </w:numPr>
        <w:rPr>
          <w:rFonts w:ascii="Arial" w:hAnsi="Arial" w:cs="Arial"/>
          <w:sz w:val="24"/>
          <w:szCs w:val="24"/>
          <w:shd w:val="clear" w:color="auto" w:fill="FAF9F8"/>
        </w:rPr>
      </w:pPr>
      <w:r w:rsidRPr="0051023F">
        <w:rPr>
          <w:rFonts w:ascii="Arial" w:hAnsi="Arial" w:cs="Arial"/>
          <w:sz w:val="24"/>
          <w:szCs w:val="24"/>
          <w:shd w:val="clear" w:color="auto" w:fill="FAF9F8"/>
        </w:rPr>
        <w:t>The Fund should take no more investment risk than is necessary to have a reasonable chance of achieving its objectives.</w:t>
      </w:r>
    </w:p>
    <w:p w14:paraId="105CF8AF" w14:textId="77777777" w:rsidR="00B15CDD" w:rsidRDefault="00B15CDD" w:rsidP="007337FE">
      <w:pPr>
        <w:pStyle w:val="ListParagraph"/>
        <w:numPr>
          <w:ilvl w:val="0"/>
          <w:numId w:val="100"/>
        </w:numPr>
        <w:rPr>
          <w:rFonts w:ascii="Arial" w:hAnsi="Arial" w:cs="Arial"/>
          <w:sz w:val="24"/>
          <w:szCs w:val="24"/>
          <w:shd w:val="clear" w:color="auto" w:fill="FAF9F8"/>
        </w:rPr>
      </w:pPr>
      <w:r w:rsidRPr="0051023F">
        <w:rPr>
          <w:rFonts w:ascii="Arial" w:hAnsi="Arial" w:cs="Arial"/>
          <w:sz w:val="24"/>
          <w:szCs w:val="24"/>
          <w:shd w:val="clear" w:color="auto" w:fill="FAF9F8"/>
        </w:rPr>
        <w:t>Being a long-term investor provides opportunities for enhancing returns through riskier asset classes such as equities.</w:t>
      </w:r>
    </w:p>
    <w:p w14:paraId="59BCFCA8" w14:textId="77777777" w:rsidR="00B15CDD" w:rsidRDefault="00B15CDD" w:rsidP="007337FE">
      <w:pPr>
        <w:pStyle w:val="ListParagraph"/>
        <w:numPr>
          <w:ilvl w:val="0"/>
          <w:numId w:val="100"/>
        </w:numPr>
        <w:rPr>
          <w:rFonts w:ascii="Arial" w:hAnsi="Arial" w:cs="Arial"/>
          <w:sz w:val="24"/>
          <w:szCs w:val="24"/>
          <w:shd w:val="clear" w:color="auto" w:fill="FAF9F8"/>
        </w:rPr>
      </w:pPr>
      <w:r w:rsidRPr="0051023F">
        <w:rPr>
          <w:rFonts w:ascii="Arial" w:hAnsi="Arial" w:cs="Arial"/>
          <w:sz w:val="24"/>
          <w:szCs w:val="24"/>
          <w:shd w:val="clear" w:color="auto" w:fill="FAF9F8"/>
        </w:rPr>
        <w:t>Alternative asset classes (including income-oriented assets) can, to a point, add diversification to the Fund’s investment strategy and should ensure equities alone do not dominate the overall level of risk and return.</w:t>
      </w:r>
    </w:p>
    <w:p w14:paraId="4235A3E1" w14:textId="77777777" w:rsidR="00B15CDD" w:rsidRDefault="00B15CDD" w:rsidP="007337FE">
      <w:pPr>
        <w:pStyle w:val="ListParagraph"/>
        <w:numPr>
          <w:ilvl w:val="0"/>
          <w:numId w:val="100"/>
        </w:numPr>
        <w:rPr>
          <w:rFonts w:ascii="Arial" w:hAnsi="Arial" w:cs="Arial"/>
          <w:sz w:val="24"/>
          <w:szCs w:val="24"/>
          <w:shd w:val="clear" w:color="auto" w:fill="FAF9F8"/>
        </w:rPr>
      </w:pPr>
      <w:r w:rsidRPr="0051023F">
        <w:rPr>
          <w:rFonts w:ascii="Arial" w:hAnsi="Arial" w:cs="Arial"/>
          <w:sz w:val="24"/>
          <w:szCs w:val="24"/>
          <w:shd w:val="clear" w:color="auto" w:fill="FAF9F8"/>
        </w:rPr>
        <w:t>Investment in illiquid assets is acceptable to achieve long-term returns for the Fund, however, the overall level of illiquid assets should be carefully monitored and managed.</w:t>
      </w:r>
    </w:p>
    <w:p w14:paraId="1EDCC954" w14:textId="77777777" w:rsidR="00B15CDD" w:rsidRDefault="00B15CDD" w:rsidP="007337FE">
      <w:pPr>
        <w:pStyle w:val="ListParagraph"/>
        <w:numPr>
          <w:ilvl w:val="0"/>
          <w:numId w:val="100"/>
        </w:numPr>
        <w:rPr>
          <w:rFonts w:ascii="Arial" w:hAnsi="Arial" w:cs="Arial"/>
          <w:sz w:val="24"/>
          <w:szCs w:val="24"/>
          <w:shd w:val="clear" w:color="auto" w:fill="FAF9F8"/>
        </w:rPr>
      </w:pPr>
      <w:r w:rsidRPr="0051023F">
        <w:rPr>
          <w:rFonts w:ascii="Arial" w:hAnsi="Arial" w:cs="Arial"/>
          <w:sz w:val="24"/>
          <w:szCs w:val="24"/>
          <w:shd w:val="clear" w:color="auto" w:fill="FAF9F8"/>
        </w:rPr>
        <w:t xml:space="preserve">Diversification within an asset class is as important as diversification across assets. </w:t>
      </w:r>
    </w:p>
    <w:p w14:paraId="17246626" w14:textId="77777777" w:rsidR="00B15CDD" w:rsidRPr="0051023F" w:rsidRDefault="00B15CDD" w:rsidP="007337FE">
      <w:pPr>
        <w:pStyle w:val="ListParagraph"/>
        <w:numPr>
          <w:ilvl w:val="0"/>
          <w:numId w:val="100"/>
        </w:numPr>
        <w:rPr>
          <w:rFonts w:ascii="Arial" w:hAnsi="Arial" w:cs="Arial"/>
          <w:sz w:val="24"/>
          <w:szCs w:val="24"/>
          <w:shd w:val="clear" w:color="auto" w:fill="FAF9F8"/>
        </w:rPr>
      </w:pPr>
      <w:r w:rsidRPr="0051023F">
        <w:rPr>
          <w:rFonts w:ascii="Arial" w:hAnsi="Arial" w:cs="Arial"/>
          <w:sz w:val="24"/>
          <w:szCs w:val="24"/>
          <w:shd w:val="clear" w:color="auto" w:fill="FAF9F8"/>
        </w:rPr>
        <w:t xml:space="preserve">Companies that demonstrate better </w:t>
      </w:r>
      <w:r>
        <w:rPr>
          <w:rFonts w:ascii="Arial" w:hAnsi="Arial" w:cs="Arial"/>
          <w:sz w:val="24"/>
          <w:szCs w:val="24"/>
          <w:shd w:val="clear" w:color="auto" w:fill="FAF9F8"/>
        </w:rPr>
        <w:t>SEE</w:t>
      </w:r>
      <w:r w:rsidRPr="0051023F">
        <w:rPr>
          <w:rFonts w:ascii="Arial" w:hAnsi="Arial" w:cs="Arial"/>
          <w:sz w:val="24"/>
          <w:szCs w:val="24"/>
          <w:shd w:val="clear" w:color="auto" w:fill="FAF9F8"/>
        </w:rPr>
        <w:t xml:space="preserve"> characteristics are expected to outperform other companies, over the long term.</w:t>
      </w:r>
    </w:p>
    <w:p w14:paraId="6A6F6FFB"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 xml:space="preserve">Investment Strategy </w:t>
      </w:r>
    </w:p>
    <w:p w14:paraId="5027E885" w14:textId="77777777" w:rsidR="00B15CDD" w:rsidRPr="00E35F96" w:rsidRDefault="00B15CDD" w:rsidP="00B15CDD">
      <w:pPr>
        <w:rPr>
          <w:rFonts w:ascii="Arial" w:hAnsi="Arial" w:cs="Arial"/>
        </w:rPr>
      </w:pPr>
    </w:p>
    <w:p w14:paraId="26100538"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The Committee has translated its objectives into a suitable strategic asset allocation benchmark for the Fund (Appendix B). Within the strategic benchmark the investment structure adopted by the Committee comprises a mix of segregated and pooled manager mandates, including actively managed and passive mandates. The Fund benchmark is consistent with the Committee’s views on the appropriate balance between generating a satisfactory long-term return on investments whilst taking account of market volatility and risk and the nature of the Fund’s liabilities. All day-to-day investment decisions have been delegated to the Fund’s authorised investment managers.</w:t>
      </w:r>
    </w:p>
    <w:p w14:paraId="4FA4F316" w14:textId="77777777" w:rsidR="00B15CDD" w:rsidRPr="00601B12" w:rsidRDefault="00B15CDD" w:rsidP="00B15CDD">
      <w:pPr>
        <w:pStyle w:val="BodyTextGrey"/>
        <w:spacing w:after="0" w:line="240" w:lineRule="auto"/>
        <w:jc w:val="both"/>
        <w:rPr>
          <w:color w:val="auto"/>
          <w:sz w:val="24"/>
          <w:szCs w:val="24"/>
        </w:rPr>
      </w:pPr>
    </w:p>
    <w:p w14:paraId="060E603F"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Committee monitors investment strategy relative to the agreed asset allocation benchmark. The investment strategy will be reviewed at least every three years following actuarial valuations of the Fund.  </w:t>
      </w:r>
    </w:p>
    <w:p w14:paraId="708F0EC6" w14:textId="77777777" w:rsidR="00B15CDD" w:rsidRPr="00601B12" w:rsidRDefault="00B15CDD" w:rsidP="00B15CDD">
      <w:pPr>
        <w:pStyle w:val="BodyTextGrey"/>
        <w:spacing w:after="0" w:line="240" w:lineRule="auto"/>
        <w:jc w:val="both"/>
        <w:rPr>
          <w:color w:val="auto"/>
          <w:sz w:val="24"/>
          <w:szCs w:val="24"/>
        </w:rPr>
      </w:pPr>
    </w:p>
    <w:p w14:paraId="3B36C37B"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 xml:space="preserve">Pooling Investments </w:t>
      </w:r>
      <w:r w:rsidRPr="00601B12">
        <w:rPr>
          <w:rFonts w:ascii="Arial" w:hAnsi="Arial" w:cs="Arial"/>
          <w:b w:val="0"/>
          <w:szCs w:val="24"/>
        </w:rPr>
        <w:t>(</w:t>
      </w:r>
      <w:r w:rsidRPr="00601B12">
        <w:rPr>
          <w:rFonts w:ascii="Arial" w:hAnsi="Arial" w:cs="Arial"/>
          <w:b w:val="0"/>
          <w:bCs/>
          <w:szCs w:val="24"/>
        </w:rPr>
        <w:t>Regulation 7(2)(d) - The approach to pooling investments, including the use of collective investment vehicles and shared services).</w:t>
      </w:r>
    </w:p>
    <w:p w14:paraId="3EF621C5" w14:textId="77777777" w:rsidR="00B15CDD" w:rsidRPr="00601B12" w:rsidRDefault="00B15CDD" w:rsidP="00B15CDD">
      <w:pPr>
        <w:rPr>
          <w:rFonts w:ascii="Arial" w:hAnsi="Arial" w:cs="Arial"/>
          <w:lang w:eastAsia="en-US"/>
        </w:rPr>
      </w:pPr>
    </w:p>
    <w:p w14:paraId="037A657A" w14:textId="77777777" w:rsidR="00B15CDD" w:rsidRPr="00601B12" w:rsidRDefault="00B15CDD" w:rsidP="00B15CDD">
      <w:pPr>
        <w:jc w:val="both"/>
        <w:rPr>
          <w:rFonts w:ascii="Arial" w:hAnsi="Arial" w:cs="Arial"/>
          <w:lang w:eastAsia="en-US"/>
        </w:rPr>
      </w:pPr>
      <w:r w:rsidRPr="00601B12">
        <w:rPr>
          <w:rFonts w:ascii="Arial" w:hAnsi="Arial" w:cs="Arial"/>
          <w:bCs/>
        </w:rPr>
        <w:t>The Fund has formally agreed to join the London Collective Investment Vehicle (LCIV) as part of the Government’s pooling agenda.</w:t>
      </w:r>
      <w:r w:rsidRPr="00601B12">
        <w:rPr>
          <w:rFonts w:ascii="Arial" w:hAnsi="Arial" w:cs="Arial"/>
          <w:lang w:eastAsia="en-US"/>
        </w:rPr>
        <w:t xml:space="preserve"> The LCIV is fully authorised by the FCA as an Alternative Investment Fund Manager (“AIFM”) with permission to operate a UK based Authorised Contractual Scheme fund (the “ACS Fund”). The ACS Fund, which is tax transparent in the context of international tax treaties, will be structured as an umbrella fund with a range of sub-funds providing access, over time, to the full range of asset classes that the boroughs require to implement their investment strategies.</w:t>
      </w:r>
    </w:p>
    <w:p w14:paraId="0993A3CF" w14:textId="77777777" w:rsidR="00B15CDD" w:rsidRPr="00601B12" w:rsidRDefault="00B15CDD" w:rsidP="00B15CDD">
      <w:pPr>
        <w:jc w:val="both"/>
        <w:rPr>
          <w:rFonts w:ascii="Arial" w:hAnsi="Arial" w:cs="Arial"/>
          <w:lang w:eastAsia="en-US"/>
        </w:rPr>
      </w:pPr>
    </w:p>
    <w:p w14:paraId="7FFFEF4C" w14:textId="77777777" w:rsidR="00B15CDD" w:rsidRPr="00601B12" w:rsidRDefault="00B15CDD" w:rsidP="00B15CDD">
      <w:pPr>
        <w:jc w:val="both"/>
        <w:rPr>
          <w:rFonts w:ascii="Arial" w:hAnsi="Arial" w:cs="Arial"/>
          <w:lang w:eastAsia="en-US"/>
        </w:rPr>
      </w:pPr>
      <w:r w:rsidRPr="00601B12">
        <w:rPr>
          <w:rFonts w:ascii="Arial" w:hAnsi="Arial" w:cs="Arial"/>
          <w:lang w:eastAsia="en-US"/>
        </w:rPr>
        <w:t>For all future investments, where there is a suitable asset class provided, the Fund will seek to utilise the LCIV. Unless prohibited by Regulation or Statutory Guidance where the asset class is not available via the LCIV and it is not appropriate to access it via a passive allocation, the Fund will seek clarification from DCLG as to whether the Fund can tender for a suitable manager.</w:t>
      </w:r>
    </w:p>
    <w:p w14:paraId="188C322B" w14:textId="77777777" w:rsidR="00B15CDD" w:rsidRPr="00601B12" w:rsidRDefault="00B15CDD" w:rsidP="00B15CDD">
      <w:pPr>
        <w:jc w:val="both"/>
        <w:rPr>
          <w:rFonts w:ascii="Arial" w:hAnsi="Arial" w:cs="Arial"/>
          <w:lang w:eastAsia="en-US"/>
        </w:rPr>
      </w:pPr>
    </w:p>
    <w:p w14:paraId="556D6354" w14:textId="77777777" w:rsidR="00B15CDD" w:rsidRPr="00601B12" w:rsidRDefault="00B15CDD" w:rsidP="00B15CDD">
      <w:pPr>
        <w:jc w:val="both"/>
        <w:rPr>
          <w:rFonts w:ascii="Arial" w:hAnsi="Arial" w:cs="Arial"/>
          <w:u w:val="single"/>
          <w:lang w:eastAsia="en-US"/>
        </w:rPr>
      </w:pPr>
      <w:r w:rsidRPr="00601B12">
        <w:rPr>
          <w:rFonts w:ascii="Arial" w:hAnsi="Arial" w:cs="Arial"/>
          <w:u w:val="single"/>
          <w:lang w:eastAsia="en-US"/>
        </w:rPr>
        <w:t>Current LCIV allocations</w:t>
      </w:r>
    </w:p>
    <w:p w14:paraId="608860D6" w14:textId="77777777" w:rsidR="00B15CDD" w:rsidRPr="00601B12" w:rsidRDefault="00B15CDD" w:rsidP="00B15CDD">
      <w:pPr>
        <w:jc w:val="both"/>
        <w:rPr>
          <w:rFonts w:ascii="Arial" w:hAnsi="Arial" w:cs="Arial"/>
          <w:u w:val="single"/>
          <w:lang w:eastAsia="en-US"/>
        </w:rPr>
      </w:pPr>
    </w:p>
    <w:p w14:paraId="6AF7CAFB" w14:textId="77777777" w:rsidR="00B15CDD" w:rsidRPr="00601B12" w:rsidRDefault="00B15CDD" w:rsidP="00B15CDD">
      <w:pPr>
        <w:jc w:val="both"/>
        <w:rPr>
          <w:rFonts w:ascii="Arial" w:hAnsi="Arial" w:cs="Arial"/>
          <w:lang w:eastAsia="en-US"/>
        </w:rPr>
      </w:pPr>
      <w:r w:rsidRPr="00601B12">
        <w:rPr>
          <w:rFonts w:ascii="Arial" w:hAnsi="Arial" w:cs="Arial"/>
          <w:lang w:eastAsia="en-US"/>
        </w:rPr>
        <w:t xml:space="preserve">As </w:t>
      </w:r>
      <w:proofErr w:type="gramStart"/>
      <w:r w:rsidRPr="00601B12">
        <w:rPr>
          <w:rFonts w:ascii="Arial" w:hAnsi="Arial" w:cs="Arial"/>
          <w:lang w:eastAsia="en-US"/>
        </w:rPr>
        <w:t>at</w:t>
      </w:r>
      <w:proofErr w:type="gramEnd"/>
      <w:r w:rsidRPr="00601B12">
        <w:rPr>
          <w:rFonts w:ascii="Arial" w:hAnsi="Arial" w:cs="Arial"/>
          <w:lang w:eastAsia="en-US"/>
        </w:rPr>
        <w:t xml:space="preserve"> 31 </w:t>
      </w:r>
      <w:r>
        <w:rPr>
          <w:rFonts w:ascii="Arial" w:hAnsi="Arial" w:cs="Arial"/>
          <w:lang w:eastAsia="en-US"/>
        </w:rPr>
        <w:t>December 2020</w:t>
      </w:r>
      <w:r w:rsidRPr="00601B12">
        <w:rPr>
          <w:rFonts w:ascii="Arial" w:hAnsi="Arial" w:cs="Arial"/>
          <w:lang w:eastAsia="en-US"/>
        </w:rPr>
        <w:t xml:space="preserve"> the Fund had </w:t>
      </w:r>
      <w:r>
        <w:rPr>
          <w:rFonts w:ascii="Arial" w:hAnsi="Arial" w:cs="Arial"/>
          <w:lang w:eastAsia="en-US"/>
        </w:rPr>
        <w:t>41%</w:t>
      </w:r>
      <w:r w:rsidRPr="00601B12">
        <w:rPr>
          <w:rFonts w:ascii="Arial" w:hAnsi="Arial" w:cs="Arial"/>
          <w:lang w:eastAsia="en-US"/>
        </w:rPr>
        <w:t xml:space="preserve"> of its assets invested through the LCIV, including: </w:t>
      </w:r>
    </w:p>
    <w:p w14:paraId="3F32E5D6" w14:textId="77777777" w:rsidR="00B15CDD" w:rsidRPr="00601B12" w:rsidRDefault="00B15CDD" w:rsidP="00B15CDD">
      <w:pPr>
        <w:jc w:val="both"/>
        <w:rPr>
          <w:rFonts w:ascii="Arial" w:hAnsi="Arial" w:cs="Arial"/>
          <w:lang w:eastAsia="en-US"/>
        </w:rPr>
      </w:pPr>
    </w:p>
    <w:p w14:paraId="1EA816E4" w14:textId="77777777" w:rsidR="00B15CDD" w:rsidRPr="00601B12" w:rsidRDefault="00B15CDD" w:rsidP="007337FE">
      <w:pPr>
        <w:pStyle w:val="ListParagraph"/>
        <w:numPr>
          <w:ilvl w:val="0"/>
          <w:numId w:val="83"/>
        </w:numPr>
        <w:jc w:val="both"/>
        <w:rPr>
          <w:rFonts w:ascii="Arial" w:hAnsi="Arial" w:cs="Arial"/>
          <w:sz w:val="24"/>
          <w:szCs w:val="24"/>
        </w:rPr>
      </w:pPr>
      <w:r w:rsidRPr="00601B12">
        <w:rPr>
          <w:rFonts w:ascii="Arial" w:hAnsi="Arial" w:cs="Arial"/>
          <w:sz w:val="24"/>
          <w:szCs w:val="24"/>
        </w:rPr>
        <w:t xml:space="preserve">Two Diversified Growth Managers: Newton, </w:t>
      </w:r>
      <w:proofErr w:type="spellStart"/>
      <w:r w:rsidRPr="00601B12">
        <w:rPr>
          <w:rFonts w:ascii="Arial" w:hAnsi="Arial" w:cs="Arial"/>
          <w:sz w:val="24"/>
          <w:szCs w:val="24"/>
        </w:rPr>
        <w:t>Pyrford</w:t>
      </w:r>
      <w:proofErr w:type="spellEnd"/>
      <w:r w:rsidRPr="00601B12">
        <w:rPr>
          <w:rFonts w:ascii="Arial" w:hAnsi="Arial" w:cs="Arial"/>
          <w:sz w:val="24"/>
          <w:szCs w:val="24"/>
        </w:rPr>
        <w:t xml:space="preserve"> </w:t>
      </w:r>
    </w:p>
    <w:p w14:paraId="3182DBA1" w14:textId="77777777" w:rsidR="00B15CDD" w:rsidRPr="00601B12" w:rsidRDefault="00B15CDD" w:rsidP="007337FE">
      <w:pPr>
        <w:pStyle w:val="ListParagraph"/>
        <w:numPr>
          <w:ilvl w:val="0"/>
          <w:numId w:val="83"/>
        </w:numPr>
        <w:jc w:val="both"/>
        <w:rPr>
          <w:rFonts w:ascii="Arial" w:hAnsi="Arial" w:cs="Arial"/>
          <w:sz w:val="24"/>
          <w:szCs w:val="24"/>
          <w:u w:val="single"/>
        </w:rPr>
      </w:pPr>
      <w:r w:rsidRPr="00601B12">
        <w:rPr>
          <w:rFonts w:ascii="Arial" w:hAnsi="Arial" w:cs="Arial"/>
          <w:sz w:val="24"/>
          <w:szCs w:val="24"/>
        </w:rPr>
        <w:t>One active equity manager: Baillie Gifford.</w:t>
      </w:r>
    </w:p>
    <w:p w14:paraId="04308F2D" w14:textId="77777777" w:rsidR="00B15CDD" w:rsidRPr="00601B12" w:rsidRDefault="00B15CDD" w:rsidP="00B15CDD">
      <w:pPr>
        <w:jc w:val="both"/>
        <w:rPr>
          <w:rFonts w:ascii="Arial" w:hAnsi="Arial" w:cs="Arial"/>
          <w:u w:val="single"/>
          <w:lang w:eastAsia="en-US"/>
        </w:rPr>
      </w:pPr>
      <w:r w:rsidRPr="00601B12">
        <w:rPr>
          <w:rFonts w:ascii="Arial" w:hAnsi="Arial" w:cs="Arial"/>
          <w:u w:val="single"/>
          <w:lang w:eastAsia="en-US"/>
        </w:rPr>
        <w:t>Passive Investments via Life Funds</w:t>
      </w:r>
    </w:p>
    <w:p w14:paraId="55F16319" w14:textId="77777777" w:rsidR="00B15CDD" w:rsidRPr="00601B12" w:rsidRDefault="00B15CDD" w:rsidP="00B15CDD">
      <w:pPr>
        <w:jc w:val="both"/>
        <w:rPr>
          <w:rFonts w:ascii="Arial" w:hAnsi="Arial" w:cs="Arial"/>
          <w:lang w:eastAsia="en-US"/>
        </w:rPr>
      </w:pPr>
    </w:p>
    <w:p w14:paraId="2873A74D" w14:textId="77777777" w:rsidR="00B15CDD" w:rsidRPr="00601B12" w:rsidRDefault="00B15CDD" w:rsidP="00B15CDD">
      <w:pPr>
        <w:jc w:val="both"/>
        <w:rPr>
          <w:rFonts w:ascii="Arial" w:hAnsi="Arial" w:cs="Arial"/>
          <w:lang w:eastAsia="en-US"/>
        </w:rPr>
      </w:pPr>
      <w:r w:rsidRPr="00601B12">
        <w:rPr>
          <w:rFonts w:ascii="Arial" w:hAnsi="Arial" w:cs="Arial"/>
          <w:lang w:eastAsia="en-US"/>
        </w:rPr>
        <w:t>Approximately a fifth of the Fund’s investments are via passively managed Life Funds. LIFE Funds are exempt from being included within the pooling arrangements. This allocation will be reviewed annually.</w:t>
      </w:r>
    </w:p>
    <w:p w14:paraId="77E5FA0E" w14:textId="77777777" w:rsidR="00B15CDD" w:rsidRPr="00601B12" w:rsidRDefault="00B15CDD" w:rsidP="00B15CDD">
      <w:pPr>
        <w:jc w:val="both"/>
        <w:rPr>
          <w:rFonts w:ascii="Arial" w:hAnsi="Arial" w:cs="Arial"/>
          <w:lang w:eastAsia="en-US"/>
        </w:rPr>
      </w:pPr>
    </w:p>
    <w:p w14:paraId="4CB6D70F" w14:textId="77777777" w:rsidR="00B15CDD" w:rsidRPr="00601B12" w:rsidRDefault="00B15CDD" w:rsidP="00B15CDD">
      <w:pPr>
        <w:jc w:val="both"/>
        <w:rPr>
          <w:rFonts w:ascii="Arial" w:hAnsi="Arial" w:cs="Arial"/>
          <w:u w:val="single"/>
          <w:lang w:eastAsia="en-US"/>
        </w:rPr>
      </w:pPr>
      <w:r w:rsidRPr="00601B12">
        <w:rPr>
          <w:rFonts w:ascii="Arial" w:hAnsi="Arial" w:cs="Arial"/>
          <w:u w:val="single"/>
          <w:lang w:eastAsia="en-US"/>
        </w:rPr>
        <w:t>Current Partnerships</w:t>
      </w:r>
    </w:p>
    <w:p w14:paraId="1D652A8D" w14:textId="77777777" w:rsidR="00B15CDD" w:rsidRPr="00601B12" w:rsidRDefault="00B15CDD" w:rsidP="00B15CDD">
      <w:pPr>
        <w:jc w:val="both"/>
        <w:rPr>
          <w:rFonts w:ascii="Arial" w:hAnsi="Arial" w:cs="Arial"/>
          <w:lang w:eastAsia="en-US"/>
        </w:rPr>
      </w:pPr>
    </w:p>
    <w:p w14:paraId="4D1E1D5E" w14:textId="77777777" w:rsidR="00B15CDD" w:rsidRPr="00601B12" w:rsidRDefault="00B15CDD" w:rsidP="00B15CDD">
      <w:pPr>
        <w:jc w:val="both"/>
        <w:rPr>
          <w:rFonts w:ascii="Arial" w:hAnsi="Arial" w:cs="Arial"/>
        </w:rPr>
      </w:pPr>
      <w:r w:rsidRPr="00601B12">
        <w:rPr>
          <w:rFonts w:ascii="Arial" w:hAnsi="Arial" w:cs="Arial"/>
          <w:lang w:eastAsia="en-US"/>
        </w:rPr>
        <w:t>The Fund is</w:t>
      </w:r>
      <w:r w:rsidRPr="00601B12">
        <w:rPr>
          <w:rFonts w:ascii="Arial" w:hAnsi="Arial" w:cs="Arial"/>
        </w:rPr>
        <w:t xml:space="preserve"> invested in t</w:t>
      </w:r>
      <w:r>
        <w:rPr>
          <w:rFonts w:ascii="Arial" w:hAnsi="Arial" w:cs="Arial"/>
        </w:rPr>
        <w:t>wo</w:t>
      </w:r>
      <w:r w:rsidRPr="00601B12">
        <w:rPr>
          <w:rFonts w:ascii="Arial" w:hAnsi="Arial" w:cs="Arial"/>
        </w:rPr>
        <w:t xml:space="preserve"> separate partnerships including two with the Fund’s infrastructure manager Hermes GPE. The infrastructure investment is accessed via two partnerships, with a limit of 10%. The allocation was agreed by the pension Committee on 19 June 2012 and subsequently increased to 10.0% at the 23 March 2015 Committee, with an investment period limited to 17 years. </w:t>
      </w:r>
      <w:r>
        <w:rPr>
          <w:rFonts w:ascii="Arial" w:hAnsi="Arial" w:cs="Arial"/>
        </w:rPr>
        <w:t xml:space="preserve">From 1 April 2017, the split allocation will be combined into one LLP and the current strategic allocation target is 8%. </w:t>
      </w:r>
    </w:p>
    <w:p w14:paraId="17597731" w14:textId="77777777" w:rsidR="00B15CDD" w:rsidRPr="00601B12" w:rsidRDefault="00B15CDD" w:rsidP="00B15CDD">
      <w:pPr>
        <w:jc w:val="both"/>
        <w:rPr>
          <w:rFonts w:ascii="Arial" w:hAnsi="Arial" w:cs="Arial"/>
        </w:rPr>
      </w:pPr>
    </w:p>
    <w:p w14:paraId="5E3E56AF" w14:textId="77777777" w:rsidR="00B15CDD" w:rsidRPr="00601B12" w:rsidRDefault="00B15CDD" w:rsidP="00B15CDD">
      <w:pPr>
        <w:jc w:val="both"/>
        <w:rPr>
          <w:rFonts w:ascii="Arial" w:hAnsi="Arial" w:cs="Arial"/>
        </w:rPr>
      </w:pPr>
      <w:r w:rsidRPr="00CC0D86">
        <w:rPr>
          <w:rFonts w:ascii="Arial" w:hAnsi="Arial" w:cs="Arial"/>
        </w:rPr>
        <w:t xml:space="preserve">The Fund has </w:t>
      </w:r>
      <w:proofErr w:type="gramStart"/>
      <w:r w:rsidRPr="00CC0D86">
        <w:rPr>
          <w:rFonts w:ascii="Arial" w:hAnsi="Arial" w:cs="Arial"/>
        </w:rPr>
        <w:t>a</w:t>
      </w:r>
      <w:proofErr w:type="gramEnd"/>
      <w:r w:rsidRPr="00CC0D86">
        <w:rPr>
          <w:rFonts w:ascii="Arial" w:hAnsi="Arial" w:cs="Arial"/>
        </w:rPr>
        <w:t xml:space="preserve"> </w:t>
      </w:r>
      <w:r>
        <w:rPr>
          <w:rFonts w:ascii="Arial" w:hAnsi="Arial" w:cs="Arial"/>
        </w:rPr>
        <w:t>8</w:t>
      </w:r>
      <w:r w:rsidRPr="00CC0D86">
        <w:rPr>
          <w:rFonts w:ascii="Arial" w:hAnsi="Arial" w:cs="Arial"/>
        </w:rPr>
        <w:t>% allocation to LLPs and these investments will remain outside of the LCIV.</w:t>
      </w:r>
    </w:p>
    <w:p w14:paraId="18906725" w14:textId="77777777" w:rsidR="00B15CDD" w:rsidRPr="00601B12" w:rsidRDefault="00B15CDD" w:rsidP="00B15CDD">
      <w:pPr>
        <w:jc w:val="both"/>
        <w:rPr>
          <w:rFonts w:ascii="Arial" w:hAnsi="Arial" w:cs="Arial"/>
          <w:u w:val="single"/>
        </w:rPr>
      </w:pPr>
      <w:r w:rsidRPr="00601B12">
        <w:rPr>
          <w:rFonts w:ascii="Arial" w:hAnsi="Arial" w:cs="Arial"/>
          <w:u w:val="single"/>
        </w:rPr>
        <w:t>Diversified Alternatives</w:t>
      </w:r>
    </w:p>
    <w:p w14:paraId="76D1BBAC" w14:textId="77777777" w:rsidR="00B15CDD" w:rsidRPr="00601B12" w:rsidRDefault="00B15CDD" w:rsidP="00B15CDD">
      <w:pPr>
        <w:jc w:val="both"/>
        <w:rPr>
          <w:rFonts w:ascii="Arial" w:hAnsi="Arial" w:cs="Arial"/>
        </w:rPr>
      </w:pPr>
    </w:p>
    <w:p w14:paraId="6719AF64" w14:textId="77777777" w:rsidR="00B15CDD" w:rsidRPr="00601B12" w:rsidRDefault="00B15CDD" w:rsidP="00B15CDD">
      <w:pPr>
        <w:jc w:val="both"/>
        <w:rPr>
          <w:rFonts w:ascii="Arial" w:hAnsi="Arial" w:cs="Arial"/>
        </w:rPr>
      </w:pPr>
      <w:r w:rsidRPr="00601B12">
        <w:rPr>
          <w:rFonts w:ascii="Arial" w:hAnsi="Arial" w:cs="Arial"/>
        </w:rPr>
        <w:t xml:space="preserve">The Fund has </w:t>
      </w:r>
      <w:r w:rsidRPr="009C4AD6">
        <w:rPr>
          <w:rFonts w:ascii="Arial" w:hAnsi="Arial" w:cs="Arial"/>
        </w:rPr>
        <w:t xml:space="preserve">a </w:t>
      </w:r>
      <w:r>
        <w:rPr>
          <w:rFonts w:ascii="Arial" w:hAnsi="Arial" w:cs="Arial"/>
        </w:rPr>
        <w:t>9</w:t>
      </w:r>
      <w:r w:rsidRPr="009C4AD6">
        <w:rPr>
          <w:rFonts w:ascii="Arial" w:hAnsi="Arial" w:cs="Arial"/>
        </w:rPr>
        <w:t>% investment</w:t>
      </w:r>
      <w:r w:rsidRPr="00601B12">
        <w:rPr>
          <w:rFonts w:ascii="Arial" w:hAnsi="Arial" w:cs="Arial"/>
        </w:rPr>
        <w:t xml:space="preserve"> in Diversified Alternatives, including Hedge Funds and Private Equity via Aberdeen Asset Management. These illiquid assets will not be moved to the LCIV until there is an adequate alternative provided by LCIV.</w:t>
      </w:r>
      <w:r>
        <w:rPr>
          <w:rFonts w:ascii="Arial" w:hAnsi="Arial" w:cs="Arial"/>
        </w:rPr>
        <w:t xml:space="preserve"> This allocation was increased by £20m at the December 2020 Pension Committee, with the additional investment in Private Equity.</w:t>
      </w:r>
    </w:p>
    <w:p w14:paraId="5F6A7D8C" w14:textId="77777777" w:rsidR="00B15CDD" w:rsidRPr="00601B12" w:rsidRDefault="00B15CDD" w:rsidP="00B15CDD">
      <w:pPr>
        <w:jc w:val="both"/>
        <w:rPr>
          <w:rFonts w:ascii="Arial" w:hAnsi="Arial" w:cs="Arial"/>
        </w:rPr>
      </w:pPr>
    </w:p>
    <w:p w14:paraId="135F451F" w14:textId="77777777" w:rsidR="00B15CDD" w:rsidRPr="00601B12" w:rsidRDefault="00B15CDD" w:rsidP="00B15CDD">
      <w:pPr>
        <w:pStyle w:val="ListParagraph"/>
        <w:ind w:left="0"/>
        <w:jc w:val="both"/>
        <w:rPr>
          <w:rFonts w:ascii="Arial" w:hAnsi="Arial" w:cs="Arial"/>
          <w:sz w:val="24"/>
          <w:szCs w:val="24"/>
          <w:u w:val="single"/>
        </w:rPr>
      </w:pPr>
      <w:r w:rsidRPr="00601B12">
        <w:rPr>
          <w:rFonts w:ascii="Arial" w:hAnsi="Arial" w:cs="Arial"/>
          <w:sz w:val="24"/>
          <w:szCs w:val="24"/>
          <w:u w:val="single"/>
        </w:rPr>
        <w:t>Credit, Property and Equity Income Strategy</w:t>
      </w:r>
    </w:p>
    <w:p w14:paraId="48EB60E5" w14:textId="77777777" w:rsidR="00B15CDD" w:rsidRPr="00601B12" w:rsidRDefault="00B15CDD" w:rsidP="00B15CDD">
      <w:pPr>
        <w:pStyle w:val="ListParagraph"/>
        <w:ind w:left="0"/>
        <w:jc w:val="both"/>
        <w:rPr>
          <w:rFonts w:ascii="Arial" w:hAnsi="Arial" w:cs="Arial"/>
          <w:sz w:val="24"/>
          <w:szCs w:val="24"/>
        </w:rPr>
      </w:pPr>
    </w:p>
    <w:p w14:paraId="08F11899" w14:textId="77777777" w:rsidR="00B15CDD" w:rsidRPr="00601B12" w:rsidRDefault="00B15CDD" w:rsidP="00B15CDD">
      <w:pPr>
        <w:pStyle w:val="ListParagraph"/>
        <w:spacing w:after="0" w:line="240" w:lineRule="auto"/>
        <w:ind w:left="0"/>
        <w:jc w:val="both"/>
        <w:rPr>
          <w:rFonts w:ascii="Arial" w:hAnsi="Arial" w:cs="Arial"/>
          <w:sz w:val="24"/>
          <w:szCs w:val="24"/>
        </w:rPr>
      </w:pPr>
      <w:r w:rsidRPr="00601B12">
        <w:rPr>
          <w:rFonts w:ascii="Arial" w:hAnsi="Arial" w:cs="Arial"/>
          <w:sz w:val="24"/>
          <w:szCs w:val="24"/>
        </w:rPr>
        <w:t xml:space="preserve">The Fund has approximately 30% of its assets invested in credit, property, and an equity income strategy. There is the potential for these allocations to be moved to the LCIV and these holdings will be reviewed as and when suitable alternatives are provided by the LCIV. The review will consider the strategy, the assets held, the risks and the suitability of the strategy within the overall Fund prior to any investment agreement being made and proper advice will be sought from the Fund’s advisors. Where an alternative is suitable then transition arrangement will be arranged. </w:t>
      </w:r>
    </w:p>
    <w:p w14:paraId="24494C2C" w14:textId="77777777" w:rsidR="00B15CDD" w:rsidRPr="00601B12" w:rsidRDefault="00B15CDD" w:rsidP="00B15CDD">
      <w:pPr>
        <w:pStyle w:val="ListParagraph"/>
        <w:spacing w:after="0" w:line="240" w:lineRule="auto"/>
        <w:ind w:left="0"/>
        <w:jc w:val="both"/>
        <w:rPr>
          <w:rFonts w:ascii="Arial" w:hAnsi="Arial" w:cs="Arial"/>
          <w:sz w:val="24"/>
          <w:szCs w:val="24"/>
        </w:rPr>
      </w:pPr>
    </w:p>
    <w:p w14:paraId="2AFBFC5E" w14:textId="77777777" w:rsidR="00B15CDD" w:rsidRDefault="00B15CDD" w:rsidP="00B15CDD">
      <w:pPr>
        <w:pStyle w:val="ListParagraph"/>
        <w:spacing w:after="0" w:line="240" w:lineRule="auto"/>
        <w:ind w:left="0"/>
        <w:jc w:val="both"/>
        <w:rPr>
          <w:rFonts w:ascii="Arial" w:hAnsi="Arial" w:cs="Arial"/>
          <w:sz w:val="24"/>
          <w:szCs w:val="24"/>
        </w:rPr>
      </w:pPr>
      <w:r w:rsidRPr="00601B12">
        <w:rPr>
          <w:rFonts w:ascii="Arial" w:hAnsi="Arial" w:cs="Arial"/>
          <w:sz w:val="24"/>
          <w:szCs w:val="24"/>
        </w:rPr>
        <w:t xml:space="preserve">If the alternative strategy is not suitable then the current manager will remain. If there is a requirement for the Fund to move from the manager to the LCIV then an alternative solution will be to seek to access a suitable passive strategy through a LIFE Fund.  </w:t>
      </w:r>
    </w:p>
    <w:p w14:paraId="200D6776" w14:textId="77777777" w:rsidR="00B15CDD" w:rsidRPr="00601B12" w:rsidRDefault="00B15CDD" w:rsidP="00B15CDD">
      <w:pPr>
        <w:pStyle w:val="ListParagraph"/>
        <w:spacing w:after="0" w:line="240" w:lineRule="auto"/>
        <w:ind w:left="0"/>
        <w:jc w:val="both"/>
        <w:rPr>
          <w:rFonts w:ascii="Arial" w:hAnsi="Arial" w:cs="Arial"/>
          <w:sz w:val="24"/>
          <w:szCs w:val="24"/>
        </w:rPr>
      </w:pPr>
    </w:p>
    <w:p w14:paraId="3D46CE05"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 xml:space="preserve">Funding Strategy Statement </w:t>
      </w:r>
    </w:p>
    <w:p w14:paraId="605A597A" w14:textId="77777777" w:rsidR="00B15CDD" w:rsidRPr="00E35F96" w:rsidRDefault="00B15CDD" w:rsidP="00B15CDD">
      <w:pPr>
        <w:rPr>
          <w:rFonts w:ascii="Arial" w:hAnsi="Arial" w:cs="Arial"/>
        </w:rPr>
      </w:pPr>
    </w:p>
    <w:p w14:paraId="052777FD" w14:textId="399EFC0F"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There are close links between the ISS and the Funding Strategy Statement, which sets out the Fund’s approach to funding its pension liabilities and the resulting impact on employer contribution rates. The Funding Strategy Statement is available on the Fund’s website: </w:t>
      </w:r>
      <w:hyperlink r:id="rId56" w:history="1">
        <w:r w:rsidRPr="00DE2481">
          <w:rPr>
            <w:rStyle w:val="Hyperlink"/>
            <w:rFonts w:eastAsiaTheme="majorEastAsia"/>
            <w:sz w:val="24"/>
            <w:szCs w:val="24"/>
          </w:rPr>
          <w:t>www.lbbdpensionfund.org</w:t>
        </w:r>
      </w:hyperlink>
      <w:r w:rsidR="00DE2481">
        <w:rPr>
          <w:rStyle w:val="Hyperlink"/>
          <w:rFonts w:eastAsiaTheme="majorEastAsia"/>
          <w:sz w:val="24"/>
          <w:szCs w:val="24"/>
        </w:rPr>
        <w:t xml:space="preserve">. </w:t>
      </w:r>
    </w:p>
    <w:p w14:paraId="5632D025" w14:textId="77777777" w:rsidR="00B15CDD" w:rsidRPr="00601B12" w:rsidRDefault="00B15CDD" w:rsidP="00B15CDD">
      <w:pPr>
        <w:pStyle w:val="BodyTextGrey"/>
        <w:spacing w:after="0" w:line="240" w:lineRule="auto"/>
        <w:jc w:val="both"/>
        <w:rPr>
          <w:color w:val="auto"/>
          <w:sz w:val="24"/>
          <w:szCs w:val="24"/>
        </w:rPr>
      </w:pPr>
    </w:p>
    <w:p w14:paraId="7667EDDC"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 xml:space="preserve">Types of investment to be </w:t>
      </w:r>
      <w:proofErr w:type="gramStart"/>
      <w:r w:rsidRPr="00601B12">
        <w:rPr>
          <w:rFonts w:ascii="Arial" w:hAnsi="Arial" w:cs="Arial"/>
          <w:szCs w:val="24"/>
        </w:rPr>
        <w:t>held</w:t>
      </w:r>
      <w:proofErr w:type="gramEnd"/>
    </w:p>
    <w:p w14:paraId="0C1D09A3" w14:textId="77777777" w:rsidR="00B15CDD" w:rsidRPr="00E35F96" w:rsidRDefault="00B15CDD" w:rsidP="00B15CDD">
      <w:pPr>
        <w:rPr>
          <w:rFonts w:ascii="Arial" w:hAnsi="Arial" w:cs="Arial"/>
        </w:rPr>
      </w:pPr>
    </w:p>
    <w:p w14:paraId="5107574E"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Fund may invest in quoted and unquoted securities of UK and overseas markets, including equities, fixed and index linked bonds, cash, property and commodities, </w:t>
      </w:r>
      <w:proofErr w:type="gramStart"/>
      <w:r w:rsidRPr="00601B12">
        <w:rPr>
          <w:color w:val="auto"/>
          <w:sz w:val="24"/>
          <w:szCs w:val="24"/>
        </w:rPr>
        <w:t>infrastructure</w:t>
      </w:r>
      <w:proofErr w:type="gramEnd"/>
      <w:r w:rsidRPr="00601B12">
        <w:rPr>
          <w:color w:val="auto"/>
          <w:sz w:val="24"/>
          <w:szCs w:val="24"/>
        </w:rPr>
        <w:t xml:space="preserve"> and diversified alternatives, either directly or through pooled funds. </w:t>
      </w:r>
    </w:p>
    <w:p w14:paraId="21AD21CE" w14:textId="77777777" w:rsidR="00B15CDD" w:rsidRPr="00601B12" w:rsidRDefault="00B15CDD" w:rsidP="00B15CDD">
      <w:pPr>
        <w:pStyle w:val="BodyTextGrey"/>
        <w:spacing w:after="0" w:line="240" w:lineRule="auto"/>
        <w:jc w:val="both"/>
        <w:rPr>
          <w:b/>
          <w:color w:val="auto"/>
          <w:sz w:val="24"/>
          <w:szCs w:val="24"/>
        </w:rPr>
      </w:pPr>
    </w:p>
    <w:p w14:paraId="09F6A6D8"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Fund may also make use of contracts for differences and other derivatives either directly or in pooled funds investing in these products, for the purpose of efficient portfolio management or to hedge specific risks. The Committee considers </w:t>
      </w:r>
      <w:proofErr w:type="gramStart"/>
      <w:r w:rsidRPr="00601B12">
        <w:rPr>
          <w:color w:val="auto"/>
          <w:sz w:val="24"/>
          <w:szCs w:val="24"/>
        </w:rPr>
        <w:t>all of</w:t>
      </w:r>
      <w:proofErr w:type="gramEnd"/>
      <w:r w:rsidRPr="00601B12">
        <w:rPr>
          <w:color w:val="auto"/>
          <w:sz w:val="24"/>
          <w:szCs w:val="24"/>
        </w:rPr>
        <w:t xml:space="preserve"> these classes of investment to be suitable in the circumstances of the Fund.</w:t>
      </w:r>
    </w:p>
    <w:p w14:paraId="566B5920" w14:textId="77777777" w:rsidR="00B15CDD" w:rsidRPr="00601B12" w:rsidRDefault="00B15CDD" w:rsidP="00B15CDD">
      <w:pPr>
        <w:pStyle w:val="BodyTextGrey"/>
        <w:spacing w:after="0" w:line="240" w:lineRule="auto"/>
        <w:jc w:val="both"/>
        <w:rPr>
          <w:color w:val="auto"/>
          <w:sz w:val="24"/>
          <w:szCs w:val="24"/>
        </w:rPr>
      </w:pPr>
    </w:p>
    <w:p w14:paraId="6F47045A"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strategic asset allocation of the Fund includes a mix of asset types across a range of geographies </w:t>
      </w:r>
      <w:proofErr w:type="gramStart"/>
      <w:r w:rsidRPr="00601B12">
        <w:rPr>
          <w:color w:val="auto"/>
          <w:sz w:val="24"/>
          <w:szCs w:val="24"/>
        </w:rPr>
        <w:t>in order to</w:t>
      </w:r>
      <w:proofErr w:type="gramEnd"/>
      <w:r w:rsidRPr="00601B12">
        <w:rPr>
          <w:color w:val="auto"/>
          <w:sz w:val="24"/>
          <w:szCs w:val="24"/>
        </w:rPr>
        <w:t xml:space="preserve"> provide diversification of returns.</w:t>
      </w:r>
    </w:p>
    <w:p w14:paraId="127EE7D6" w14:textId="77777777" w:rsidR="00B15CDD" w:rsidRPr="00601B12" w:rsidRDefault="00B15CDD" w:rsidP="00B15CDD">
      <w:pPr>
        <w:pStyle w:val="BodyTextGrey"/>
        <w:spacing w:after="0" w:line="240" w:lineRule="auto"/>
        <w:jc w:val="both"/>
        <w:rPr>
          <w:i/>
          <w:color w:val="auto"/>
          <w:sz w:val="24"/>
          <w:szCs w:val="24"/>
        </w:rPr>
      </w:pPr>
    </w:p>
    <w:p w14:paraId="2990A907" w14:textId="77777777" w:rsidR="00B15CDD" w:rsidRPr="00601B12" w:rsidRDefault="00B15CDD" w:rsidP="00B15CDD">
      <w:pPr>
        <w:pStyle w:val="Heading2"/>
        <w:jc w:val="both"/>
        <w:rPr>
          <w:rFonts w:ascii="Arial" w:hAnsi="Arial" w:cs="Arial"/>
          <w:szCs w:val="24"/>
        </w:rPr>
      </w:pPr>
      <w:r w:rsidRPr="00601B12">
        <w:rPr>
          <w:rFonts w:ascii="Arial" w:hAnsi="Arial" w:cs="Arial"/>
          <w:bCs/>
          <w:szCs w:val="24"/>
        </w:rPr>
        <w:t>Statutory Investment Limits</w:t>
      </w:r>
    </w:p>
    <w:p w14:paraId="2DB1326F" w14:textId="77777777" w:rsidR="00B15CDD" w:rsidRPr="00E35F96" w:rsidRDefault="00B15CDD" w:rsidP="00B15CDD">
      <w:pPr>
        <w:autoSpaceDE w:val="0"/>
        <w:autoSpaceDN w:val="0"/>
        <w:adjustRightInd w:val="0"/>
        <w:rPr>
          <w:rFonts w:ascii="Arial" w:hAnsi="Arial" w:cs="Arial"/>
        </w:rPr>
      </w:pPr>
    </w:p>
    <w:p w14:paraId="01E88B58" w14:textId="77777777" w:rsidR="00B15CDD" w:rsidRPr="00601B12" w:rsidRDefault="00B15CDD" w:rsidP="00B15CDD">
      <w:pPr>
        <w:autoSpaceDE w:val="0"/>
        <w:autoSpaceDN w:val="0"/>
        <w:adjustRightInd w:val="0"/>
        <w:jc w:val="both"/>
        <w:rPr>
          <w:rFonts w:ascii="Arial" w:hAnsi="Arial" w:cs="Arial"/>
        </w:rPr>
      </w:pPr>
      <w:r w:rsidRPr="00601B12">
        <w:rPr>
          <w:rFonts w:ascii="Arial" w:hAnsi="Arial" w:cs="Arial"/>
        </w:rPr>
        <w:t xml:space="preserve">Statutory maximum limits, as previously outlined in schedule 1 of the LGPS (Management and Investment of Funds) Regulations 2009 are no longer applicable. </w:t>
      </w:r>
      <w:proofErr w:type="gramStart"/>
      <w:r w:rsidRPr="00601B12">
        <w:rPr>
          <w:rFonts w:ascii="Arial" w:hAnsi="Arial" w:cs="Arial"/>
        </w:rPr>
        <w:t>Instead</w:t>
      </w:r>
      <w:proofErr w:type="gramEnd"/>
      <w:r w:rsidRPr="00601B12">
        <w:rPr>
          <w:rFonts w:ascii="Arial" w:hAnsi="Arial" w:cs="Arial"/>
        </w:rPr>
        <w:t xml:space="preserve"> this Fund will make asset allocation decisions based on a prudential approach to securing a diversified investment strategy.</w:t>
      </w:r>
    </w:p>
    <w:p w14:paraId="5136593A" w14:textId="77777777" w:rsidR="00B15CDD" w:rsidRPr="00601B12" w:rsidRDefault="00B15CDD" w:rsidP="00B15CDD">
      <w:pPr>
        <w:autoSpaceDE w:val="0"/>
        <w:autoSpaceDN w:val="0"/>
        <w:adjustRightInd w:val="0"/>
        <w:jc w:val="both"/>
        <w:rPr>
          <w:rFonts w:ascii="Arial" w:hAnsi="Arial" w:cs="Arial"/>
        </w:rPr>
      </w:pPr>
    </w:p>
    <w:p w14:paraId="2D09F0FF" w14:textId="77777777" w:rsidR="00B15CDD" w:rsidRPr="00601B12" w:rsidRDefault="00B15CDD" w:rsidP="00B15CDD">
      <w:pPr>
        <w:autoSpaceDE w:val="0"/>
        <w:autoSpaceDN w:val="0"/>
        <w:adjustRightInd w:val="0"/>
        <w:jc w:val="both"/>
        <w:rPr>
          <w:rFonts w:ascii="Arial" w:hAnsi="Arial" w:cs="Arial"/>
        </w:rPr>
      </w:pPr>
      <w:r w:rsidRPr="00601B12">
        <w:rPr>
          <w:rFonts w:ascii="Arial" w:hAnsi="Arial" w:cs="Arial"/>
        </w:rPr>
        <w:t>The maximum percentage of the Fund’s total value that the Fund will invest in each asset class is provided below and is subject to an annual review:</w:t>
      </w:r>
    </w:p>
    <w:p w14:paraId="716F38D5" w14:textId="77777777" w:rsidR="00B15CDD" w:rsidRPr="00601B12" w:rsidRDefault="00B15CDD" w:rsidP="00B15CDD">
      <w:pPr>
        <w:autoSpaceDE w:val="0"/>
        <w:autoSpaceDN w:val="0"/>
        <w:adjustRightInd w:val="0"/>
        <w:jc w:val="both"/>
        <w:rPr>
          <w:rFonts w:ascii="Arial" w:hAnsi="Arial" w:cs="Arial"/>
        </w:rPr>
      </w:pPr>
    </w:p>
    <w:p w14:paraId="52E4272F" w14:textId="77777777" w:rsidR="00B15CDD" w:rsidRPr="00601B12" w:rsidRDefault="00B15CDD" w:rsidP="00B15CDD">
      <w:pPr>
        <w:autoSpaceDE w:val="0"/>
        <w:autoSpaceDN w:val="0"/>
        <w:adjustRightInd w:val="0"/>
        <w:jc w:val="both"/>
        <w:rPr>
          <w:rFonts w:ascii="Arial" w:hAnsi="Arial" w:cs="Arial"/>
        </w:rPr>
      </w:pPr>
      <w:r w:rsidRPr="00601B12">
        <w:rPr>
          <w:rFonts w:ascii="Arial" w:hAnsi="Arial" w:cs="Arial"/>
        </w:rPr>
        <w:t>Equities</w:t>
      </w:r>
      <w:r w:rsidRPr="00601B12">
        <w:rPr>
          <w:rFonts w:ascii="Arial" w:hAnsi="Arial" w:cs="Arial"/>
        </w:rPr>
        <w:tab/>
      </w:r>
      <w:r w:rsidRPr="00601B12">
        <w:rPr>
          <w:rFonts w:ascii="Arial" w:hAnsi="Arial" w:cs="Arial"/>
        </w:rPr>
        <w:tab/>
      </w:r>
      <w:r w:rsidRPr="00601B12">
        <w:rPr>
          <w:rFonts w:ascii="Arial" w:hAnsi="Arial" w:cs="Arial"/>
        </w:rPr>
        <w:tab/>
      </w:r>
      <w:r>
        <w:rPr>
          <w:rFonts w:ascii="Arial" w:hAnsi="Arial" w:cs="Arial"/>
        </w:rPr>
        <w:t>60</w:t>
      </w:r>
      <w:r w:rsidRPr="00601B12">
        <w:rPr>
          <w:rFonts w:ascii="Arial" w:hAnsi="Arial" w:cs="Arial"/>
        </w:rPr>
        <w:t>%</w:t>
      </w:r>
      <w:r w:rsidRPr="00601B12">
        <w:rPr>
          <w:rFonts w:ascii="Arial" w:hAnsi="Arial" w:cs="Arial"/>
        </w:rPr>
        <w:tab/>
      </w:r>
      <w:r w:rsidRPr="00601B12">
        <w:rPr>
          <w:rFonts w:ascii="Arial" w:hAnsi="Arial" w:cs="Arial"/>
        </w:rPr>
        <w:tab/>
        <w:t>Bonds</w:t>
      </w:r>
      <w:r>
        <w:rPr>
          <w:rFonts w:ascii="Arial" w:hAnsi="Arial" w:cs="Arial"/>
        </w:rPr>
        <w:t xml:space="preserve"> / Credit</w:t>
      </w:r>
      <w:r w:rsidRPr="00601B12">
        <w:rPr>
          <w:rFonts w:ascii="Arial" w:hAnsi="Arial" w:cs="Arial"/>
        </w:rPr>
        <w:tab/>
      </w:r>
      <w:r w:rsidRPr="00601B12">
        <w:rPr>
          <w:rFonts w:ascii="Arial" w:hAnsi="Arial" w:cs="Arial"/>
        </w:rPr>
        <w:tab/>
      </w:r>
      <w:r>
        <w:rPr>
          <w:rFonts w:ascii="Arial" w:hAnsi="Arial" w:cs="Arial"/>
        </w:rPr>
        <w:t>15</w:t>
      </w:r>
      <w:r w:rsidRPr="00601B12">
        <w:rPr>
          <w:rFonts w:ascii="Arial" w:hAnsi="Arial" w:cs="Arial"/>
        </w:rPr>
        <w:t>%</w:t>
      </w:r>
    </w:p>
    <w:p w14:paraId="15C00DD1" w14:textId="77777777" w:rsidR="00B15CDD" w:rsidRPr="00601B12" w:rsidRDefault="00B15CDD" w:rsidP="00B15CDD">
      <w:pPr>
        <w:autoSpaceDE w:val="0"/>
        <w:autoSpaceDN w:val="0"/>
        <w:adjustRightInd w:val="0"/>
        <w:jc w:val="both"/>
        <w:rPr>
          <w:rFonts w:ascii="Arial" w:hAnsi="Arial" w:cs="Arial"/>
        </w:rPr>
      </w:pPr>
      <w:r>
        <w:rPr>
          <w:rFonts w:ascii="Arial" w:hAnsi="Arial" w:cs="Arial"/>
        </w:rPr>
        <w:t>Diversified Growth</w:t>
      </w:r>
      <w:r w:rsidRPr="00601B12">
        <w:rPr>
          <w:rFonts w:ascii="Arial" w:hAnsi="Arial" w:cs="Arial"/>
        </w:rPr>
        <w:tab/>
      </w:r>
      <w:r w:rsidRPr="00601B12">
        <w:rPr>
          <w:rFonts w:ascii="Arial" w:hAnsi="Arial" w:cs="Arial"/>
        </w:rPr>
        <w:tab/>
      </w:r>
      <w:r>
        <w:rPr>
          <w:rFonts w:ascii="Arial" w:hAnsi="Arial" w:cs="Arial"/>
        </w:rPr>
        <w:t>18</w:t>
      </w:r>
      <w:r w:rsidRPr="00601B12">
        <w:rPr>
          <w:rFonts w:ascii="Arial" w:hAnsi="Arial" w:cs="Arial"/>
        </w:rPr>
        <w:t>%</w:t>
      </w:r>
      <w:r w:rsidRPr="00601B12">
        <w:rPr>
          <w:rFonts w:ascii="Arial" w:hAnsi="Arial" w:cs="Arial"/>
        </w:rPr>
        <w:tab/>
      </w:r>
      <w:r w:rsidRPr="00601B12">
        <w:rPr>
          <w:rFonts w:ascii="Arial" w:hAnsi="Arial" w:cs="Arial"/>
        </w:rPr>
        <w:tab/>
        <w:t>Property</w:t>
      </w:r>
      <w:r w:rsidRPr="00601B12">
        <w:rPr>
          <w:rFonts w:ascii="Arial" w:hAnsi="Arial" w:cs="Arial"/>
        </w:rPr>
        <w:tab/>
      </w:r>
      <w:r w:rsidRPr="00601B12">
        <w:rPr>
          <w:rFonts w:ascii="Arial" w:hAnsi="Arial" w:cs="Arial"/>
        </w:rPr>
        <w:tab/>
      </w:r>
      <w:r w:rsidRPr="00601B12">
        <w:rPr>
          <w:rFonts w:ascii="Arial" w:hAnsi="Arial" w:cs="Arial"/>
        </w:rPr>
        <w:tab/>
      </w:r>
      <w:r>
        <w:rPr>
          <w:rFonts w:ascii="Arial" w:hAnsi="Arial" w:cs="Arial"/>
        </w:rPr>
        <w:t>7</w:t>
      </w:r>
      <w:r w:rsidRPr="00601B12">
        <w:rPr>
          <w:rFonts w:ascii="Arial" w:hAnsi="Arial" w:cs="Arial"/>
        </w:rPr>
        <w:t>%</w:t>
      </w:r>
    </w:p>
    <w:p w14:paraId="03DED94E" w14:textId="77777777" w:rsidR="00B15CDD" w:rsidRPr="00601B12" w:rsidRDefault="00B15CDD" w:rsidP="00B15CDD">
      <w:pPr>
        <w:autoSpaceDE w:val="0"/>
        <w:autoSpaceDN w:val="0"/>
        <w:adjustRightInd w:val="0"/>
        <w:jc w:val="both"/>
        <w:rPr>
          <w:rFonts w:ascii="Arial" w:hAnsi="Arial" w:cs="Arial"/>
        </w:rPr>
      </w:pPr>
      <w:r w:rsidRPr="00601B12">
        <w:rPr>
          <w:rFonts w:ascii="Arial" w:hAnsi="Arial" w:cs="Arial"/>
        </w:rPr>
        <w:t>Infrastructure</w:t>
      </w:r>
      <w:r w:rsidRPr="00601B12">
        <w:rPr>
          <w:rFonts w:ascii="Arial" w:hAnsi="Arial" w:cs="Arial"/>
        </w:rPr>
        <w:tab/>
      </w:r>
      <w:r w:rsidRPr="00601B12">
        <w:rPr>
          <w:rFonts w:ascii="Arial" w:hAnsi="Arial" w:cs="Arial"/>
        </w:rPr>
        <w:tab/>
      </w:r>
      <w:r w:rsidRPr="00601B12">
        <w:rPr>
          <w:rFonts w:ascii="Arial" w:hAnsi="Arial" w:cs="Arial"/>
        </w:rPr>
        <w:tab/>
      </w:r>
      <w:r>
        <w:rPr>
          <w:rFonts w:ascii="Arial" w:hAnsi="Arial" w:cs="Arial"/>
        </w:rPr>
        <w:t>8</w:t>
      </w:r>
      <w:r w:rsidRPr="00601B12">
        <w:rPr>
          <w:rFonts w:ascii="Arial" w:hAnsi="Arial" w:cs="Arial"/>
        </w:rPr>
        <w:t>%</w:t>
      </w:r>
      <w:r w:rsidRPr="00601B12">
        <w:rPr>
          <w:rFonts w:ascii="Arial" w:hAnsi="Arial" w:cs="Arial"/>
        </w:rPr>
        <w:tab/>
      </w:r>
      <w:r w:rsidRPr="00601B12">
        <w:rPr>
          <w:rFonts w:ascii="Arial" w:hAnsi="Arial" w:cs="Arial"/>
        </w:rPr>
        <w:tab/>
        <w:t>Diversified Alternatives</w:t>
      </w:r>
      <w:r w:rsidRPr="00601B12">
        <w:rPr>
          <w:rFonts w:ascii="Arial" w:hAnsi="Arial" w:cs="Arial"/>
        </w:rPr>
        <w:tab/>
      </w:r>
      <w:r>
        <w:rPr>
          <w:rFonts w:ascii="Arial" w:hAnsi="Arial" w:cs="Arial"/>
        </w:rPr>
        <w:t>10</w:t>
      </w:r>
      <w:r w:rsidRPr="00601B12">
        <w:rPr>
          <w:rFonts w:ascii="Arial" w:hAnsi="Arial" w:cs="Arial"/>
        </w:rPr>
        <w:t>%</w:t>
      </w:r>
    </w:p>
    <w:p w14:paraId="174338AA" w14:textId="77777777" w:rsidR="00B15CDD" w:rsidRPr="00601B12" w:rsidRDefault="00B15CDD" w:rsidP="00B15CDD">
      <w:pPr>
        <w:jc w:val="both"/>
        <w:rPr>
          <w:rFonts w:ascii="Arial" w:hAnsi="Arial" w:cs="Arial"/>
        </w:rPr>
      </w:pPr>
    </w:p>
    <w:p w14:paraId="08E1957F"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Balance between various kinds of investments</w:t>
      </w:r>
    </w:p>
    <w:p w14:paraId="5130E467" w14:textId="77777777" w:rsidR="00B15CDD" w:rsidRPr="00E35F96" w:rsidRDefault="00B15CDD" w:rsidP="00B15CDD">
      <w:pPr>
        <w:rPr>
          <w:rFonts w:ascii="Arial" w:hAnsi="Arial" w:cs="Arial"/>
        </w:rPr>
      </w:pPr>
    </w:p>
    <w:p w14:paraId="5BB73741"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Committee has appointed </w:t>
      </w:r>
      <w:proofErr w:type="gramStart"/>
      <w:r w:rsidRPr="00601B12">
        <w:rPr>
          <w:color w:val="auto"/>
          <w:sz w:val="24"/>
          <w:szCs w:val="24"/>
        </w:rPr>
        <w:t>a number of</w:t>
      </w:r>
      <w:proofErr w:type="gramEnd"/>
      <w:r w:rsidRPr="00601B12">
        <w:rPr>
          <w:color w:val="auto"/>
          <w:sz w:val="24"/>
          <w:szCs w:val="24"/>
        </w:rPr>
        <w:t xml:space="preserve"> investment managers all of whom are authorised under the Financial Services and Markets Act 2000 to undertake investment business.  </w:t>
      </w:r>
    </w:p>
    <w:p w14:paraId="1ECFB1C6" w14:textId="77777777" w:rsidR="00B15CDD" w:rsidRPr="00601B12" w:rsidRDefault="00B15CDD" w:rsidP="00B15CDD">
      <w:pPr>
        <w:pStyle w:val="BodyTextGrey"/>
        <w:spacing w:after="0" w:line="240" w:lineRule="auto"/>
        <w:jc w:val="both"/>
        <w:rPr>
          <w:b/>
          <w:color w:val="auto"/>
          <w:sz w:val="24"/>
          <w:szCs w:val="24"/>
        </w:rPr>
      </w:pPr>
    </w:p>
    <w:p w14:paraId="20E3C7C2"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Committee, after seeking proper advice, agreed specific benchmarks for each manager so that, in aggregate, they are consistent with the Fund’s asset allocation. The Fund’s investment managers hold a mix of investments which reflects their views relative to their respective benchmarks. Within each major market and asset class, the managers maintain diversified portfolios through direct investment or pooled vehicles.  </w:t>
      </w:r>
    </w:p>
    <w:p w14:paraId="5D73143F" w14:textId="77777777" w:rsidR="00B15CDD" w:rsidRPr="00601B12" w:rsidRDefault="00B15CDD" w:rsidP="00B15CDD">
      <w:pPr>
        <w:pStyle w:val="BodyTextGrey"/>
        <w:spacing w:after="0" w:line="240" w:lineRule="auto"/>
        <w:jc w:val="both"/>
        <w:rPr>
          <w:color w:val="auto"/>
          <w:sz w:val="24"/>
          <w:szCs w:val="24"/>
        </w:rPr>
      </w:pPr>
    </w:p>
    <w:p w14:paraId="22DCACA0" w14:textId="77777777" w:rsidR="00B15CDD" w:rsidRPr="00601B12" w:rsidRDefault="00B15CDD" w:rsidP="00B15CDD">
      <w:pPr>
        <w:pStyle w:val="BodyTextGrey"/>
        <w:spacing w:after="0" w:line="240" w:lineRule="auto"/>
        <w:jc w:val="both"/>
        <w:rPr>
          <w:color w:val="auto"/>
          <w:sz w:val="24"/>
          <w:szCs w:val="24"/>
        </w:rPr>
      </w:pPr>
      <w:r w:rsidRPr="009B120A">
        <w:rPr>
          <w:color w:val="auto"/>
          <w:sz w:val="24"/>
          <w:szCs w:val="24"/>
        </w:rPr>
        <w:t>In March 2017 an Asset Liability Review (ALR) was completed by Aon, with a training session held on 13 Mar</w:t>
      </w:r>
      <w:r w:rsidRPr="00B36602">
        <w:rPr>
          <w:color w:val="auto"/>
          <w:sz w:val="24"/>
          <w:szCs w:val="24"/>
        </w:rPr>
        <w:t>ch 2017.</w:t>
      </w:r>
      <w:r w:rsidRPr="00601B12">
        <w:rPr>
          <w:color w:val="auto"/>
          <w:sz w:val="24"/>
          <w:szCs w:val="24"/>
        </w:rPr>
        <w:t xml:space="preserve"> </w:t>
      </w:r>
    </w:p>
    <w:p w14:paraId="06D733A5" w14:textId="77777777" w:rsidR="00B15CDD" w:rsidRPr="00E35F96" w:rsidRDefault="00B15CDD" w:rsidP="00B15CDD">
      <w:pPr>
        <w:ind w:left="360"/>
        <w:rPr>
          <w:rFonts w:ascii="Arial" w:hAnsi="Arial" w:cs="Arial"/>
          <w:lang w:eastAsia="en-US"/>
        </w:rPr>
      </w:pPr>
    </w:p>
    <w:p w14:paraId="08E4F94B"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Risk</w:t>
      </w:r>
    </w:p>
    <w:p w14:paraId="533C5623" w14:textId="77777777" w:rsidR="00B15CDD" w:rsidRPr="00E35F96" w:rsidRDefault="00B15CDD" w:rsidP="00B15CDD">
      <w:pPr>
        <w:rPr>
          <w:rFonts w:ascii="Arial" w:hAnsi="Arial" w:cs="Arial"/>
        </w:rPr>
      </w:pPr>
    </w:p>
    <w:p w14:paraId="4CC156C7"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Fund is exposed to </w:t>
      </w:r>
      <w:proofErr w:type="gramStart"/>
      <w:r w:rsidRPr="00601B12">
        <w:rPr>
          <w:color w:val="auto"/>
          <w:sz w:val="24"/>
          <w:szCs w:val="24"/>
        </w:rPr>
        <w:t>a number of</w:t>
      </w:r>
      <w:proofErr w:type="gramEnd"/>
      <w:r w:rsidRPr="00601B12">
        <w:rPr>
          <w:color w:val="auto"/>
          <w:sz w:val="24"/>
          <w:szCs w:val="24"/>
        </w:rPr>
        <w:t xml:space="preserve"> risks which pose a threat to the Fund meeting its objectives.  The principal risks affecting the Fund are:</w:t>
      </w:r>
    </w:p>
    <w:p w14:paraId="302AF6DF" w14:textId="77777777" w:rsidR="00B15CDD" w:rsidRPr="00601B12" w:rsidRDefault="00B15CDD" w:rsidP="00B15CDD">
      <w:pPr>
        <w:pStyle w:val="BodyTextGrey"/>
        <w:spacing w:after="0" w:line="240" w:lineRule="auto"/>
        <w:jc w:val="both"/>
        <w:rPr>
          <w:b/>
          <w:color w:val="C00000"/>
          <w:sz w:val="24"/>
          <w:szCs w:val="24"/>
        </w:rPr>
      </w:pPr>
    </w:p>
    <w:p w14:paraId="7B4D9609" w14:textId="77777777" w:rsidR="00B15CDD" w:rsidRPr="00601B12" w:rsidRDefault="00B15CDD" w:rsidP="00B15CDD">
      <w:pPr>
        <w:pStyle w:val="Heading4"/>
        <w:spacing w:before="0" w:line="240" w:lineRule="auto"/>
        <w:jc w:val="both"/>
        <w:rPr>
          <w:rFonts w:ascii="Arial" w:hAnsi="Arial" w:cs="Arial"/>
          <w:i w:val="0"/>
          <w:color w:val="C00000"/>
          <w:sz w:val="24"/>
          <w:szCs w:val="24"/>
        </w:rPr>
      </w:pPr>
      <w:r w:rsidRPr="00601B12">
        <w:rPr>
          <w:rFonts w:ascii="Arial" w:hAnsi="Arial" w:cs="Arial"/>
          <w:i w:val="0"/>
          <w:color w:val="C00000"/>
          <w:sz w:val="24"/>
          <w:szCs w:val="24"/>
        </w:rPr>
        <w:t>Funding risks:</w:t>
      </w:r>
    </w:p>
    <w:p w14:paraId="6A81CCFB" w14:textId="77777777" w:rsidR="00B15CDD" w:rsidRPr="00E35F96" w:rsidRDefault="00B15CDD" w:rsidP="00B15CDD">
      <w:pPr>
        <w:rPr>
          <w:rFonts w:ascii="Arial" w:hAnsi="Arial" w:cs="Arial"/>
          <w:lang w:eastAsia="en-US"/>
        </w:rPr>
      </w:pPr>
    </w:p>
    <w:p w14:paraId="10A1A0D0" w14:textId="77777777" w:rsidR="00B15CDD" w:rsidRPr="00601B12" w:rsidRDefault="00B15CDD" w:rsidP="004C17A4">
      <w:pPr>
        <w:pStyle w:val="BodyTextGrey"/>
        <w:numPr>
          <w:ilvl w:val="0"/>
          <w:numId w:val="35"/>
        </w:numPr>
        <w:spacing w:after="0" w:line="240" w:lineRule="auto"/>
        <w:ind w:left="426" w:hanging="426"/>
        <w:jc w:val="both"/>
        <w:rPr>
          <w:color w:val="auto"/>
          <w:sz w:val="24"/>
          <w:szCs w:val="24"/>
        </w:rPr>
      </w:pPr>
      <w:r w:rsidRPr="00601B12">
        <w:rPr>
          <w:color w:val="auto"/>
          <w:sz w:val="24"/>
          <w:szCs w:val="24"/>
        </w:rPr>
        <w:t>Financial mismatch</w:t>
      </w:r>
    </w:p>
    <w:p w14:paraId="23A3070F" w14:textId="77777777" w:rsidR="00B15CDD" w:rsidRPr="00601B12" w:rsidRDefault="00B15CDD" w:rsidP="00B15CDD">
      <w:pPr>
        <w:pStyle w:val="BodyTextGrey"/>
        <w:spacing w:after="0" w:line="240" w:lineRule="auto"/>
        <w:ind w:left="426"/>
        <w:jc w:val="both"/>
        <w:rPr>
          <w:color w:val="auto"/>
          <w:sz w:val="24"/>
          <w:szCs w:val="24"/>
        </w:rPr>
      </w:pPr>
    </w:p>
    <w:p w14:paraId="40528678" w14:textId="77777777" w:rsidR="00B15CDD" w:rsidRDefault="00B15CDD" w:rsidP="00B15CDD">
      <w:pPr>
        <w:pStyle w:val="BodyTextGrey"/>
        <w:spacing w:after="0" w:line="240" w:lineRule="auto"/>
        <w:ind w:left="426"/>
        <w:jc w:val="both"/>
        <w:rPr>
          <w:color w:val="auto"/>
          <w:sz w:val="24"/>
          <w:szCs w:val="24"/>
        </w:rPr>
      </w:pPr>
      <w:r w:rsidRPr="00601B12">
        <w:rPr>
          <w:color w:val="auto"/>
          <w:sz w:val="24"/>
          <w:szCs w:val="24"/>
        </w:rPr>
        <w:t>1. The risk Fund assets fail to grow in line with cost of meeting Fund liabilities.</w:t>
      </w:r>
    </w:p>
    <w:p w14:paraId="38FD7007" w14:textId="77777777" w:rsidR="00B15CDD" w:rsidRPr="00601B12" w:rsidRDefault="00B15CDD" w:rsidP="00B15CDD">
      <w:pPr>
        <w:pStyle w:val="BodyTextGrey"/>
        <w:spacing w:after="0" w:line="240" w:lineRule="auto"/>
        <w:ind w:left="426"/>
        <w:jc w:val="both"/>
        <w:rPr>
          <w:color w:val="auto"/>
          <w:sz w:val="24"/>
          <w:szCs w:val="24"/>
        </w:rPr>
      </w:pPr>
    </w:p>
    <w:p w14:paraId="6DBF8C7D" w14:textId="77777777" w:rsidR="00B15CDD" w:rsidRPr="00601B12" w:rsidRDefault="00B15CDD" w:rsidP="00B15CDD">
      <w:pPr>
        <w:pStyle w:val="BodyTextGrey"/>
        <w:spacing w:after="0" w:line="240" w:lineRule="auto"/>
        <w:ind w:left="426"/>
        <w:jc w:val="both"/>
        <w:rPr>
          <w:color w:val="auto"/>
          <w:sz w:val="24"/>
          <w:szCs w:val="24"/>
        </w:rPr>
      </w:pPr>
      <w:r w:rsidRPr="00601B12">
        <w:rPr>
          <w:color w:val="auto"/>
          <w:sz w:val="24"/>
          <w:szCs w:val="24"/>
        </w:rPr>
        <w:t>2. The risk that unexpected inflation increases the pension and benefit payments and the Fund assets do not grow fast enough to meet the increased cost.</w:t>
      </w:r>
    </w:p>
    <w:p w14:paraId="687D9058" w14:textId="77777777" w:rsidR="00B15CDD" w:rsidRPr="00601B12" w:rsidRDefault="00B15CDD" w:rsidP="00B15CDD">
      <w:pPr>
        <w:pStyle w:val="BodyTextGrey"/>
        <w:spacing w:after="0" w:line="240" w:lineRule="auto"/>
        <w:ind w:left="426"/>
        <w:jc w:val="both"/>
        <w:rPr>
          <w:color w:val="auto"/>
          <w:sz w:val="24"/>
          <w:szCs w:val="24"/>
        </w:rPr>
      </w:pPr>
    </w:p>
    <w:p w14:paraId="34176067" w14:textId="77777777" w:rsidR="00B15CDD" w:rsidRPr="00601B12" w:rsidRDefault="00B15CDD" w:rsidP="004C17A4">
      <w:pPr>
        <w:pStyle w:val="BodyTextGrey"/>
        <w:numPr>
          <w:ilvl w:val="0"/>
          <w:numId w:val="35"/>
        </w:numPr>
        <w:spacing w:after="0" w:line="240" w:lineRule="auto"/>
        <w:ind w:left="426" w:hanging="426"/>
        <w:jc w:val="both"/>
        <w:rPr>
          <w:color w:val="auto"/>
          <w:sz w:val="24"/>
          <w:szCs w:val="24"/>
        </w:rPr>
      </w:pPr>
      <w:r w:rsidRPr="00601B12">
        <w:rPr>
          <w:color w:val="auto"/>
          <w:sz w:val="24"/>
          <w:szCs w:val="24"/>
        </w:rPr>
        <w:t xml:space="preserve">Changing demographics –The risk that longevity </w:t>
      </w:r>
      <w:proofErr w:type="gramStart"/>
      <w:r w:rsidRPr="00601B12">
        <w:rPr>
          <w:color w:val="auto"/>
          <w:sz w:val="24"/>
          <w:szCs w:val="24"/>
        </w:rPr>
        <w:t>improves</w:t>
      </w:r>
      <w:proofErr w:type="gramEnd"/>
      <w:r w:rsidRPr="00601B12">
        <w:rPr>
          <w:color w:val="auto"/>
          <w:sz w:val="24"/>
          <w:szCs w:val="24"/>
        </w:rPr>
        <w:t xml:space="preserve"> and other demographic factors change increasing the cost of Fund benefits.</w:t>
      </w:r>
    </w:p>
    <w:p w14:paraId="7FDA207D" w14:textId="77777777" w:rsidR="00B15CDD" w:rsidRPr="00601B12" w:rsidRDefault="00B15CDD" w:rsidP="00B15CDD">
      <w:pPr>
        <w:pStyle w:val="BodyTextGrey"/>
        <w:spacing w:after="0" w:line="240" w:lineRule="auto"/>
        <w:ind w:left="426"/>
        <w:jc w:val="both"/>
        <w:rPr>
          <w:color w:val="auto"/>
          <w:sz w:val="24"/>
          <w:szCs w:val="24"/>
        </w:rPr>
      </w:pPr>
    </w:p>
    <w:p w14:paraId="6E1D49C7" w14:textId="77777777" w:rsidR="00B15CDD" w:rsidRPr="00601B12" w:rsidRDefault="00B15CDD" w:rsidP="004C17A4">
      <w:pPr>
        <w:pStyle w:val="BodyTextGrey"/>
        <w:numPr>
          <w:ilvl w:val="0"/>
          <w:numId w:val="35"/>
        </w:numPr>
        <w:spacing w:after="0" w:line="240" w:lineRule="auto"/>
        <w:ind w:left="426" w:hanging="426"/>
        <w:jc w:val="both"/>
        <w:rPr>
          <w:color w:val="auto"/>
          <w:sz w:val="24"/>
          <w:szCs w:val="24"/>
        </w:rPr>
      </w:pPr>
      <w:r w:rsidRPr="00601B12">
        <w:rPr>
          <w:color w:val="auto"/>
          <w:sz w:val="24"/>
          <w:szCs w:val="24"/>
        </w:rPr>
        <w:t>Systemic risk - The possibility of an interlinked and simultaneous failure of several asset classes and/or investment managers, possibly compounded by financial ‘contagion’, resulting in an increase in the cost of meeting Fund liabilities.</w:t>
      </w:r>
    </w:p>
    <w:p w14:paraId="74A4468F" w14:textId="77777777" w:rsidR="00B15CDD" w:rsidRPr="00601B12" w:rsidRDefault="00B15CDD" w:rsidP="00B15CDD">
      <w:pPr>
        <w:pStyle w:val="BodyTextGrey"/>
        <w:spacing w:after="0" w:line="240" w:lineRule="auto"/>
        <w:ind w:left="426"/>
        <w:jc w:val="both"/>
        <w:rPr>
          <w:color w:val="auto"/>
          <w:sz w:val="24"/>
          <w:szCs w:val="24"/>
        </w:rPr>
      </w:pPr>
    </w:p>
    <w:p w14:paraId="5D33D21C"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The Committee measures and manages financial mismatch in two ways.  As indicated above, it has set a strategic asset allocation benchmark for the Fund.  It assesses risk relative to that benchmark by monitoring the Fund’s asset allocation and investment returns relative to the benchmark.  It also assesses risk relative to liabilities by monitoring the delivery of benchmark returns relative to liabilities.</w:t>
      </w:r>
    </w:p>
    <w:p w14:paraId="2810673F" w14:textId="77777777" w:rsidR="00B15CDD" w:rsidRPr="00601B12" w:rsidRDefault="00B15CDD" w:rsidP="00B15CDD">
      <w:pPr>
        <w:pStyle w:val="BodyTextGrey"/>
        <w:spacing w:after="0" w:line="240" w:lineRule="auto"/>
        <w:jc w:val="both"/>
        <w:rPr>
          <w:color w:val="auto"/>
          <w:sz w:val="24"/>
          <w:szCs w:val="24"/>
        </w:rPr>
      </w:pPr>
    </w:p>
    <w:p w14:paraId="1855A505"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The Committee keeps under review mortality and other demographic assumptions which could influence the cost of the benefits.  These assumptions are considered formally at the triennial valuation.</w:t>
      </w:r>
    </w:p>
    <w:p w14:paraId="28A86F15" w14:textId="77777777" w:rsidR="00B15CDD" w:rsidRPr="00601B12" w:rsidRDefault="00B15CDD" w:rsidP="00B15CDD">
      <w:pPr>
        <w:pStyle w:val="BodyTextGrey"/>
        <w:spacing w:after="0" w:line="240" w:lineRule="auto"/>
        <w:jc w:val="both"/>
        <w:rPr>
          <w:color w:val="auto"/>
          <w:sz w:val="24"/>
          <w:szCs w:val="24"/>
        </w:rPr>
      </w:pPr>
    </w:p>
    <w:p w14:paraId="60BA504B"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The Committee seeks to mitigate systemic risk through a diversified portfolio, but it is not possible to make specific provision for all possible eventualities that may arise.</w:t>
      </w:r>
    </w:p>
    <w:p w14:paraId="66A73B04" w14:textId="77777777" w:rsidR="00B15CDD" w:rsidRDefault="00B15CDD" w:rsidP="00B15CDD">
      <w:pPr>
        <w:pStyle w:val="BodyTextGrey"/>
        <w:spacing w:after="0" w:line="240" w:lineRule="auto"/>
        <w:jc w:val="both"/>
        <w:rPr>
          <w:color w:val="auto"/>
          <w:sz w:val="24"/>
          <w:szCs w:val="24"/>
        </w:rPr>
      </w:pPr>
    </w:p>
    <w:p w14:paraId="388FE644" w14:textId="77777777" w:rsidR="00B15CDD" w:rsidRPr="00601B12" w:rsidRDefault="00B15CDD" w:rsidP="00B15CDD">
      <w:pPr>
        <w:pStyle w:val="Heading4"/>
        <w:spacing w:before="0" w:line="240" w:lineRule="auto"/>
        <w:jc w:val="both"/>
        <w:rPr>
          <w:rFonts w:ascii="Arial" w:hAnsi="Arial" w:cs="Arial"/>
          <w:i w:val="0"/>
          <w:color w:val="C00000"/>
          <w:sz w:val="24"/>
          <w:szCs w:val="24"/>
        </w:rPr>
      </w:pPr>
      <w:r w:rsidRPr="00601B12">
        <w:rPr>
          <w:rFonts w:ascii="Arial" w:hAnsi="Arial" w:cs="Arial"/>
          <w:i w:val="0"/>
          <w:color w:val="C00000"/>
          <w:sz w:val="24"/>
          <w:szCs w:val="24"/>
        </w:rPr>
        <w:t>Asset risks</w:t>
      </w:r>
    </w:p>
    <w:p w14:paraId="03818211" w14:textId="77777777" w:rsidR="00B15CDD" w:rsidRPr="00E35F96" w:rsidRDefault="00B15CDD" w:rsidP="00B15CDD">
      <w:pPr>
        <w:rPr>
          <w:rFonts w:ascii="Arial" w:hAnsi="Arial" w:cs="Arial"/>
          <w:lang w:eastAsia="en-US"/>
        </w:rPr>
      </w:pPr>
    </w:p>
    <w:p w14:paraId="1A6784F8" w14:textId="77777777" w:rsidR="00B15CDD" w:rsidRPr="00601B12" w:rsidRDefault="00B15CDD" w:rsidP="004C17A4">
      <w:pPr>
        <w:pStyle w:val="BodyTextGrey"/>
        <w:numPr>
          <w:ilvl w:val="0"/>
          <w:numId w:val="36"/>
        </w:numPr>
        <w:spacing w:after="0" w:line="240" w:lineRule="auto"/>
        <w:ind w:left="426" w:hanging="426"/>
        <w:jc w:val="both"/>
        <w:rPr>
          <w:color w:val="auto"/>
          <w:sz w:val="24"/>
          <w:szCs w:val="24"/>
        </w:rPr>
      </w:pPr>
      <w:r w:rsidRPr="00601B12">
        <w:rPr>
          <w:color w:val="auto"/>
          <w:sz w:val="24"/>
          <w:szCs w:val="24"/>
        </w:rPr>
        <w:t>Concentration - risk a significant allocation to a single asset category and its underperformance relative to expectation would result in difficulties in achieving funding objectives.</w:t>
      </w:r>
    </w:p>
    <w:p w14:paraId="1064D9D1" w14:textId="77777777" w:rsidR="00B15CDD" w:rsidRPr="00601B12" w:rsidRDefault="00B15CDD" w:rsidP="00B15CDD">
      <w:pPr>
        <w:pStyle w:val="BodyTextGrey"/>
        <w:spacing w:after="0" w:line="240" w:lineRule="auto"/>
        <w:ind w:left="426"/>
        <w:jc w:val="both"/>
        <w:rPr>
          <w:color w:val="auto"/>
          <w:sz w:val="24"/>
          <w:szCs w:val="24"/>
        </w:rPr>
      </w:pPr>
    </w:p>
    <w:p w14:paraId="0804D17D" w14:textId="77777777" w:rsidR="00B15CDD" w:rsidRPr="00601B12" w:rsidRDefault="00B15CDD" w:rsidP="004C17A4">
      <w:pPr>
        <w:pStyle w:val="BodyTextGrey"/>
        <w:numPr>
          <w:ilvl w:val="0"/>
          <w:numId w:val="36"/>
        </w:numPr>
        <w:spacing w:after="0" w:line="240" w:lineRule="auto"/>
        <w:ind w:left="426" w:hanging="426"/>
        <w:jc w:val="both"/>
        <w:rPr>
          <w:color w:val="auto"/>
          <w:sz w:val="24"/>
          <w:szCs w:val="24"/>
        </w:rPr>
      </w:pPr>
      <w:r w:rsidRPr="00601B12">
        <w:rPr>
          <w:color w:val="auto"/>
          <w:sz w:val="24"/>
          <w:szCs w:val="24"/>
        </w:rPr>
        <w:t xml:space="preserve">Illiquidity - The risk that the Fund cannot meet its immediate liabilities because it has insufficient liquid assets. </w:t>
      </w:r>
    </w:p>
    <w:p w14:paraId="3BE5627B" w14:textId="77777777" w:rsidR="00B15CDD" w:rsidRPr="00601B12" w:rsidRDefault="00B15CDD" w:rsidP="00B15CDD">
      <w:pPr>
        <w:pStyle w:val="BodyTextGrey"/>
        <w:spacing w:after="0" w:line="240" w:lineRule="auto"/>
        <w:ind w:left="426"/>
        <w:jc w:val="both"/>
        <w:rPr>
          <w:color w:val="auto"/>
          <w:sz w:val="24"/>
          <w:szCs w:val="24"/>
        </w:rPr>
      </w:pPr>
    </w:p>
    <w:p w14:paraId="69FFD9C1" w14:textId="77777777" w:rsidR="00B15CDD" w:rsidRPr="00601B12" w:rsidRDefault="00B15CDD" w:rsidP="004C17A4">
      <w:pPr>
        <w:pStyle w:val="BodyTextGrey"/>
        <w:numPr>
          <w:ilvl w:val="0"/>
          <w:numId w:val="36"/>
        </w:numPr>
        <w:spacing w:after="0" w:line="240" w:lineRule="auto"/>
        <w:ind w:left="426" w:hanging="426"/>
        <w:jc w:val="both"/>
        <w:rPr>
          <w:color w:val="auto"/>
          <w:sz w:val="24"/>
          <w:szCs w:val="24"/>
        </w:rPr>
      </w:pPr>
      <w:r w:rsidRPr="00601B12">
        <w:rPr>
          <w:color w:val="auto"/>
          <w:sz w:val="24"/>
          <w:szCs w:val="24"/>
        </w:rPr>
        <w:t xml:space="preserve">Manager underperformance - The failure by the fund managers to achieve the rate of investment return assumed in setting their </w:t>
      </w:r>
      <w:proofErr w:type="gramStart"/>
      <w:r w:rsidRPr="00601B12">
        <w:rPr>
          <w:color w:val="auto"/>
          <w:sz w:val="24"/>
          <w:szCs w:val="24"/>
        </w:rPr>
        <w:t>mandates</w:t>
      </w:r>
      <w:proofErr w:type="gramEnd"/>
      <w:r w:rsidRPr="00601B12">
        <w:rPr>
          <w:color w:val="auto"/>
          <w:sz w:val="24"/>
          <w:szCs w:val="24"/>
        </w:rPr>
        <w:t xml:space="preserve"> </w:t>
      </w:r>
    </w:p>
    <w:p w14:paraId="1751AF7C" w14:textId="77777777" w:rsidR="00B15CDD" w:rsidRDefault="00B15CDD" w:rsidP="00B15CDD">
      <w:pPr>
        <w:pStyle w:val="BodyTextGrey"/>
        <w:spacing w:after="0" w:line="240" w:lineRule="auto"/>
        <w:jc w:val="both"/>
        <w:rPr>
          <w:color w:val="auto"/>
          <w:sz w:val="24"/>
          <w:szCs w:val="24"/>
        </w:rPr>
      </w:pPr>
    </w:p>
    <w:p w14:paraId="33C5F0E1"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Committee manages asset risks as follows:  </w:t>
      </w:r>
    </w:p>
    <w:p w14:paraId="4BB6B07E" w14:textId="77777777" w:rsidR="00B15CDD" w:rsidRPr="00601B12" w:rsidRDefault="00B15CDD" w:rsidP="00B15CDD">
      <w:pPr>
        <w:pStyle w:val="BodyTextGrey"/>
        <w:spacing w:after="0" w:line="240" w:lineRule="auto"/>
        <w:jc w:val="both"/>
        <w:rPr>
          <w:color w:val="auto"/>
          <w:sz w:val="24"/>
          <w:szCs w:val="24"/>
        </w:rPr>
      </w:pPr>
    </w:p>
    <w:p w14:paraId="3A9DB9ED"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It provides a practical constraint on Fund investments deviating greatly from the intended approach by setting itself diversification guidelines and by investing in a range of investment mandates each of which has a defined objective, performance benchmark and manager process which, taken in aggregate, constrains risk within the Committee’s expected parameters. By investing across a range of assets, including quoted equities and bonds; the Committee has recognised the need for some access to liquidity in the short term.  In appointing several investment managers, the Committee has considered the risk of underperformance by any single investment manager.  </w:t>
      </w:r>
    </w:p>
    <w:p w14:paraId="4FF27F01" w14:textId="77777777" w:rsidR="00B15CDD" w:rsidRPr="00601B12" w:rsidRDefault="00B15CDD" w:rsidP="00B15CDD">
      <w:pPr>
        <w:pStyle w:val="Heading4"/>
        <w:spacing w:before="0" w:line="240" w:lineRule="auto"/>
        <w:jc w:val="both"/>
        <w:rPr>
          <w:rFonts w:ascii="Arial" w:hAnsi="Arial" w:cs="Arial"/>
          <w:b w:val="0"/>
          <w:i w:val="0"/>
          <w:sz w:val="24"/>
          <w:szCs w:val="24"/>
        </w:rPr>
      </w:pPr>
    </w:p>
    <w:p w14:paraId="24FF3543" w14:textId="77777777" w:rsidR="00B15CDD" w:rsidRPr="00601B12" w:rsidRDefault="00B15CDD" w:rsidP="00B15CDD">
      <w:pPr>
        <w:pStyle w:val="Heading4"/>
        <w:spacing w:before="0" w:line="240" w:lineRule="auto"/>
        <w:jc w:val="both"/>
        <w:rPr>
          <w:rFonts w:ascii="Arial" w:hAnsi="Arial" w:cs="Arial"/>
          <w:i w:val="0"/>
          <w:color w:val="C00000"/>
          <w:sz w:val="24"/>
          <w:szCs w:val="24"/>
        </w:rPr>
      </w:pPr>
      <w:r w:rsidRPr="00601B12">
        <w:rPr>
          <w:rFonts w:ascii="Arial" w:hAnsi="Arial" w:cs="Arial"/>
          <w:i w:val="0"/>
          <w:color w:val="C00000"/>
          <w:sz w:val="24"/>
          <w:szCs w:val="24"/>
        </w:rPr>
        <w:t>Other provider risk</w:t>
      </w:r>
    </w:p>
    <w:p w14:paraId="6DAB1464" w14:textId="77777777" w:rsidR="00B15CDD" w:rsidRPr="00E35F96" w:rsidRDefault="00B15CDD" w:rsidP="00B15CDD">
      <w:pPr>
        <w:rPr>
          <w:rFonts w:ascii="Arial" w:hAnsi="Arial" w:cs="Arial"/>
          <w:lang w:eastAsia="en-US"/>
        </w:rPr>
      </w:pPr>
    </w:p>
    <w:p w14:paraId="573A445A" w14:textId="77777777" w:rsidR="00B15CDD" w:rsidRPr="00601B12" w:rsidRDefault="00B15CDD" w:rsidP="004C17A4">
      <w:pPr>
        <w:pStyle w:val="BodyTextGrey"/>
        <w:numPr>
          <w:ilvl w:val="0"/>
          <w:numId w:val="37"/>
        </w:numPr>
        <w:spacing w:after="0" w:line="240" w:lineRule="auto"/>
        <w:ind w:left="426" w:hanging="426"/>
        <w:jc w:val="both"/>
        <w:rPr>
          <w:color w:val="auto"/>
          <w:sz w:val="24"/>
          <w:szCs w:val="24"/>
        </w:rPr>
      </w:pPr>
      <w:r w:rsidRPr="00601B12">
        <w:rPr>
          <w:color w:val="auto"/>
          <w:sz w:val="24"/>
          <w:szCs w:val="24"/>
        </w:rPr>
        <w:t>Transition risk - The risk of incurring unexpected costs in relation to the transition of assets among managers.  When carrying out significant transitions, the Committee takes professional advice and considers the appointment of specialist transition managers.</w:t>
      </w:r>
    </w:p>
    <w:p w14:paraId="715D0CA1" w14:textId="77777777" w:rsidR="00B15CDD" w:rsidRPr="00601B12" w:rsidRDefault="00B15CDD" w:rsidP="004C17A4">
      <w:pPr>
        <w:pStyle w:val="BodyTextGrey"/>
        <w:numPr>
          <w:ilvl w:val="0"/>
          <w:numId w:val="37"/>
        </w:numPr>
        <w:spacing w:after="0" w:line="240" w:lineRule="auto"/>
        <w:ind w:left="426" w:hanging="426"/>
        <w:jc w:val="both"/>
        <w:rPr>
          <w:color w:val="auto"/>
          <w:sz w:val="24"/>
          <w:szCs w:val="24"/>
        </w:rPr>
      </w:pPr>
      <w:r w:rsidRPr="00601B12">
        <w:rPr>
          <w:color w:val="auto"/>
          <w:sz w:val="24"/>
          <w:szCs w:val="24"/>
        </w:rPr>
        <w:t xml:space="preserve">Custody risk - The risk of losing economic rights to Fund assets, when held in custody or when being traded.  </w:t>
      </w:r>
    </w:p>
    <w:p w14:paraId="19BA77D3" w14:textId="77777777" w:rsidR="00B15CDD" w:rsidRPr="00601B12" w:rsidRDefault="00B15CDD" w:rsidP="004C17A4">
      <w:pPr>
        <w:pStyle w:val="BodyTextGrey"/>
        <w:numPr>
          <w:ilvl w:val="0"/>
          <w:numId w:val="37"/>
        </w:numPr>
        <w:spacing w:after="0" w:line="240" w:lineRule="auto"/>
        <w:ind w:left="426" w:hanging="426"/>
        <w:jc w:val="both"/>
        <w:rPr>
          <w:color w:val="auto"/>
          <w:sz w:val="24"/>
          <w:szCs w:val="24"/>
        </w:rPr>
      </w:pPr>
      <w:r w:rsidRPr="00601B12">
        <w:rPr>
          <w:color w:val="auto"/>
          <w:sz w:val="24"/>
          <w:szCs w:val="24"/>
        </w:rPr>
        <w:t xml:space="preserve">Credit default - The possibility of default of a counterparty in meeting its obligations. </w:t>
      </w:r>
    </w:p>
    <w:p w14:paraId="21938C88" w14:textId="77777777" w:rsidR="00B15CDD" w:rsidRPr="00601B12" w:rsidRDefault="00B15CDD" w:rsidP="00B15CDD">
      <w:pPr>
        <w:pStyle w:val="BodyTextGrey"/>
        <w:spacing w:after="0" w:line="240" w:lineRule="auto"/>
        <w:ind w:left="426"/>
        <w:jc w:val="both"/>
        <w:rPr>
          <w:color w:val="auto"/>
          <w:sz w:val="24"/>
          <w:szCs w:val="24"/>
        </w:rPr>
      </w:pPr>
    </w:p>
    <w:p w14:paraId="3482FDB2" w14:textId="77777777" w:rsidR="00B15CDD" w:rsidRPr="00601B12" w:rsidRDefault="00B15CDD" w:rsidP="00B15CDD">
      <w:pPr>
        <w:pStyle w:val="BodyTextGrey"/>
        <w:spacing w:after="0" w:line="240" w:lineRule="auto"/>
        <w:jc w:val="both"/>
        <w:rPr>
          <w:color w:val="auto"/>
          <w:sz w:val="24"/>
          <w:szCs w:val="24"/>
        </w:rPr>
      </w:pPr>
      <w:bookmarkStart w:id="30" w:name="OLE_LINK2"/>
      <w:r w:rsidRPr="00601B12">
        <w:rPr>
          <w:color w:val="auto"/>
          <w:sz w:val="24"/>
          <w:szCs w:val="24"/>
        </w:rPr>
        <w:t xml:space="preserve">The Committee </w:t>
      </w:r>
      <w:bookmarkEnd w:id="30"/>
      <w:r w:rsidRPr="00601B12">
        <w:rPr>
          <w:color w:val="auto"/>
          <w:sz w:val="24"/>
          <w:szCs w:val="24"/>
        </w:rPr>
        <w:t>monitors and manages risks in these areas through a process of regular scrutiny of its providers and audit of the operations they conduct for the Fund.</w:t>
      </w:r>
    </w:p>
    <w:p w14:paraId="204B69A9" w14:textId="77777777" w:rsidR="00B15CDD" w:rsidRPr="00601B12" w:rsidRDefault="00B15CDD" w:rsidP="00B15CDD">
      <w:pPr>
        <w:pStyle w:val="BodyTextGrey"/>
        <w:spacing w:after="0" w:line="240" w:lineRule="auto"/>
        <w:jc w:val="both"/>
        <w:rPr>
          <w:color w:val="auto"/>
          <w:sz w:val="24"/>
          <w:szCs w:val="24"/>
        </w:rPr>
      </w:pPr>
    </w:p>
    <w:p w14:paraId="082143A0"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The Fund also maintains an extensive risk register, where risks the Fund is exposed to are considered, with appropriate action taken to mitigate the risk where possible.</w:t>
      </w:r>
    </w:p>
    <w:p w14:paraId="7F2C12AF" w14:textId="77777777" w:rsidR="00B15CDD" w:rsidRDefault="00B15CDD" w:rsidP="00B15CDD">
      <w:pPr>
        <w:pStyle w:val="BodyTextGrey"/>
        <w:spacing w:after="0" w:line="240" w:lineRule="auto"/>
        <w:jc w:val="both"/>
        <w:rPr>
          <w:b/>
          <w:color w:val="auto"/>
          <w:sz w:val="24"/>
          <w:szCs w:val="24"/>
        </w:rPr>
      </w:pPr>
    </w:p>
    <w:p w14:paraId="58D5C14D" w14:textId="77777777" w:rsidR="00B15CDD" w:rsidRPr="00601B12" w:rsidRDefault="00B15CDD" w:rsidP="00B15CDD">
      <w:pPr>
        <w:pStyle w:val="BodyTextGrey"/>
        <w:spacing w:after="0" w:line="240" w:lineRule="auto"/>
        <w:jc w:val="both"/>
        <w:rPr>
          <w:b/>
          <w:color w:val="auto"/>
          <w:sz w:val="24"/>
          <w:szCs w:val="24"/>
        </w:rPr>
      </w:pPr>
    </w:p>
    <w:p w14:paraId="1B659F63" w14:textId="77777777" w:rsidR="00B15CDD" w:rsidRPr="00224A08" w:rsidRDefault="00B15CDD" w:rsidP="00B15CDD">
      <w:pPr>
        <w:pStyle w:val="Heading2"/>
        <w:rPr>
          <w:rFonts w:ascii="Arial" w:hAnsi="Arial" w:cs="Arial"/>
          <w:szCs w:val="24"/>
        </w:rPr>
      </w:pPr>
      <w:r w:rsidRPr="00224A08">
        <w:rPr>
          <w:rFonts w:ascii="Arial" w:hAnsi="Arial" w:cs="Arial"/>
          <w:szCs w:val="24"/>
        </w:rPr>
        <w:t>DAY-TO-DAY CUSTODY OF THE ASSETS</w:t>
      </w:r>
    </w:p>
    <w:p w14:paraId="24A04879" w14:textId="77777777" w:rsidR="00B15CDD" w:rsidRPr="00224A08" w:rsidRDefault="00B15CDD" w:rsidP="00B15CDD">
      <w:pPr>
        <w:pStyle w:val="Heading2"/>
        <w:numPr>
          <w:ilvl w:val="0"/>
          <w:numId w:val="0"/>
        </w:numPr>
        <w:ind w:left="360"/>
        <w:rPr>
          <w:rFonts w:ascii="Arial" w:hAnsi="Arial" w:cs="Arial"/>
          <w:b w:val="0"/>
          <w:bCs/>
          <w:szCs w:val="24"/>
        </w:rPr>
      </w:pPr>
    </w:p>
    <w:p w14:paraId="34090394" w14:textId="77777777" w:rsidR="00B15CDD" w:rsidRDefault="00B15CDD" w:rsidP="00B15CDD">
      <w:pPr>
        <w:pStyle w:val="Heading2"/>
        <w:numPr>
          <w:ilvl w:val="0"/>
          <w:numId w:val="0"/>
        </w:numPr>
        <w:jc w:val="both"/>
        <w:rPr>
          <w:rFonts w:ascii="Arial" w:hAnsi="Arial" w:cs="Arial"/>
          <w:b w:val="0"/>
          <w:bCs/>
          <w:szCs w:val="24"/>
        </w:rPr>
      </w:pPr>
      <w:r w:rsidRPr="00224A08">
        <w:rPr>
          <w:rFonts w:ascii="Arial" w:hAnsi="Arial" w:cs="Arial"/>
          <w:b w:val="0"/>
          <w:bCs/>
          <w:szCs w:val="24"/>
        </w:rPr>
        <w:t xml:space="preserve">The Fund has appointed a custodian </w:t>
      </w:r>
      <w:r>
        <w:rPr>
          <w:rFonts w:ascii="Arial" w:hAnsi="Arial" w:cs="Arial"/>
          <w:b w:val="0"/>
          <w:bCs/>
          <w:szCs w:val="24"/>
        </w:rPr>
        <w:t xml:space="preserve">(Northern Trust) </w:t>
      </w:r>
      <w:proofErr w:type="gramStart"/>
      <w:r w:rsidRPr="00224A08">
        <w:rPr>
          <w:rFonts w:ascii="Arial" w:hAnsi="Arial" w:cs="Arial"/>
          <w:b w:val="0"/>
          <w:bCs/>
          <w:szCs w:val="24"/>
        </w:rPr>
        <w:t>with regard to</w:t>
      </w:r>
      <w:proofErr w:type="gramEnd"/>
      <w:r w:rsidRPr="00224A08">
        <w:rPr>
          <w:rFonts w:ascii="Arial" w:hAnsi="Arial" w:cs="Arial"/>
          <w:b w:val="0"/>
          <w:bCs/>
          <w:szCs w:val="24"/>
        </w:rPr>
        <w:t xml:space="preserve"> the safekeeping of the assets in the Fund and other investment administrative requirements.</w:t>
      </w:r>
    </w:p>
    <w:p w14:paraId="58DB1264" w14:textId="77777777" w:rsidR="00B15CDD" w:rsidRPr="00224A08" w:rsidRDefault="00B15CDD" w:rsidP="00B15CDD">
      <w:pPr>
        <w:rPr>
          <w:lang w:eastAsia="en-US"/>
        </w:rPr>
      </w:pPr>
    </w:p>
    <w:p w14:paraId="675D670F"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Realisation of investments</w:t>
      </w:r>
    </w:p>
    <w:p w14:paraId="05479766" w14:textId="77777777" w:rsidR="00B15CDD" w:rsidRPr="00601B12" w:rsidRDefault="00B15CDD" w:rsidP="00B15CDD">
      <w:pPr>
        <w:pStyle w:val="Heading2"/>
        <w:numPr>
          <w:ilvl w:val="0"/>
          <w:numId w:val="0"/>
        </w:numPr>
        <w:ind w:left="360"/>
        <w:jc w:val="both"/>
        <w:rPr>
          <w:rFonts w:ascii="Arial" w:hAnsi="Arial" w:cs="Arial"/>
          <w:szCs w:val="24"/>
        </w:rPr>
      </w:pPr>
    </w:p>
    <w:p w14:paraId="2687DB94" w14:textId="77777777" w:rsidR="00B15CDD" w:rsidRPr="00601B12" w:rsidRDefault="00B15CDD" w:rsidP="00B15CDD">
      <w:pPr>
        <w:pStyle w:val="Heading2"/>
        <w:numPr>
          <w:ilvl w:val="0"/>
          <w:numId w:val="0"/>
        </w:numPr>
        <w:jc w:val="both"/>
        <w:rPr>
          <w:rFonts w:ascii="Arial" w:hAnsi="Arial" w:cs="Arial"/>
          <w:b w:val="0"/>
          <w:szCs w:val="24"/>
        </w:rPr>
      </w:pPr>
      <w:proofErr w:type="gramStart"/>
      <w:r w:rsidRPr="00601B12">
        <w:rPr>
          <w:rFonts w:ascii="Arial" w:hAnsi="Arial" w:cs="Arial"/>
          <w:b w:val="0"/>
          <w:szCs w:val="24"/>
        </w:rPr>
        <w:t>The majority of</w:t>
      </w:r>
      <w:proofErr w:type="gramEnd"/>
      <w:r w:rsidRPr="00601B12">
        <w:rPr>
          <w:rFonts w:ascii="Arial" w:hAnsi="Arial" w:cs="Arial"/>
          <w:b w:val="0"/>
          <w:szCs w:val="24"/>
        </w:rPr>
        <w:t xml:space="preserve"> the Fund’s investments are quoted on major stock markets and may be realised relatively quickly if required. A proportion of the Fund’s investments, including Property, Infrastructure and Diversified Alternatives, with </w:t>
      </w:r>
      <w:r>
        <w:rPr>
          <w:rFonts w:ascii="Arial" w:hAnsi="Arial" w:cs="Arial"/>
          <w:b w:val="0"/>
          <w:szCs w:val="24"/>
        </w:rPr>
        <w:t>5</w:t>
      </w:r>
      <w:r w:rsidRPr="00601B12">
        <w:rPr>
          <w:rFonts w:ascii="Arial" w:hAnsi="Arial" w:cs="Arial"/>
          <w:b w:val="0"/>
          <w:szCs w:val="24"/>
        </w:rPr>
        <w:t xml:space="preserve">%, </w:t>
      </w:r>
      <w:r>
        <w:rPr>
          <w:rFonts w:ascii="Arial" w:hAnsi="Arial" w:cs="Arial"/>
          <w:b w:val="0"/>
          <w:szCs w:val="24"/>
        </w:rPr>
        <w:t>8</w:t>
      </w:r>
      <w:r w:rsidRPr="00601B12">
        <w:rPr>
          <w:rFonts w:ascii="Arial" w:hAnsi="Arial" w:cs="Arial"/>
          <w:b w:val="0"/>
          <w:szCs w:val="24"/>
        </w:rPr>
        <w:t xml:space="preserve">% and </w:t>
      </w:r>
      <w:r>
        <w:rPr>
          <w:rFonts w:ascii="Arial" w:hAnsi="Arial" w:cs="Arial"/>
          <w:b w:val="0"/>
          <w:szCs w:val="24"/>
        </w:rPr>
        <w:t>9</w:t>
      </w:r>
      <w:r w:rsidRPr="00601B12">
        <w:rPr>
          <w:rFonts w:ascii="Arial" w:hAnsi="Arial" w:cs="Arial"/>
          <w:b w:val="0"/>
          <w:szCs w:val="24"/>
        </w:rPr>
        <w:t xml:space="preserve">% respective benchmark allocations, would take longer to be realised. </w:t>
      </w:r>
    </w:p>
    <w:p w14:paraId="44FF8718" w14:textId="77777777" w:rsidR="00B15CDD" w:rsidRPr="00601B12" w:rsidRDefault="00B15CDD" w:rsidP="00B15CDD">
      <w:pPr>
        <w:pStyle w:val="Heading2"/>
        <w:numPr>
          <w:ilvl w:val="0"/>
          <w:numId w:val="0"/>
        </w:numPr>
        <w:jc w:val="both"/>
        <w:rPr>
          <w:rFonts w:ascii="Arial" w:hAnsi="Arial" w:cs="Arial"/>
          <w:b w:val="0"/>
          <w:szCs w:val="24"/>
        </w:rPr>
      </w:pPr>
    </w:p>
    <w:p w14:paraId="19EE84C1" w14:textId="77777777" w:rsidR="00B15CDD" w:rsidRPr="00601B12" w:rsidRDefault="00B15CDD" w:rsidP="00B15CDD">
      <w:pPr>
        <w:pStyle w:val="Heading2"/>
        <w:numPr>
          <w:ilvl w:val="0"/>
          <w:numId w:val="0"/>
        </w:numPr>
        <w:jc w:val="both"/>
        <w:rPr>
          <w:rFonts w:ascii="Arial" w:hAnsi="Arial" w:cs="Arial"/>
          <w:b w:val="0"/>
          <w:szCs w:val="24"/>
        </w:rPr>
      </w:pPr>
      <w:r w:rsidRPr="00601B12">
        <w:rPr>
          <w:rFonts w:ascii="Arial" w:hAnsi="Arial" w:cs="Arial"/>
          <w:b w:val="0"/>
          <w:szCs w:val="24"/>
        </w:rPr>
        <w:t>The overall liquidity of the Fund’s assets is considered in the light of potential demands for cash.</w:t>
      </w:r>
    </w:p>
    <w:p w14:paraId="6E679C34" w14:textId="77777777" w:rsidR="00B15CDD" w:rsidRPr="00601B12" w:rsidRDefault="00B15CDD" w:rsidP="00B15CDD">
      <w:pPr>
        <w:pStyle w:val="BodyTextGrey"/>
        <w:spacing w:after="0" w:line="240" w:lineRule="auto"/>
        <w:jc w:val="both"/>
        <w:rPr>
          <w:color w:val="auto"/>
          <w:sz w:val="24"/>
          <w:szCs w:val="24"/>
        </w:rPr>
      </w:pPr>
    </w:p>
    <w:p w14:paraId="17E06AA8"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 xml:space="preserve">Expected return on </w:t>
      </w:r>
      <w:proofErr w:type="gramStart"/>
      <w:r w:rsidRPr="00601B12">
        <w:rPr>
          <w:rFonts w:ascii="Arial" w:hAnsi="Arial" w:cs="Arial"/>
          <w:szCs w:val="24"/>
        </w:rPr>
        <w:t>investments</w:t>
      </w:r>
      <w:proofErr w:type="gramEnd"/>
    </w:p>
    <w:p w14:paraId="17687AF0" w14:textId="77777777" w:rsidR="00B15CDD" w:rsidRPr="00E35F96" w:rsidRDefault="00B15CDD" w:rsidP="00B15CDD">
      <w:pPr>
        <w:rPr>
          <w:rFonts w:ascii="Arial" w:hAnsi="Arial" w:cs="Arial"/>
        </w:rPr>
      </w:pPr>
    </w:p>
    <w:p w14:paraId="1E40FCBE" w14:textId="77777777" w:rsidR="00B15CDD" w:rsidRDefault="00B15CDD" w:rsidP="00B15CDD">
      <w:pPr>
        <w:pStyle w:val="BodyTextGrey"/>
        <w:spacing w:after="0" w:line="240" w:lineRule="auto"/>
        <w:jc w:val="both"/>
        <w:rPr>
          <w:color w:val="auto"/>
          <w:sz w:val="24"/>
          <w:szCs w:val="24"/>
        </w:rPr>
      </w:pPr>
      <w:r w:rsidRPr="00601B12">
        <w:rPr>
          <w:color w:val="auto"/>
          <w:sz w:val="24"/>
          <w:szCs w:val="24"/>
        </w:rPr>
        <w:t>Over the long term, the overall level of investment returns is expected to exceed the rate of return assumed by the actuary in funding the Fund</w:t>
      </w:r>
      <w:r w:rsidRPr="000535C3">
        <w:rPr>
          <w:color w:val="auto"/>
          <w:sz w:val="24"/>
          <w:szCs w:val="24"/>
        </w:rPr>
        <w:t>. For the 20</w:t>
      </w:r>
      <w:r>
        <w:rPr>
          <w:color w:val="auto"/>
          <w:sz w:val="24"/>
          <w:szCs w:val="24"/>
        </w:rPr>
        <w:t>19</w:t>
      </w:r>
      <w:r w:rsidRPr="000535C3">
        <w:rPr>
          <w:color w:val="auto"/>
          <w:sz w:val="24"/>
          <w:szCs w:val="24"/>
        </w:rPr>
        <w:t xml:space="preserve"> triennial valuation the actuary has calculated the return expectation as 4.</w:t>
      </w:r>
      <w:r>
        <w:rPr>
          <w:color w:val="auto"/>
          <w:sz w:val="24"/>
          <w:szCs w:val="24"/>
        </w:rPr>
        <w:t>0</w:t>
      </w:r>
      <w:r w:rsidRPr="000535C3">
        <w:rPr>
          <w:color w:val="auto"/>
          <w:sz w:val="24"/>
          <w:szCs w:val="24"/>
        </w:rPr>
        <w:t>%.</w:t>
      </w:r>
    </w:p>
    <w:p w14:paraId="3E2CB74D" w14:textId="77777777" w:rsidR="00B15CDD" w:rsidRPr="00601B12" w:rsidRDefault="00B15CDD" w:rsidP="00B15CDD">
      <w:pPr>
        <w:pStyle w:val="BodyTextGrey"/>
        <w:spacing w:after="0" w:line="240" w:lineRule="auto"/>
        <w:jc w:val="both"/>
        <w:rPr>
          <w:color w:val="auto"/>
          <w:sz w:val="24"/>
          <w:szCs w:val="24"/>
        </w:rPr>
      </w:pPr>
    </w:p>
    <w:p w14:paraId="5480DA3D"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Social, Environmental and Ethical Considerations</w:t>
      </w:r>
      <w:r>
        <w:rPr>
          <w:rFonts w:ascii="Arial" w:hAnsi="Arial" w:cs="Arial"/>
          <w:szCs w:val="24"/>
        </w:rPr>
        <w:t xml:space="preserve"> (SEE)</w:t>
      </w:r>
      <w:r w:rsidRPr="00601B12">
        <w:rPr>
          <w:rFonts w:ascii="Arial" w:hAnsi="Arial" w:cs="Arial"/>
          <w:szCs w:val="24"/>
        </w:rPr>
        <w:t xml:space="preserve"> </w:t>
      </w:r>
      <w:r w:rsidRPr="00601B12">
        <w:rPr>
          <w:rFonts w:ascii="Arial" w:hAnsi="Arial" w:cs="Arial"/>
          <w:b w:val="0"/>
          <w:szCs w:val="24"/>
        </w:rPr>
        <w:t>(</w:t>
      </w:r>
      <w:r w:rsidRPr="00601B12">
        <w:rPr>
          <w:rFonts w:ascii="Arial" w:hAnsi="Arial" w:cs="Arial"/>
          <w:b w:val="0"/>
          <w:bCs/>
          <w:szCs w:val="24"/>
        </w:rPr>
        <w:t xml:space="preserve">Regulation 7(2)(e) - How </w:t>
      </w:r>
      <w:r>
        <w:rPr>
          <w:rFonts w:ascii="Arial" w:hAnsi="Arial" w:cs="Arial"/>
          <w:b w:val="0"/>
          <w:bCs/>
          <w:szCs w:val="24"/>
        </w:rPr>
        <w:t>SEE</w:t>
      </w:r>
      <w:r w:rsidRPr="00601B12">
        <w:rPr>
          <w:rFonts w:ascii="Arial" w:hAnsi="Arial" w:cs="Arial"/>
          <w:b w:val="0"/>
          <w:bCs/>
          <w:szCs w:val="24"/>
        </w:rPr>
        <w:t xml:space="preserve"> considerations are </w:t>
      </w:r>
      <w:proofErr w:type="gramStart"/>
      <w:r w:rsidRPr="00601B12">
        <w:rPr>
          <w:rFonts w:ascii="Arial" w:hAnsi="Arial" w:cs="Arial"/>
          <w:b w:val="0"/>
          <w:bCs/>
          <w:szCs w:val="24"/>
        </w:rPr>
        <w:t>taken into account</w:t>
      </w:r>
      <w:proofErr w:type="gramEnd"/>
      <w:r w:rsidRPr="00601B12">
        <w:rPr>
          <w:rFonts w:ascii="Arial" w:hAnsi="Arial" w:cs="Arial"/>
          <w:b w:val="0"/>
          <w:bCs/>
          <w:szCs w:val="24"/>
        </w:rPr>
        <w:t xml:space="preserve"> in the selection, non-selection, retention and realisation of investments</w:t>
      </w:r>
      <w:r>
        <w:rPr>
          <w:rFonts w:ascii="Arial" w:hAnsi="Arial" w:cs="Arial"/>
          <w:b w:val="0"/>
          <w:bCs/>
          <w:szCs w:val="24"/>
        </w:rPr>
        <w:t>.</w:t>
      </w:r>
    </w:p>
    <w:p w14:paraId="6E414B1F" w14:textId="77777777" w:rsidR="00B15CDD" w:rsidRPr="00E35F96" w:rsidRDefault="00B15CDD" w:rsidP="00B15CDD">
      <w:pPr>
        <w:rPr>
          <w:rFonts w:ascii="Arial" w:hAnsi="Arial" w:cs="Arial"/>
        </w:rPr>
      </w:pPr>
    </w:p>
    <w:p w14:paraId="59EBD2DB" w14:textId="77777777" w:rsidR="00B15CDD" w:rsidRPr="00601B12" w:rsidRDefault="00B15CDD" w:rsidP="00B15CDD">
      <w:pPr>
        <w:jc w:val="both"/>
        <w:rPr>
          <w:rFonts w:ascii="Arial" w:hAnsi="Arial" w:cs="Arial"/>
        </w:rPr>
      </w:pPr>
      <w:r w:rsidRPr="00601B12">
        <w:rPr>
          <w:rFonts w:ascii="Arial" w:hAnsi="Arial" w:cs="Arial"/>
        </w:rPr>
        <w:t xml:space="preserve">The Fund is committed to being a long-term steward of the assets in which it invests and expects this approach to protect and enhance the value of the Fund in the long term. In making investment decisions, the Fund seeks and receives proper advice from internal and external advisers with the requisite knowledge and skills. </w:t>
      </w:r>
    </w:p>
    <w:p w14:paraId="4704F94B" w14:textId="77777777" w:rsidR="00B15CDD" w:rsidRPr="00601B12" w:rsidRDefault="00B15CDD" w:rsidP="00B15CDD">
      <w:pPr>
        <w:jc w:val="both"/>
        <w:rPr>
          <w:rFonts w:ascii="Arial" w:hAnsi="Arial" w:cs="Arial"/>
        </w:rPr>
      </w:pPr>
    </w:p>
    <w:p w14:paraId="24DC9501"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Committee recognises SEE are among the factors which investment managers will </w:t>
      </w:r>
      <w:proofErr w:type="gramStart"/>
      <w:r w:rsidRPr="00601B12">
        <w:rPr>
          <w:color w:val="auto"/>
          <w:sz w:val="24"/>
          <w:szCs w:val="24"/>
        </w:rPr>
        <w:t>take into account</w:t>
      </w:r>
      <w:proofErr w:type="gramEnd"/>
      <w:r w:rsidRPr="00601B12">
        <w:rPr>
          <w:color w:val="auto"/>
          <w:sz w:val="24"/>
          <w:szCs w:val="24"/>
        </w:rPr>
        <w:t>, where relevant, when selecting investments for purchase, retention, or sale.</w:t>
      </w:r>
      <w:r w:rsidRPr="00601B12">
        <w:t xml:space="preserve"> </w:t>
      </w:r>
      <w:r w:rsidRPr="00601B12">
        <w:rPr>
          <w:color w:val="auto"/>
          <w:sz w:val="24"/>
          <w:szCs w:val="24"/>
        </w:rPr>
        <w:t xml:space="preserve">In addition, the Committee undertakes </w:t>
      </w:r>
      <w:r>
        <w:rPr>
          <w:color w:val="auto"/>
          <w:sz w:val="24"/>
          <w:szCs w:val="24"/>
        </w:rPr>
        <w:t xml:space="preserve">regular </w:t>
      </w:r>
      <w:r w:rsidRPr="00601B12">
        <w:rPr>
          <w:color w:val="auto"/>
          <w:sz w:val="24"/>
          <w:szCs w:val="24"/>
        </w:rPr>
        <w:t>training includ</w:t>
      </w:r>
      <w:r>
        <w:rPr>
          <w:color w:val="auto"/>
          <w:sz w:val="24"/>
          <w:szCs w:val="24"/>
        </w:rPr>
        <w:t>ing</w:t>
      </w:r>
      <w:r w:rsidRPr="00601B12">
        <w:rPr>
          <w:color w:val="auto"/>
          <w:sz w:val="24"/>
          <w:szCs w:val="24"/>
        </w:rPr>
        <w:t xml:space="preserve"> training and information sessions on </w:t>
      </w:r>
      <w:r>
        <w:rPr>
          <w:color w:val="auto"/>
          <w:sz w:val="24"/>
          <w:szCs w:val="24"/>
        </w:rPr>
        <w:t>SEE</w:t>
      </w:r>
      <w:r w:rsidRPr="00601B12">
        <w:rPr>
          <w:color w:val="auto"/>
          <w:sz w:val="24"/>
          <w:szCs w:val="24"/>
        </w:rPr>
        <w:t xml:space="preserve">.  </w:t>
      </w:r>
    </w:p>
    <w:p w14:paraId="3D4D0A46" w14:textId="77777777" w:rsidR="00B15CDD" w:rsidRPr="00601B12" w:rsidRDefault="00B15CDD" w:rsidP="00B15CDD">
      <w:pPr>
        <w:pStyle w:val="BodyTextGrey"/>
        <w:spacing w:after="0" w:line="240" w:lineRule="auto"/>
        <w:jc w:val="both"/>
        <w:rPr>
          <w:color w:val="auto"/>
          <w:sz w:val="24"/>
          <w:szCs w:val="24"/>
        </w:rPr>
      </w:pPr>
    </w:p>
    <w:p w14:paraId="4F900123" w14:textId="77777777" w:rsidR="00B15CDD" w:rsidRPr="00601B12" w:rsidRDefault="00B15CDD" w:rsidP="00B15CDD">
      <w:pPr>
        <w:jc w:val="both"/>
        <w:rPr>
          <w:rFonts w:ascii="Arial" w:hAnsi="Arial" w:cs="Arial"/>
        </w:rPr>
      </w:pPr>
      <w:r w:rsidRPr="00601B12">
        <w:rPr>
          <w:rFonts w:ascii="Arial" w:hAnsi="Arial" w:cs="Arial"/>
        </w:rPr>
        <w:t xml:space="preserve">The Fund requires its investment managers to integrate all material financial factors, including </w:t>
      </w:r>
      <w:r>
        <w:rPr>
          <w:rFonts w:ascii="Arial" w:hAnsi="Arial" w:cs="Arial"/>
        </w:rPr>
        <w:t>SEE</w:t>
      </w:r>
      <w:r w:rsidRPr="00601B12">
        <w:rPr>
          <w:rFonts w:ascii="Arial" w:hAnsi="Arial" w:cs="Arial"/>
        </w:rPr>
        <w:t>, into the decision-making process for all fund investments. It expects its managers to follow good practice and use their influence as major institutional investors and long-term stewards of capital to promote good practice in the investee companies and markets to which the Fund is exposed.</w:t>
      </w:r>
    </w:p>
    <w:p w14:paraId="62887028" w14:textId="77777777" w:rsidR="00B15CDD" w:rsidRPr="00601B12" w:rsidRDefault="00B15CDD" w:rsidP="00B15CDD">
      <w:pPr>
        <w:pStyle w:val="BodyTextGrey"/>
        <w:spacing w:after="0" w:line="240" w:lineRule="auto"/>
        <w:jc w:val="both"/>
        <w:rPr>
          <w:color w:val="auto"/>
          <w:sz w:val="24"/>
          <w:szCs w:val="24"/>
        </w:rPr>
      </w:pPr>
    </w:p>
    <w:p w14:paraId="2743A392" w14:textId="77777777" w:rsidR="00B15CDD" w:rsidRPr="00601B12" w:rsidRDefault="00B15CDD" w:rsidP="00B15CDD">
      <w:pPr>
        <w:pStyle w:val="Default"/>
        <w:jc w:val="both"/>
        <w:rPr>
          <w:color w:val="auto"/>
        </w:rPr>
      </w:pPr>
      <w:r w:rsidRPr="00601B12">
        <w:rPr>
          <w:color w:val="auto"/>
        </w:rPr>
        <w:t xml:space="preserve">The Fund expects its external investment managers (and specifically the London CIV through which the Fund will increasingly invest) to undertake appropriate monitoring of current investments regarding their policies and practices on all issues which could present a material financial risk to the long-term performance of the fund such as corporate governance and environmental factors. The Fund expects its fund managers to integrate material </w:t>
      </w:r>
      <w:r>
        <w:rPr>
          <w:color w:val="auto"/>
        </w:rPr>
        <w:t>SEE</w:t>
      </w:r>
      <w:r w:rsidRPr="00601B12">
        <w:rPr>
          <w:color w:val="auto"/>
        </w:rPr>
        <w:t xml:space="preserve"> factors within its investment analysis and decision making. </w:t>
      </w:r>
    </w:p>
    <w:p w14:paraId="68E6E73C" w14:textId="77777777" w:rsidR="00B15CDD" w:rsidRPr="00E35F96" w:rsidRDefault="00B15CDD" w:rsidP="00B15CDD">
      <w:pPr>
        <w:pStyle w:val="Default"/>
        <w:rPr>
          <w:color w:val="auto"/>
        </w:rPr>
      </w:pPr>
    </w:p>
    <w:p w14:paraId="7D41E8C5" w14:textId="77777777" w:rsidR="00B15CDD" w:rsidRPr="00601B12" w:rsidRDefault="00B15CDD" w:rsidP="00B15CDD">
      <w:pPr>
        <w:pStyle w:val="Default"/>
        <w:jc w:val="both"/>
        <w:rPr>
          <w:color w:val="auto"/>
        </w:rPr>
      </w:pPr>
      <w:r w:rsidRPr="00601B12">
        <w:rPr>
          <w:color w:val="auto"/>
        </w:rPr>
        <w:t xml:space="preserve">Effective monitoring and identification of these issues can enable engagement with boards and management of investee companies to seek resolution of potential problems at an early stage. Where collaboration is likely to be the most effective mechanism for encouraging issues to be addressed, the Fund expects its investment managers to participate in joint action with other institutional investors as permitted by relevant legal and regulatory codes. </w:t>
      </w:r>
    </w:p>
    <w:p w14:paraId="648BD70F" w14:textId="77777777" w:rsidR="00B15CDD" w:rsidRDefault="00B15CDD" w:rsidP="00B15CDD">
      <w:pPr>
        <w:pStyle w:val="Default"/>
        <w:jc w:val="both"/>
        <w:rPr>
          <w:color w:val="auto"/>
        </w:rPr>
      </w:pPr>
    </w:p>
    <w:p w14:paraId="63C64046" w14:textId="77777777" w:rsidR="00B15CDD" w:rsidRPr="00601B12" w:rsidRDefault="00B15CDD" w:rsidP="00B15CDD">
      <w:pPr>
        <w:pStyle w:val="Default"/>
        <w:jc w:val="both"/>
        <w:rPr>
          <w:color w:val="auto"/>
        </w:rPr>
      </w:pPr>
      <w:r>
        <w:rPr>
          <w:color w:val="auto"/>
        </w:rPr>
        <w:t>The Committee received training in February 2021 on Responsible Investment and the Fund is currently reviewing its equity allocations to improve the overall SEE exposure of the Fund and will be presented to Pension Committee in June 2021.</w:t>
      </w:r>
    </w:p>
    <w:p w14:paraId="479CB7DD" w14:textId="77777777" w:rsidR="00B15CDD" w:rsidRPr="00601B12" w:rsidRDefault="00B15CDD" w:rsidP="00B15CDD">
      <w:pPr>
        <w:pStyle w:val="Default"/>
        <w:jc w:val="both"/>
        <w:rPr>
          <w:color w:val="auto"/>
        </w:rPr>
      </w:pPr>
    </w:p>
    <w:p w14:paraId="62466B7B" w14:textId="77777777" w:rsidR="00B15CDD" w:rsidRPr="00601B12" w:rsidRDefault="00B15CDD" w:rsidP="00B15CDD">
      <w:pPr>
        <w:pStyle w:val="Default"/>
        <w:jc w:val="both"/>
        <w:rPr>
          <w:color w:val="auto"/>
        </w:rPr>
      </w:pPr>
      <w:r w:rsidRPr="00601B12">
        <w:rPr>
          <w:color w:val="auto"/>
        </w:rPr>
        <w:t xml:space="preserve">The Fund will invest </w:t>
      </w:r>
      <w:proofErr w:type="gramStart"/>
      <w:r w:rsidRPr="00601B12">
        <w:rPr>
          <w:color w:val="auto"/>
        </w:rPr>
        <w:t>on the basis of</w:t>
      </w:r>
      <w:proofErr w:type="gramEnd"/>
      <w:r w:rsidRPr="00601B12">
        <w:rPr>
          <w:color w:val="auto"/>
        </w:rPr>
        <w:t xml:space="preserve"> financial risk and return having considered a range of factors contributing to the financial risk including social, environment &amp; governance factors to the extent these directly or indirectly impact on financial risk and return. The Fund, in preparing and reviewing its ISS will consult with interested stakeholders including, but not limited to Fund employers, investment managers, Local Pension Board, advisers to the Fund and other parties that it deems appropriate to consult with. </w:t>
      </w:r>
    </w:p>
    <w:p w14:paraId="4296317D" w14:textId="77777777" w:rsidR="00B15CDD" w:rsidRPr="00601B12" w:rsidRDefault="00B15CDD" w:rsidP="00B15CDD">
      <w:pPr>
        <w:pStyle w:val="BodyTextGrey"/>
        <w:spacing w:after="0" w:line="240" w:lineRule="auto"/>
        <w:jc w:val="both"/>
        <w:rPr>
          <w:color w:val="auto"/>
          <w:sz w:val="24"/>
          <w:szCs w:val="24"/>
        </w:rPr>
      </w:pPr>
    </w:p>
    <w:p w14:paraId="16F56027" w14:textId="77777777" w:rsidR="00B15CDD" w:rsidRPr="00601B12" w:rsidRDefault="00B15CDD" w:rsidP="00B15CDD">
      <w:pPr>
        <w:autoSpaceDE w:val="0"/>
        <w:autoSpaceDN w:val="0"/>
        <w:adjustRightInd w:val="0"/>
        <w:jc w:val="both"/>
        <w:rPr>
          <w:rFonts w:ascii="Arial" w:hAnsi="Arial" w:cs="Arial"/>
          <w:u w:val="single"/>
        </w:rPr>
      </w:pPr>
      <w:r w:rsidRPr="00601B12">
        <w:rPr>
          <w:rFonts w:ascii="Arial" w:hAnsi="Arial" w:cs="Arial"/>
          <w:u w:val="single"/>
        </w:rPr>
        <w:t>Current Restrictions:</w:t>
      </w:r>
    </w:p>
    <w:p w14:paraId="5E76868B" w14:textId="77777777" w:rsidR="00B15CDD" w:rsidRPr="00601B12" w:rsidRDefault="00B15CDD" w:rsidP="00B15CDD">
      <w:pPr>
        <w:autoSpaceDE w:val="0"/>
        <w:autoSpaceDN w:val="0"/>
        <w:adjustRightInd w:val="0"/>
        <w:jc w:val="both"/>
        <w:rPr>
          <w:rFonts w:ascii="Arial" w:hAnsi="Arial" w:cs="Arial"/>
        </w:rPr>
      </w:pPr>
    </w:p>
    <w:p w14:paraId="04145C30" w14:textId="77777777" w:rsidR="00B15CDD" w:rsidRDefault="00B15CDD" w:rsidP="00B15CDD">
      <w:pPr>
        <w:autoSpaceDE w:val="0"/>
        <w:autoSpaceDN w:val="0"/>
        <w:adjustRightInd w:val="0"/>
        <w:jc w:val="both"/>
        <w:rPr>
          <w:rFonts w:ascii="Arial" w:hAnsi="Arial" w:cs="Arial"/>
        </w:rPr>
      </w:pPr>
      <w:r w:rsidRPr="00601B12">
        <w:rPr>
          <w:rFonts w:ascii="Arial" w:hAnsi="Arial" w:cs="Arial"/>
        </w:rPr>
        <w:t xml:space="preserve">At the March 2014 Committee Members agreed to restrict direct investment in tobacco but allow indirect investments in tobacco through pooled funds for both passive and active managers. This restriction </w:t>
      </w:r>
      <w:r>
        <w:rPr>
          <w:rFonts w:ascii="Arial" w:hAnsi="Arial" w:cs="Arial"/>
        </w:rPr>
        <w:t>is</w:t>
      </w:r>
      <w:r w:rsidRPr="00601B12">
        <w:rPr>
          <w:rFonts w:ascii="Arial" w:hAnsi="Arial" w:cs="Arial"/>
        </w:rPr>
        <w:t xml:space="preserve"> reviewed as part of each </w:t>
      </w:r>
      <w:r>
        <w:rPr>
          <w:rFonts w:ascii="Arial" w:hAnsi="Arial" w:cs="Arial"/>
        </w:rPr>
        <w:t>ISS</w:t>
      </w:r>
      <w:r w:rsidRPr="00601B12">
        <w:rPr>
          <w:rFonts w:ascii="Arial" w:hAnsi="Arial" w:cs="Arial"/>
        </w:rPr>
        <w:t xml:space="preserve"> Review.</w:t>
      </w:r>
    </w:p>
    <w:p w14:paraId="1C21612D" w14:textId="77777777" w:rsidR="00B15CDD" w:rsidRDefault="00B15CDD" w:rsidP="00B15CDD">
      <w:pPr>
        <w:autoSpaceDE w:val="0"/>
        <w:autoSpaceDN w:val="0"/>
        <w:adjustRightInd w:val="0"/>
        <w:jc w:val="both"/>
        <w:rPr>
          <w:rFonts w:ascii="Arial" w:hAnsi="Arial" w:cs="Arial"/>
        </w:rPr>
      </w:pPr>
    </w:p>
    <w:p w14:paraId="4799B69E" w14:textId="77777777" w:rsidR="00B15CDD" w:rsidRPr="00601B12" w:rsidRDefault="00B15CDD" w:rsidP="00B15CDD">
      <w:pPr>
        <w:pStyle w:val="Heading2"/>
        <w:jc w:val="both"/>
        <w:rPr>
          <w:rFonts w:ascii="Arial" w:hAnsi="Arial" w:cs="Arial"/>
          <w:b w:val="0"/>
          <w:szCs w:val="24"/>
        </w:rPr>
      </w:pPr>
      <w:r w:rsidRPr="00601B12">
        <w:rPr>
          <w:rFonts w:ascii="Arial" w:hAnsi="Arial" w:cs="Arial"/>
          <w:szCs w:val="24"/>
        </w:rPr>
        <w:t xml:space="preserve">Exercise of Voting Rights </w:t>
      </w:r>
      <w:r w:rsidRPr="00601B12">
        <w:rPr>
          <w:rFonts w:ascii="Arial" w:hAnsi="Arial" w:cs="Arial"/>
          <w:b w:val="0"/>
          <w:szCs w:val="24"/>
        </w:rPr>
        <w:t>(</w:t>
      </w:r>
      <w:r w:rsidRPr="00601B12">
        <w:rPr>
          <w:rFonts w:ascii="Arial" w:hAnsi="Arial" w:cs="Arial"/>
          <w:b w:val="0"/>
          <w:bCs/>
          <w:szCs w:val="24"/>
        </w:rPr>
        <w:t>Regulation 7(2)(f) - The exercise of rights (including voting rights) attaching to investments)</w:t>
      </w:r>
    </w:p>
    <w:p w14:paraId="6EFF98DF" w14:textId="77777777" w:rsidR="00B15CDD" w:rsidRPr="00E35F96" w:rsidRDefault="00B15CDD" w:rsidP="00B15CDD">
      <w:pPr>
        <w:rPr>
          <w:rFonts w:ascii="Arial" w:hAnsi="Arial" w:cs="Arial"/>
          <w:lang w:eastAsia="en-US"/>
        </w:rPr>
      </w:pPr>
    </w:p>
    <w:p w14:paraId="5E989C2B" w14:textId="77777777" w:rsidR="00B15CDD" w:rsidRPr="00601B12" w:rsidRDefault="00B15CDD" w:rsidP="00B15CDD">
      <w:pPr>
        <w:autoSpaceDE w:val="0"/>
        <w:autoSpaceDN w:val="0"/>
        <w:adjustRightInd w:val="0"/>
        <w:jc w:val="both"/>
        <w:rPr>
          <w:rFonts w:ascii="Arial" w:hAnsi="Arial" w:cs="Arial"/>
          <w:bCs/>
        </w:rPr>
      </w:pPr>
      <w:r w:rsidRPr="00601B12">
        <w:rPr>
          <w:rFonts w:ascii="Arial" w:hAnsi="Arial" w:cs="Arial"/>
          <w:bCs/>
        </w:rPr>
        <w:t>The Fund recognises the importance of its role as stewards of capital and the need to ensure the highest standards of governance and promoting corporate responsibility in the underlying companies in which its investments reside. The Fund recognises that ultimately this protects the financial interests of the Fund and its ultimate beneficiaries. The Fund has a commitment to actively exercising the ownership rights attached to its investments reflecting the Fund’s conviction that responsible asset owners should maintain oversight of the companies in which it ultimately invests recognising that the companies’ activities impact upon not only their customers and clients, but more widely upon their employees and other stakeholders and wider society.</w:t>
      </w:r>
    </w:p>
    <w:p w14:paraId="1FAC12E3" w14:textId="77777777" w:rsidR="00B15CDD" w:rsidRPr="00E35F96" w:rsidRDefault="00B15CDD" w:rsidP="00B15CDD">
      <w:pPr>
        <w:rPr>
          <w:rFonts w:ascii="Arial" w:hAnsi="Arial" w:cs="Arial"/>
          <w:lang w:eastAsia="en-US"/>
        </w:rPr>
      </w:pPr>
    </w:p>
    <w:p w14:paraId="275D4C35"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Committee has delegated the exercise of voting rights to the investment manager(s) on the basis that voting power will be exercised by them with the objective of preserving and enhancing long term shareholder value. Accordingly, the manager(s) has produced written guidelines of its process and practice in this regard. The manager(s) is encouraged to vote in line with its guidelines in respect of all resolutions at annual and extraordinary general meetings of companies. </w:t>
      </w:r>
    </w:p>
    <w:p w14:paraId="41415A81" w14:textId="77777777" w:rsidR="00B15CDD" w:rsidRPr="00601B12" w:rsidRDefault="00B15CDD" w:rsidP="00B15CDD">
      <w:pPr>
        <w:pStyle w:val="BodyTextGrey"/>
        <w:spacing w:after="0" w:line="240" w:lineRule="auto"/>
        <w:jc w:val="both"/>
        <w:rPr>
          <w:color w:val="auto"/>
          <w:sz w:val="24"/>
          <w:szCs w:val="24"/>
        </w:rPr>
      </w:pPr>
    </w:p>
    <w:p w14:paraId="0339EB1F"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Investments through LCIV are covered by the voting policy of the CIV which has been agreed by the Pensions Sectoral Joint Committee. Voting is delegated to the external managers and monitored on a quarterly basis. The CIV will arrange for managers to vote in accordance with voting alerts issued by the Local Authority Pension Fund Forum (LAPFF) as far as practically possible to do so and will hold managers to account where they have not voted in accordance with the LAPFF directions.</w:t>
      </w:r>
    </w:p>
    <w:p w14:paraId="5FFDB916" w14:textId="77777777" w:rsidR="00B15CDD" w:rsidRPr="00601B12" w:rsidRDefault="00B15CDD" w:rsidP="00B15CDD">
      <w:pPr>
        <w:pStyle w:val="BodyTextGrey"/>
        <w:spacing w:after="0" w:line="240" w:lineRule="auto"/>
        <w:jc w:val="both"/>
        <w:rPr>
          <w:b/>
          <w:color w:val="auto"/>
          <w:sz w:val="24"/>
          <w:szCs w:val="24"/>
        </w:rPr>
      </w:pPr>
    </w:p>
    <w:p w14:paraId="23B25D02" w14:textId="77777777" w:rsidR="00B15CDD" w:rsidRPr="00601B12" w:rsidRDefault="00B15CDD" w:rsidP="00B15CDD">
      <w:pPr>
        <w:pStyle w:val="BodyTextGrey"/>
        <w:jc w:val="both"/>
        <w:rPr>
          <w:color w:val="auto"/>
          <w:sz w:val="24"/>
          <w:szCs w:val="24"/>
        </w:rPr>
      </w:pPr>
      <w:r w:rsidRPr="00601B12">
        <w:rPr>
          <w:color w:val="auto"/>
          <w:sz w:val="24"/>
          <w:szCs w:val="24"/>
        </w:rPr>
        <w:t>The Fund will incorporate a report of voting activity as part of its Pension Fund Annual report which is published on the Council and Pension Fund website:</w:t>
      </w:r>
    </w:p>
    <w:p w14:paraId="0CA6E24F" w14:textId="77777777" w:rsidR="00B15CDD" w:rsidRPr="00601B12" w:rsidRDefault="00B15CDD" w:rsidP="007337FE">
      <w:pPr>
        <w:pStyle w:val="BodyTextGrey"/>
        <w:numPr>
          <w:ilvl w:val="0"/>
          <w:numId w:val="84"/>
        </w:numPr>
        <w:spacing w:after="0" w:line="252" w:lineRule="auto"/>
        <w:ind w:left="714" w:hanging="357"/>
        <w:jc w:val="both"/>
        <w:rPr>
          <w:color w:val="auto"/>
          <w:sz w:val="24"/>
          <w:szCs w:val="24"/>
        </w:rPr>
      </w:pPr>
      <w:r w:rsidRPr="00601B12">
        <w:rPr>
          <w:color w:val="auto"/>
          <w:sz w:val="24"/>
          <w:szCs w:val="24"/>
        </w:rPr>
        <w:t>The Fund has issued a Statement of Compliance with the Stewardship Code which can be found on the Council / Pension Fund website and has also agreed to become a signatory to the Code.</w:t>
      </w:r>
    </w:p>
    <w:p w14:paraId="7944963C" w14:textId="77777777" w:rsidR="00B15CDD" w:rsidRPr="00601B12" w:rsidRDefault="00B15CDD" w:rsidP="007337FE">
      <w:pPr>
        <w:pStyle w:val="BodyTextGrey"/>
        <w:numPr>
          <w:ilvl w:val="0"/>
          <w:numId w:val="84"/>
        </w:numPr>
        <w:spacing w:after="0" w:line="252" w:lineRule="auto"/>
        <w:ind w:left="714" w:hanging="357"/>
        <w:jc w:val="both"/>
        <w:rPr>
          <w:color w:val="auto"/>
          <w:sz w:val="24"/>
          <w:szCs w:val="24"/>
        </w:rPr>
      </w:pPr>
      <w:r w:rsidRPr="00601B12">
        <w:rPr>
          <w:color w:val="auto"/>
          <w:sz w:val="24"/>
          <w:szCs w:val="24"/>
        </w:rPr>
        <w:t>The Fund has reviewed the London CIV Statement of Compliance with the Stewardship Code and has agreed to adopt this Statement.</w:t>
      </w:r>
    </w:p>
    <w:p w14:paraId="57447C13" w14:textId="77777777" w:rsidR="00B15CDD" w:rsidRPr="00601B12" w:rsidRDefault="00B15CDD" w:rsidP="00B15CDD">
      <w:pPr>
        <w:pStyle w:val="BodyTextGrey"/>
        <w:spacing w:after="0" w:line="240" w:lineRule="auto"/>
        <w:jc w:val="both"/>
        <w:rPr>
          <w:color w:val="auto"/>
          <w:sz w:val="24"/>
          <w:szCs w:val="24"/>
        </w:rPr>
      </w:pPr>
    </w:p>
    <w:p w14:paraId="7958BD8A" w14:textId="77777777" w:rsidR="00B15CDD" w:rsidRPr="00601B12" w:rsidRDefault="00B15CDD" w:rsidP="00B15CDD">
      <w:pPr>
        <w:jc w:val="both"/>
        <w:rPr>
          <w:rFonts w:ascii="Arial" w:hAnsi="Arial" w:cs="Arial"/>
        </w:rPr>
      </w:pPr>
      <w:r w:rsidRPr="00601B12">
        <w:rPr>
          <w:rFonts w:ascii="Arial" w:hAnsi="Arial" w:cs="Arial"/>
        </w:rPr>
        <w:t xml:space="preserve">In addition, the Fund expects its investment managers to work collaboratively with others if this will lead to greater influence and deliver improved outcomes for shareholders and more broadly. </w:t>
      </w:r>
    </w:p>
    <w:p w14:paraId="5C6C52C3" w14:textId="77777777" w:rsidR="00B15CDD" w:rsidRPr="00601B12" w:rsidRDefault="00B15CDD" w:rsidP="00B15CDD">
      <w:pPr>
        <w:jc w:val="both"/>
        <w:rPr>
          <w:rFonts w:ascii="Arial" w:hAnsi="Arial" w:cs="Arial"/>
        </w:rPr>
      </w:pPr>
    </w:p>
    <w:p w14:paraId="42AFF7F4" w14:textId="77777777" w:rsidR="00B15CDD" w:rsidRPr="00601B12" w:rsidRDefault="00B15CDD" w:rsidP="00B15CDD">
      <w:pPr>
        <w:jc w:val="both"/>
        <w:rPr>
          <w:rFonts w:ascii="Arial" w:hAnsi="Arial" w:cs="Arial"/>
          <w:color w:val="000000" w:themeColor="text1"/>
        </w:rPr>
      </w:pPr>
      <w:r w:rsidRPr="00601B12">
        <w:rPr>
          <w:rFonts w:ascii="Arial" w:hAnsi="Arial" w:cs="Arial"/>
        </w:rPr>
        <w:t xml:space="preserve">The Fund, through its participation in the London CIV, will work closely with other LGPS Funds in London to enhance the level of engagement both with external managers and the underlying companies in which invests. </w:t>
      </w:r>
      <w:r w:rsidRPr="00601B12">
        <w:rPr>
          <w:rFonts w:ascii="Arial" w:hAnsi="Arial" w:cs="Arial"/>
          <w:color w:val="000000" w:themeColor="text1"/>
        </w:rPr>
        <w:t>In addition, the Fund:</w:t>
      </w:r>
    </w:p>
    <w:p w14:paraId="73C821CE" w14:textId="77777777" w:rsidR="00B15CDD" w:rsidRPr="00601B12" w:rsidRDefault="00B15CDD" w:rsidP="00B15CDD">
      <w:pPr>
        <w:autoSpaceDE w:val="0"/>
        <w:autoSpaceDN w:val="0"/>
        <w:adjustRightInd w:val="0"/>
        <w:jc w:val="both"/>
        <w:rPr>
          <w:rFonts w:ascii="Arial" w:hAnsi="Arial" w:cs="Arial"/>
          <w:bCs/>
          <w:color w:val="000000" w:themeColor="text1"/>
        </w:rPr>
      </w:pPr>
    </w:p>
    <w:p w14:paraId="5FC5D7B1" w14:textId="77777777" w:rsidR="00B15CDD" w:rsidRPr="00601B12" w:rsidRDefault="00B15CDD" w:rsidP="007337FE">
      <w:pPr>
        <w:pStyle w:val="ListParagraph"/>
        <w:numPr>
          <w:ilvl w:val="0"/>
          <w:numId w:val="85"/>
        </w:numPr>
        <w:jc w:val="both"/>
        <w:rPr>
          <w:rFonts w:ascii="Arial" w:hAnsi="Arial" w:cs="Arial"/>
          <w:color w:val="000000" w:themeColor="text1"/>
          <w:sz w:val="24"/>
          <w:szCs w:val="24"/>
        </w:rPr>
      </w:pPr>
      <w:r w:rsidRPr="00601B12">
        <w:rPr>
          <w:rFonts w:ascii="Arial" w:hAnsi="Arial" w:cs="Arial"/>
          <w:color w:val="000000" w:themeColor="text1"/>
          <w:sz w:val="24"/>
          <w:szCs w:val="24"/>
        </w:rPr>
        <w:t xml:space="preserve">is a member of the LAPFF and in this way joins with other LGPS Funds to magnify its voice and maximise the influence of investors as asset </w:t>
      </w:r>
      <w:proofErr w:type="gramStart"/>
      <w:r w:rsidRPr="00601B12">
        <w:rPr>
          <w:rFonts w:ascii="Arial" w:hAnsi="Arial" w:cs="Arial"/>
          <w:color w:val="000000" w:themeColor="text1"/>
          <w:sz w:val="24"/>
          <w:szCs w:val="24"/>
        </w:rPr>
        <w:t>owners</w:t>
      </w:r>
      <w:proofErr w:type="gramEnd"/>
    </w:p>
    <w:p w14:paraId="43F084E1" w14:textId="77777777" w:rsidR="00B15CDD" w:rsidRPr="00601B12" w:rsidRDefault="00B15CDD" w:rsidP="007337FE">
      <w:pPr>
        <w:pStyle w:val="ListParagraph"/>
        <w:numPr>
          <w:ilvl w:val="0"/>
          <w:numId w:val="85"/>
        </w:numPr>
        <w:jc w:val="both"/>
        <w:rPr>
          <w:rFonts w:ascii="Arial" w:hAnsi="Arial" w:cs="Arial"/>
          <w:color w:val="000000" w:themeColor="text1"/>
          <w:sz w:val="24"/>
          <w:szCs w:val="24"/>
        </w:rPr>
      </w:pPr>
      <w:r w:rsidRPr="00601B12">
        <w:rPr>
          <w:rFonts w:ascii="Arial" w:hAnsi="Arial" w:cs="Arial"/>
          <w:color w:val="000000" w:themeColor="text1"/>
          <w:sz w:val="24"/>
          <w:szCs w:val="24"/>
        </w:rPr>
        <w:t xml:space="preserve">gives support to shareholder resolutions where these reflect concerns which are shared and represent the Fund </w:t>
      </w:r>
      <w:proofErr w:type="gramStart"/>
      <w:r w:rsidRPr="00601B12">
        <w:rPr>
          <w:rFonts w:ascii="Arial" w:hAnsi="Arial" w:cs="Arial"/>
          <w:color w:val="000000" w:themeColor="text1"/>
          <w:sz w:val="24"/>
          <w:szCs w:val="24"/>
        </w:rPr>
        <w:t>interest</w:t>
      </w:r>
      <w:proofErr w:type="gramEnd"/>
    </w:p>
    <w:p w14:paraId="7D2694EF" w14:textId="77777777" w:rsidR="00B15CDD" w:rsidRPr="00601B12" w:rsidRDefault="00B15CDD" w:rsidP="007337FE">
      <w:pPr>
        <w:pStyle w:val="ListParagraph"/>
        <w:numPr>
          <w:ilvl w:val="0"/>
          <w:numId w:val="85"/>
        </w:numPr>
        <w:jc w:val="both"/>
        <w:rPr>
          <w:rFonts w:ascii="Arial" w:hAnsi="Arial" w:cs="Arial"/>
          <w:color w:val="000000" w:themeColor="text1"/>
          <w:sz w:val="24"/>
          <w:szCs w:val="24"/>
        </w:rPr>
      </w:pPr>
      <w:r w:rsidRPr="00601B12">
        <w:rPr>
          <w:rFonts w:ascii="Arial" w:hAnsi="Arial" w:cs="Arial"/>
          <w:color w:val="000000" w:themeColor="text1"/>
          <w:sz w:val="24"/>
          <w:szCs w:val="24"/>
        </w:rPr>
        <w:t xml:space="preserve">joins wider lobbying activities where appropriate opportunities arise. </w:t>
      </w:r>
    </w:p>
    <w:p w14:paraId="4C2C95ED"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Stock Lending</w:t>
      </w:r>
    </w:p>
    <w:p w14:paraId="65807DBC" w14:textId="77777777" w:rsidR="00B15CDD" w:rsidRPr="00E35F96" w:rsidRDefault="00B15CDD" w:rsidP="00B15CDD">
      <w:pPr>
        <w:rPr>
          <w:rFonts w:ascii="Arial" w:hAnsi="Arial" w:cs="Arial"/>
        </w:rPr>
      </w:pPr>
    </w:p>
    <w:p w14:paraId="0D6490EF"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policy on stock lending reflects the nature of the mandates awarded to investment managers by the Committee, which include both pooled and segregated mandates. </w:t>
      </w:r>
    </w:p>
    <w:p w14:paraId="6618C90F" w14:textId="77777777" w:rsidR="00B15CDD" w:rsidRPr="00601B12" w:rsidRDefault="00B15CDD" w:rsidP="00B15CDD">
      <w:pPr>
        <w:pStyle w:val="BodyTextGrey"/>
        <w:spacing w:after="0" w:line="240" w:lineRule="auto"/>
        <w:jc w:val="both"/>
        <w:rPr>
          <w:b/>
          <w:color w:val="auto"/>
          <w:sz w:val="24"/>
          <w:szCs w:val="24"/>
        </w:rPr>
      </w:pPr>
    </w:p>
    <w:p w14:paraId="5FE6330B"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The Committee has considered its approach to stock lending, taking advice from its investment advisers. After consideration of that advice, the Committee has given authority to its custodian to lend stocks (principally equities) within its mandates subject to agreed collateral being provided and an overall restriction that the proportion of Fund assets that are available to be lent at any time is limited to 25% of Fund assets.</w:t>
      </w:r>
    </w:p>
    <w:p w14:paraId="1D410ABC" w14:textId="77777777" w:rsidR="00B15CDD" w:rsidRPr="00601B12" w:rsidRDefault="00B15CDD" w:rsidP="00B15CDD">
      <w:pPr>
        <w:pStyle w:val="BodyTextGrey"/>
        <w:spacing w:after="0" w:line="240" w:lineRule="auto"/>
        <w:jc w:val="both"/>
        <w:rPr>
          <w:color w:val="auto"/>
          <w:sz w:val="24"/>
          <w:szCs w:val="24"/>
        </w:rPr>
      </w:pPr>
    </w:p>
    <w:p w14:paraId="63458AB0"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Stock lending does not prevent any investments from being sold. Safeguards are in place to reduce the risk of financial loss to the Fund in the event of default. These safeguards include receiving liquid collateral </w:t>
      </w:r>
      <w:proofErr w:type="gramStart"/>
      <w:r w:rsidRPr="00601B12">
        <w:rPr>
          <w:color w:val="auto"/>
          <w:sz w:val="24"/>
          <w:szCs w:val="24"/>
        </w:rPr>
        <w:t>in excess of</w:t>
      </w:r>
      <w:proofErr w:type="gramEnd"/>
      <w:r w:rsidRPr="00601B12">
        <w:rPr>
          <w:color w:val="auto"/>
          <w:sz w:val="24"/>
          <w:szCs w:val="24"/>
        </w:rPr>
        <w:t xml:space="preserve"> the value of the loan, indemnity agreement with the lending agent and regular reviews of creditworthiness of potential borrowers. The Committee reviews its policy on stock lending (including the amount and type of collateral used) on a regular basis. </w:t>
      </w:r>
    </w:p>
    <w:p w14:paraId="7DE66B35" w14:textId="77777777" w:rsidR="00B15CDD" w:rsidRPr="00601B12" w:rsidRDefault="00B15CDD" w:rsidP="00B15CDD">
      <w:pPr>
        <w:pStyle w:val="BodyTextGrey"/>
        <w:spacing w:after="0" w:line="240" w:lineRule="auto"/>
        <w:jc w:val="both"/>
        <w:rPr>
          <w:color w:val="auto"/>
          <w:sz w:val="24"/>
          <w:szCs w:val="24"/>
        </w:rPr>
      </w:pPr>
    </w:p>
    <w:p w14:paraId="0BABD854" w14:textId="77777777" w:rsidR="00B15CDD" w:rsidRPr="00601B12" w:rsidRDefault="00B15CDD" w:rsidP="00B15CDD">
      <w:pPr>
        <w:pStyle w:val="Heading2"/>
        <w:jc w:val="both"/>
        <w:rPr>
          <w:rFonts w:ascii="Arial" w:hAnsi="Arial" w:cs="Arial"/>
          <w:szCs w:val="24"/>
        </w:rPr>
      </w:pPr>
      <w:r w:rsidRPr="00601B12">
        <w:rPr>
          <w:rFonts w:ascii="Arial" w:hAnsi="Arial" w:cs="Arial"/>
          <w:color w:val="000000" w:themeColor="text1"/>
          <w:szCs w:val="24"/>
        </w:rPr>
        <w:t>Safekeeping of Assets</w:t>
      </w:r>
    </w:p>
    <w:p w14:paraId="5A96BC98" w14:textId="77777777" w:rsidR="00B15CDD" w:rsidRPr="00601B12" w:rsidRDefault="00B15CDD" w:rsidP="00B15CDD">
      <w:pPr>
        <w:pStyle w:val="BodyTextGrey"/>
        <w:spacing w:after="0" w:line="240" w:lineRule="auto"/>
        <w:jc w:val="both"/>
        <w:rPr>
          <w:b/>
          <w:i/>
          <w:color w:val="000000" w:themeColor="text1"/>
          <w:sz w:val="24"/>
          <w:szCs w:val="24"/>
        </w:rPr>
      </w:pPr>
    </w:p>
    <w:p w14:paraId="63CE0841" w14:textId="77777777" w:rsidR="00B15CDD" w:rsidRPr="00601B12" w:rsidRDefault="00B15CDD" w:rsidP="00B15CDD">
      <w:pPr>
        <w:pStyle w:val="BodyTextGrey"/>
        <w:spacing w:after="0" w:line="240" w:lineRule="auto"/>
        <w:jc w:val="both"/>
        <w:rPr>
          <w:i/>
          <w:color w:val="000000" w:themeColor="text1"/>
          <w:sz w:val="24"/>
          <w:szCs w:val="24"/>
        </w:rPr>
      </w:pPr>
      <w:r w:rsidRPr="00601B12">
        <w:rPr>
          <w:color w:val="000000" w:themeColor="text1"/>
          <w:sz w:val="24"/>
          <w:szCs w:val="24"/>
        </w:rPr>
        <w:t>A global custodian is employed to ensure the safekeeping of investments</w:t>
      </w:r>
      <w:r w:rsidRPr="00601B12">
        <w:rPr>
          <w:i/>
          <w:color w:val="000000" w:themeColor="text1"/>
          <w:sz w:val="24"/>
          <w:szCs w:val="24"/>
        </w:rPr>
        <w:t xml:space="preserve">.  </w:t>
      </w:r>
    </w:p>
    <w:p w14:paraId="721F9B2C" w14:textId="77777777" w:rsidR="00B15CDD" w:rsidRPr="00601B12" w:rsidRDefault="00B15CDD" w:rsidP="00B15CDD">
      <w:pPr>
        <w:pStyle w:val="BodyTextGrey"/>
        <w:spacing w:after="0" w:line="240" w:lineRule="auto"/>
        <w:jc w:val="both"/>
        <w:rPr>
          <w:b/>
          <w:i/>
          <w:color w:val="000000" w:themeColor="text1"/>
          <w:sz w:val="24"/>
          <w:szCs w:val="24"/>
        </w:rPr>
      </w:pPr>
    </w:p>
    <w:p w14:paraId="4190E6F6" w14:textId="77777777" w:rsidR="00B15CDD" w:rsidRPr="00601B12" w:rsidRDefault="00B15CDD" w:rsidP="00B15CDD">
      <w:pPr>
        <w:pStyle w:val="Heading2"/>
        <w:jc w:val="both"/>
        <w:rPr>
          <w:rFonts w:ascii="Arial" w:hAnsi="Arial" w:cs="Arial"/>
          <w:szCs w:val="24"/>
        </w:rPr>
      </w:pPr>
      <w:r w:rsidRPr="00601B12">
        <w:rPr>
          <w:rFonts w:ascii="Arial" w:hAnsi="Arial" w:cs="Arial"/>
          <w:bCs/>
          <w:szCs w:val="24"/>
        </w:rPr>
        <w:t>Performance measurement</w:t>
      </w:r>
    </w:p>
    <w:p w14:paraId="6EF94E7F" w14:textId="77777777" w:rsidR="00B15CDD" w:rsidRPr="00601B12" w:rsidRDefault="00B15CDD" w:rsidP="00B15CDD">
      <w:pPr>
        <w:pStyle w:val="Heading2"/>
        <w:numPr>
          <w:ilvl w:val="0"/>
          <w:numId w:val="0"/>
        </w:numPr>
        <w:ind w:left="360"/>
        <w:jc w:val="both"/>
        <w:rPr>
          <w:rFonts w:ascii="Arial" w:hAnsi="Arial" w:cs="Arial"/>
          <w:bCs/>
          <w:szCs w:val="24"/>
        </w:rPr>
      </w:pPr>
    </w:p>
    <w:p w14:paraId="6D4543E3" w14:textId="77777777" w:rsidR="00B15CDD" w:rsidRPr="00601B12" w:rsidRDefault="00B15CDD" w:rsidP="00B15CDD">
      <w:pPr>
        <w:pStyle w:val="Heading2"/>
        <w:numPr>
          <w:ilvl w:val="0"/>
          <w:numId w:val="0"/>
        </w:numPr>
        <w:jc w:val="both"/>
        <w:rPr>
          <w:rFonts w:ascii="Arial" w:hAnsi="Arial" w:cs="Arial"/>
          <w:b w:val="0"/>
          <w:szCs w:val="24"/>
        </w:rPr>
      </w:pPr>
      <w:r w:rsidRPr="00601B12">
        <w:rPr>
          <w:rFonts w:ascii="Arial" w:hAnsi="Arial" w:cs="Arial"/>
          <w:b w:val="0"/>
          <w:szCs w:val="24"/>
        </w:rPr>
        <w:t xml:space="preserve">An independent provider is employed to calculate performance for the Funds. Each quarter, the Committee considers the performance of the combined assets and each manager’s portfolio against their respective benchmark. The Committee review performance on an annual basis. </w:t>
      </w:r>
    </w:p>
    <w:p w14:paraId="154A4F15" w14:textId="77777777" w:rsidR="00B15CDD" w:rsidRPr="00E35F96" w:rsidRDefault="00B15CDD" w:rsidP="00B15CDD">
      <w:pPr>
        <w:rPr>
          <w:rFonts w:ascii="Arial" w:hAnsi="Arial" w:cs="Arial"/>
        </w:rPr>
      </w:pPr>
    </w:p>
    <w:p w14:paraId="5EC89698" w14:textId="77777777" w:rsidR="00B15CDD" w:rsidRPr="00601B12" w:rsidRDefault="00B15CDD" w:rsidP="00B15CDD">
      <w:pPr>
        <w:pStyle w:val="Heading2"/>
        <w:jc w:val="both"/>
        <w:rPr>
          <w:rFonts w:ascii="Arial" w:hAnsi="Arial" w:cs="Arial"/>
          <w:szCs w:val="24"/>
        </w:rPr>
      </w:pPr>
      <w:r w:rsidRPr="00601B12">
        <w:rPr>
          <w:rFonts w:ascii="Arial" w:hAnsi="Arial" w:cs="Arial"/>
          <w:color w:val="000000" w:themeColor="text1"/>
          <w:szCs w:val="24"/>
        </w:rPr>
        <w:t>Stewardship Code</w:t>
      </w:r>
    </w:p>
    <w:p w14:paraId="50462760" w14:textId="77777777" w:rsidR="00B15CDD" w:rsidRPr="00601B12" w:rsidRDefault="00B15CDD" w:rsidP="00B15CDD">
      <w:pPr>
        <w:pStyle w:val="Heading2"/>
        <w:numPr>
          <w:ilvl w:val="0"/>
          <w:numId w:val="0"/>
        </w:numPr>
        <w:ind w:left="360"/>
        <w:jc w:val="both"/>
        <w:rPr>
          <w:rFonts w:ascii="Arial" w:hAnsi="Arial" w:cs="Arial"/>
          <w:color w:val="000000" w:themeColor="text1"/>
          <w:szCs w:val="24"/>
        </w:rPr>
      </w:pPr>
    </w:p>
    <w:p w14:paraId="2E6165C4" w14:textId="77777777" w:rsidR="00B15CDD" w:rsidRPr="00601B12" w:rsidRDefault="00B15CDD" w:rsidP="00B15CDD">
      <w:pPr>
        <w:pStyle w:val="Heading2"/>
        <w:numPr>
          <w:ilvl w:val="0"/>
          <w:numId w:val="0"/>
        </w:numPr>
        <w:jc w:val="both"/>
        <w:rPr>
          <w:rFonts w:ascii="Arial" w:hAnsi="Arial" w:cs="Arial"/>
          <w:b w:val="0"/>
          <w:color w:val="000000" w:themeColor="text1"/>
          <w:szCs w:val="24"/>
        </w:rPr>
      </w:pPr>
      <w:r w:rsidRPr="00601B12">
        <w:rPr>
          <w:rFonts w:ascii="Arial" w:hAnsi="Arial" w:cs="Arial"/>
          <w:b w:val="0"/>
          <w:color w:val="000000" w:themeColor="text1"/>
          <w:szCs w:val="24"/>
        </w:rPr>
        <w:t>The UK Stewardship Code (SC) aims to enhance the quality of engagement between institutional investors and companies to help improve long-term returns to shareholders and the efficient exercise of governance responsibilities. The Code sets out good practice on engagement with investee companies to which the FRC believes institutional investors should aspire and operates on a 'comply or explain' basis. In accordance with the Statutory Guidance of September 2016 the Fund has determined that it should become a Signatory to the Code (see Appendix D).</w:t>
      </w:r>
    </w:p>
    <w:p w14:paraId="6989EC83" w14:textId="77777777" w:rsidR="00B15CDD" w:rsidRPr="00E35F96" w:rsidRDefault="00B15CDD" w:rsidP="00B15CDD">
      <w:pPr>
        <w:rPr>
          <w:rFonts w:ascii="Arial" w:hAnsi="Arial" w:cs="Arial"/>
        </w:rPr>
      </w:pPr>
    </w:p>
    <w:p w14:paraId="6B435566" w14:textId="77777777" w:rsidR="00B15CDD" w:rsidRPr="00601B12" w:rsidRDefault="00B15CDD" w:rsidP="00B15CDD">
      <w:pPr>
        <w:pStyle w:val="Heading2"/>
        <w:jc w:val="both"/>
        <w:rPr>
          <w:rFonts w:ascii="Arial" w:hAnsi="Arial" w:cs="Arial"/>
          <w:szCs w:val="24"/>
        </w:rPr>
      </w:pPr>
      <w:r w:rsidRPr="00601B12">
        <w:rPr>
          <w:rFonts w:ascii="Arial" w:hAnsi="Arial" w:cs="Arial"/>
          <w:szCs w:val="24"/>
        </w:rPr>
        <w:t>Additional Voluntary Contributions (AVCs)</w:t>
      </w:r>
    </w:p>
    <w:p w14:paraId="113014E8" w14:textId="77777777" w:rsidR="00B15CDD" w:rsidRPr="00601B12" w:rsidRDefault="00B15CDD" w:rsidP="00B15CDD">
      <w:pPr>
        <w:pStyle w:val="BodyTextGrey"/>
        <w:spacing w:after="0" w:line="240" w:lineRule="auto"/>
        <w:jc w:val="both"/>
        <w:rPr>
          <w:color w:val="auto"/>
          <w:sz w:val="24"/>
          <w:szCs w:val="24"/>
        </w:rPr>
      </w:pPr>
    </w:p>
    <w:p w14:paraId="7C9EBCA7" w14:textId="77777777" w:rsidR="00B15CDD" w:rsidRPr="00601B12" w:rsidRDefault="00B15CDD" w:rsidP="00B15CDD">
      <w:pPr>
        <w:pStyle w:val="BodyTextGrey"/>
        <w:spacing w:after="0" w:line="240" w:lineRule="auto"/>
        <w:jc w:val="both"/>
        <w:rPr>
          <w:b/>
          <w:color w:val="auto"/>
          <w:sz w:val="24"/>
          <w:szCs w:val="24"/>
        </w:rPr>
      </w:pPr>
      <w:r w:rsidRPr="00601B12">
        <w:rPr>
          <w:color w:val="auto"/>
          <w:sz w:val="24"/>
          <w:szCs w:val="24"/>
        </w:rPr>
        <w:t xml:space="preserve">The Committee gives members the opportunity to invest in a range of vehicles at the members' discretion.  Currently AVC is managed by Prudential Plc. </w:t>
      </w:r>
    </w:p>
    <w:p w14:paraId="70B85198" w14:textId="77777777" w:rsidR="00B15CDD" w:rsidRPr="00601B12" w:rsidRDefault="00B15CDD" w:rsidP="00B15CDD">
      <w:pPr>
        <w:pStyle w:val="BodyTextGrey"/>
        <w:spacing w:after="0" w:line="240" w:lineRule="auto"/>
        <w:jc w:val="both"/>
        <w:rPr>
          <w:b/>
          <w:color w:val="auto"/>
          <w:sz w:val="24"/>
          <w:szCs w:val="24"/>
        </w:rPr>
      </w:pPr>
    </w:p>
    <w:p w14:paraId="6A1F2908" w14:textId="77777777" w:rsidR="00B15CDD" w:rsidRPr="00601B12" w:rsidRDefault="00B15CDD" w:rsidP="00B15CDD">
      <w:pPr>
        <w:pStyle w:val="BodyTextGrey"/>
        <w:spacing w:after="0" w:line="240" w:lineRule="auto"/>
        <w:jc w:val="both"/>
        <w:rPr>
          <w:b/>
          <w:color w:val="auto"/>
          <w:sz w:val="24"/>
          <w:szCs w:val="24"/>
        </w:rPr>
      </w:pPr>
      <w:r w:rsidRPr="00601B12">
        <w:rPr>
          <w:b/>
          <w:color w:val="auto"/>
          <w:sz w:val="24"/>
          <w:szCs w:val="24"/>
        </w:rPr>
        <w:t>Signed for and on Behalf of the Fund</w:t>
      </w:r>
    </w:p>
    <w:p w14:paraId="4875F8A3" w14:textId="77777777" w:rsidR="00B15CDD" w:rsidRPr="00601B12" w:rsidRDefault="00B15CDD" w:rsidP="00B15CDD">
      <w:pPr>
        <w:pStyle w:val="BodyTextGrey"/>
        <w:spacing w:after="0" w:line="240" w:lineRule="auto"/>
        <w:jc w:val="both"/>
        <w:rPr>
          <w:color w:val="auto"/>
          <w:sz w:val="24"/>
          <w:szCs w:val="24"/>
        </w:rPr>
      </w:pPr>
    </w:p>
    <w:tbl>
      <w:tblPr>
        <w:tblW w:w="9371" w:type="dxa"/>
        <w:tblInd w:w="108" w:type="dxa"/>
        <w:tblLayout w:type="fixed"/>
        <w:tblLook w:val="0000" w:firstRow="0" w:lastRow="0" w:firstColumn="0" w:lastColumn="0" w:noHBand="0" w:noVBand="0"/>
      </w:tblPr>
      <w:tblGrid>
        <w:gridCol w:w="4402"/>
        <w:gridCol w:w="851"/>
        <w:gridCol w:w="4118"/>
      </w:tblGrid>
      <w:tr w:rsidR="00B15CDD" w:rsidRPr="00601B12" w14:paraId="51ED7C1C" w14:textId="77777777" w:rsidTr="00A660AD">
        <w:trPr>
          <w:trHeight w:val="279"/>
        </w:trPr>
        <w:tc>
          <w:tcPr>
            <w:tcW w:w="4402" w:type="dxa"/>
            <w:tcBorders>
              <w:bottom w:val="single" w:sz="4" w:space="0" w:color="auto"/>
            </w:tcBorders>
          </w:tcPr>
          <w:p w14:paraId="70D07228" w14:textId="77777777" w:rsidR="00B15CDD" w:rsidRPr="00601B12" w:rsidRDefault="00B15CDD" w:rsidP="00A660AD">
            <w:pPr>
              <w:pStyle w:val="BodyTextGrey"/>
              <w:spacing w:after="0" w:line="240" w:lineRule="auto"/>
              <w:jc w:val="both"/>
              <w:rPr>
                <w:b/>
                <w:color w:val="auto"/>
                <w:sz w:val="24"/>
                <w:szCs w:val="24"/>
              </w:rPr>
            </w:pPr>
          </w:p>
          <w:p w14:paraId="07B86CC9" w14:textId="77777777" w:rsidR="00B15CDD" w:rsidRPr="00601B12" w:rsidRDefault="00B15CDD" w:rsidP="00A660AD">
            <w:pPr>
              <w:pStyle w:val="BodyTextGrey"/>
              <w:spacing w:after="0" w:line="240" w:lineRule="auto"/>
              <w:jc w:val="both"/>
              <w:rPr>
                <w:b/>
                <w:color w:val="auto"/>
                <w:sz w:val="24"/>
                <w:szCs w:val="24"/>
              </w:rPr>
            </w:pPr>
          </w:p>
        </w:tc>
        <w:tc>
          <w:tcPr>
            <w:tcW w:w="851" w:type="dxa"/>
          </w:tcPr>
          <w:p w14:paraId="4931FF0F" w14:textId="77777777" w:rsidR="00B15CDD" w:rsidRPr="00601B12" w:rsidRDefault="00B15CDD" w:rsidP="00A660AD">
            <w:pPr>
              <w:pStyle w:val="BodyTextGrey"/>
              <w:spacing w:after="0" w:line="240" w:lineRule="auto"/>
              <w:jc w:val="both"/>
              <w:rPr>
                <w:b/>
                <w:color w:val="auto"/>
                <w:sz w:val="24"/>
                <w:szCs w:val="24"/>
              </w:rPr>
            </w:pPr>
          </w:p>
        </w:tc>
        <w:tc>
          <w:tcPr>
            <w:tcW w:w="4118" w:type="dxa"/>
            <w:tcBorders>
              <w:bottom w:val="single" w:sz="4" w:space="0" w:color="auto"/>
            </w:tcBorders>
          </w:tcPr>
          <w:p w14:paraId="1E12CA74" w14:textId="77777777" w:rsidR="00B15CDD" w:rsidRPr="00601B12" w:rsidRDefault="00B15CDD" w:rsidP="00A660AD">
            <w:pPr>
              <w:pStyle w:val="BodyTextGrey"/>
              <w:spacing w:after="0" w:line="240" w:lineRule="auto"/>
              <w:jc w:val="both"/>
              <w:rPr>
                <w:b/>
                <w:color w:val="auto"/>
                <w:sz w:val="24"/>
                <w:szCs w:val="24"/>
              </w:rPr>
            </w:pPr>
          </w:p>
        </w:tc>
      </w:tr>
      <w:tr w:rsidR="00B15CDD" w:rsidRPr="00601B12" w14:paraId="2EC602D5" w14:textId="77777777" w:rsidTr="00A660AD">
        <w:trPr>
          <w:trHeight w:val="75"/>
        </w:trPr>
        <w:tc>
          <w:tcPr>
            <w:tcW w:w="4402" w:type="dxa"/>
          </w:tcPr>
          <w:p w14:paraId="1EBF3250" w14:textId="77777777" w:rsidR="00B15CDD" w:rsidRPr="00601B12" w:rsidRDefault="00B15CDD" w:rsidP="00A660AD">
            <w:pPr>
              <w:pStyle w:val="BodyTextGrey"/>
              <w:spacing w:after="0" w:line="240" w:lineRule="auto"/>
              <w:jc w:val="both"/>
              <w:rPr>
                <w:b/>
                <w:color w:val="auto"/>
                <w:sz w:val="24"/>
                <w:szCs w:val="24"/>
              </w:rPr>
            </w:pPr>
            <w:r w:rsidRPr="00601B12">
              <w:rPr>
                <w:color w:val="auto"/>
                <w:sz w:val="24"/>
                <w:szCs w:val="24"/>
              </w:rPr>
              <w:t>Claire Symonds</w:t>
            </w:r>
          </w:p>
        </w:tc>
        <w:tc>
          <w:tcPr>
            <w:tcW w:w="851" w:type="dxa"/>
          </w:tcPr>
          <w:p w14:paraId="27F9EF5F" w14:textId="77777777" w:rsidR="00B15CDD" w:rsidRPr="00601B12" w:rsidRDefault="00B15CDD" w:rsidP="00A660AD">
            <w:pPr>
              <w:pStyle w:val="BodyTextGrey"/>
              <w:spacing w:after="0" w:line="240" w:lineRule="auto"/>
              <w:jc w:val="both"/>
              <w:rPr>
                <w:b/>
                <w:color w:val="auto"/>
                <w:sz w:val="24"/>
                <w:szCs w:val="24"/>
              </w:rPr>
            </w:pPr>
          </w:p>
        </w:tc>
        <w:tc>
          <w:tcPr>
            <w:tcW w:w="4118" w:type="dxa"/>
          </w:tcPr>
          <w:p w14:paraId="3A60CDDA" w14:textId="77777777" w:rsidR="00B15CDD" w:rsidRPr="00601B12" w:rsidRDefault="00B15CDD" w:rsidP="00A660AD">
            <w:pPr>
              <w:pStyle w:val="BodyTextGrey"/>
              <w:spacing w:after="0" w:line="240" w:lineRule="auto"/>
              <w:jc w:val="both"/>
              <w:rPr>
                <w:b/>
                <w:color w:val="auto"/>
                <w:sz w:val="24"/>
                <w:szCs w:val="24"/>
              </w:rPr>
            </w:pPr>
            <w:r w:rsidRPr="00601B12">
              <w:rPr>
                <w:color w:val="auto"/>
                <w:sz w:val="24"/>
                <w:szCs w:val="24"/>
              </w:rPr>
              <w:t>Chief Operating Officer</w:t>
            </w:r>
          </w:p>
        </w:tc>
      </w:tr>
    </w:tbl>
    <w:p w14:paraId="7D6768A9" w14:textId="77777777" w:rsidR="00B15CDD" w:rsidRPr="00E35F96" w:rsidRDefault="00B15CDD" w:rsidP="00B15CDD">
      <w:pPr>
        <w:rPr>
          <w:rFonts w:ascii="Arial" w:hAnsi="Arial" w:cs="Arial"/>
        </w:rPr>
      </w:pPr>
      <w:r w:rsidRPr="00E35F96">
        <w:rPr>
          <w:rFonts w:ascii="Arial" w:hAnsi="Arial" w:cs="Arial"/>
        </w:rPr>
        <w:br w:type="page"/>
      </w:r>
    </w:p>
    <w:p w14:paraId="03271FF2" w14:textId="77777777" w:rsidR="00B15CDD" w:rsidRPr="00601B12" w:rsidRDefault="00B15CDD" w:rsidP="00B15CDD">
      <w:pPr>
        <w:pStyle w:val="Heading2"/>
        <w:numPr>
          <w:ilvl w:val="0"/>
          <w:numId w:val="0"/>
        </w:numPr>
        <w:jc w:val="both"/>
        <w:rPr>
          <w:rFonts w:ascii="Arial" w:hAnsi="Arial" w:cs="Arial"/>
          <w:szCs w:val="24"/>
        </w:rPr>
      </w:pPr>
      <w:r w:rsidRPr="00601B12">
        <w:rPr>
          <w:rFonts w:ascii="Arial" w:hAnsi="Arial" w:cs="Arial"/>
          <w:szCs w:val="24"/>
        </w:rPr>
        <w:t xml:space="preserve">Appendix A: </w:t>
      </w:r>
      <w:proofErr w:type="spellStart"/>
      <w:r w:rsidRPr="00601B12">
        <w:rPr>
          <w:rFonts w:ascii="Arial" w:hAnsi="Arial" w:cs="Arial"/>
          <w:szCs w:val="24"/>
        </w:rPr>
        <w:t>Myners</w:t>
      </w:r>
      <w:proofErr w:type="spellEnd"/>
      <w:r w:rsidRPr="00601B12">
        <w:rPr>
          <w:rFonts w:ascii="Arial" w:hAnsi="Arial" w:cs="Arial"/>
          <w:szCs w:val="24"/>
        </w:rPr>
        <w:t xml:space="preserve"> Principles</w:t>
      </w:r>
    </w:p>
    <w:p w14:paraId="0F0146D5" w14:textId="77777777" w:rsidR="00B15CDD" w:rsidRPr="00601B12" w:rsidRDefault="00B15CDD" w:rsidP="00B15CDD">
      <w:pPr>
        <w:pStyle w:val="BodyTextGrey"/>
        <w:spacing w:after="0" w:line="240" w:lineRule="auto"/>
        <w:jc w:val="both"/>
        <w:rPr>
          <w:color w:val="auto"/>
          <w:sz w:val="24"/>
          <w:szCs w:val="24"/>
        </w:rPr>
      </w:pPr>
    </w:p>
    <w:p w14:paraId="3F070A89"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rPr>
        <w:t xml:space="preserve">The Pension Committee considers that its practices are compliant with the CIPFA principles for Investment Decision Making in LGPS.  The 6 principles are: </w:t>
      </w:r>
    </w:p>
    <w:p w14:paraId="0C2BFA3F" w14:textId="77777777" w:rsidR="00B15CDD" w:rsidRPr="00601B12" w:rsidRDefault="00B15CDD" w:rsidP="00B15CDD">
      <w:pPr>
        <w:pStyle w:val="BodyTextGrey"/>
        <w:spacing w:after="0" w:line="240" w:lineRule="auto"/>
        <w:jc w:val="both"/>
        <w:rPr>
          <w:color w:val="auto"/>
          <w:sz w:val="24"/>
          <w:szCs w:val="24"/>
        </w:rPr>
      </w:pPr>
    </w:p>
    <w:p w14:paraId="0E2BF983" w14:textId="77777777" w:rsidR="00B15CDD" w:rsidRPr="00601B12" w:rsidRDefault="00B15CDD" w:rsidP="007337FE">
      <w:pPr>
        <w:pStyle w:val="BodyTextGrey"/>
        <w:numPr>
          <w:ilvl w:val="1"/>
          <w:numId w:val="39"/>
        </w:numPr>
        <w:spacing w:after="0" w:line="240" w:lineRule="auto"/>
        <w:ind w:left="567"/>
        <w:jc w:val="both"/>
        <w:rPr>
          <w:color w:val="auto"/>
          <w:sz w:val="24"/>
          <w:szCs w:val="24"/>
        </w:rPr>
      </w:pPr>
      <w:r w:rsidRPr="00601B12">
        <w:rPr>
          <w:color w:val="auto"/>
          <w:sz w:val="24"/>
          <w:szCs w:val="24"/>
        </w:rPr>
        <w:t xml:space="preserve">Effective decision </w:t>
      </w:r>
      <w:proofErr w:type="gramStart"/>
      <w:r w:rsidRPr="00601B12">
        <w:rPr>
          <w:color w:val="auto"/>
          <w:sz w:val="24"/>
          <w:szCs w:val="24"/>
        </w:rPr>
        <w:t>making;</w:t>
      </w:r>
      <w:proofErr w:type="gramEnd"/>
      <w:r w:rsidRPr="00601B12">
        <w:rPr>
          <w:color w:val="auto"/>
          <w:sz w:val="24"/>
          <w:szCs w:val="24"/>
        </w:rPr>
        <w:t xml:space="preserve"> </w:t>
      </w:r>
    </w:p>
    <w:p w14:paraId="480FDA06" w14:textId="77777777" w:rsidR="00B15CDD" w:rsidRPr="00601B12" w:rsidRDefault="00B15CDD" w:rsidP="007337FE">
      <w:pPr>
        <w:pStyle w:val="BodyTextGrey"/>
        <w:numPr>
          <w:ilvl w:val="1"/>
          <w:numId w:val="39"/>
        </w:numPr>
        <w:spacing w:after="0" w:line="240" w:lineRule="auto"/>
        <w:ind w:left="567"/>
        <w:jc w:val="both"/>
        <w:rPr>
          <w:color w:val="auto"/>
          <w:sz w:val="24"/>
          <w:szCs w:val="24"/>
        </w:rPr>
      </w:pPr>
      <w:r w:rsidRPr="00601B12">
        <w:rPr>
          <w:color w:val="auto"/>
          <w:sz w:val="24"/>
          <w:szCs w:val="24"/>
        </w:rPr>
        <w:t xml:space="preserve">Clear </w:t>
      </w:r>
      <w:proofErr w:type="gramStart"/>
      <w:r w:rsidRPr="00601B12">
        <w:rPr>
          <w:color w:val="auto"/>
          <w:sz w:val="24"/>
          <w:szCs w:val="24"/>
        </w:rPr>
        <w:t>objectives;</w:t>
      </w:r>
      <w:proofErr w:type="gramEnd"/>
      <w:r w:rsidRPr="00601B12">
        <w:rPr>
          <w:color w:val="auto"/>
          <w:sz w:val="24"/>
          <w:szCs w:val="24"/>
        </w:rPr>
        <w:t xml:space="preserve"> </w:t>
      </w:r>
    </w:p>
    <w:p w14:paraId="232C044E" w14:textId="77777777" w:rsidR="00B15CDD" w:rsidRPr="00601B12" w:rsidRDefault="00B15CDD" w:rsidP="007337FE">
      <w:pPr>
        <w:pStyle w:val="BodyTextGrey"/>
        <w:numPr>
          <w:ilvl w:val="1"/>
          <w:numId w:val="39"/>
        </w:numPr>
        <w:spacing w:after="0" w:line="240" w:lineRule="auto"/>
        <w:ind w:left="567"/>
        <w:jc w:val="both"/>
        <w:rPr>
          <w:color w:val="auto"/>
          <w:sz w:val="24"/>
          <w:szCs w:val="24"/>
        </w:rPr>
      </w:pPr>
      <w:r w:rsidRPr="00601B12">
        <w:rPr>
          <w:color w:val="auto"/>
          <w:sz w:val="24"/>
          <w:szCs w:val="24"/>
        </w:rPr>
        <w:t xml:space="preserve">Risk and </w:t>
      </w:r>
      <w:proofErr w:type="gramStart"/>
      <w:r w:rsidRPr="00601B12">
        <w:rPr>
          <w:color w:val="auto"/>
          <w:sz w:val="24"/>
          <w:szCs w:val="24"/>
        </w:rPr>
        <w:t>liabilities;</w:t>
      </w:r>
      <w:proofErr w:type="gramEnd"/>
      <w:r w:rsidRPr="00601B12">
        <w:rPr>
          <w:color w:val="auto"/>
          <w:sz w:val="24"/>
          <w:szCs w:val="24"/>
        </w:rPr>
        <w:t xml:space="preserve"> </w:t>
      </w:r>
    </w:p>
    <w:p w14:paraId="6AADDBEE" w14:textId="77777777" w:rsidR="00B15CDD" w:rsidRPr="00601B12" w:rsidRDefault="00B15CDD" w:rsidP="007337FE">
      <w:pPr>
        <w:pStyle w:val="BodyTextGrey"/>
        <w:numPr>
          <w:ilvl w:val="1"/>
          <w:numId w:val="39"/>
        </w:numPr>
        <w:spacing w:after="0" w:line="240" w:lineRule="auto"/>
        <w:ind w:left="567"/>
        <w:jc w:val="both"/>
        <w:rPr>
          <w:color w:val="auto"/>
          <w:sz w:val="24"/>
          <w:szCs w:val="24"/>
        </w:rPr>
      </w:pPr>
      <w:r w:rsidRPr="00601B12">
        <w:rPr>
          <w:color w:val="auto"/>
          <w:sz w:val="24"/>
          <w:szCs w:val="24"/>
        </w:rPr>
        <w:t xml:space="preserve">Performance </w:t>
      </w:r>
      <w:proofErr w:type="gramStart"/>
      <w:r w:rsidRPr="00601B12">
        <w:rPr>
          <w:color w:val="auto"/>
          <w:sz w:val="24"/>
          <w:szCs w:val="24"/>
        </w:rPr>
        <w:t>assessment;</w:t>
      </w:r>
      <w:proofErr w:type="gramEnd"/>
      <w:r w:rsidRPr="00601B12">
        <w:rPr>
          <w:color w:val="auto"/>
          <w:sz w:val="24"/>
          <w:szCs w:val="24"/>
        </w:rPr>
        <w:t xml:space="preserve"> </w:t>
      </w:r>
    </w:p>
    <w:p w14:paraId="2ADB311F" w14:textId="77777777" w:rsidR="00B15CDD" w:rsidRPr="00601B12" w:rsidRDefault="00B15CDD" w:rsidP="007337FE">
      <w:pPr>
        <w:pStyle w:val="BodyTextGrey"/>
        <w:numPr>
          <w:ilvl w:val="1"/>
          <w:numId w:val="39"/>
        </w:numPr>
        <w:spacing w:after="0" w:line="240" w:lineRule="auto"/>
        <w:ind w:left="567"/>
        <w:jc w:val="both"/>
        <w:rPr>
          <w:color w:val="auto"/>
          <w:sz w:val="24"/>
          <w:szCs w:val="24"/>
        </w:rPr>
      </w:pPr>
      <w:r w:rsidRPr="00601B12">
        <w:rPr>
          <w:color w:val="auto"/>
          <w:sz w:val="24"/>
          <w:szCs w:val="24"/>
        </w:rPr>
        <w:t xml:space="preserve">Responsible ownership; and </w:t>
      </w:r>
    </w:p>
    <w:p w14:paraId="35F84F2C" w14:textId="77777777" w:rsidR="00B15CDD" w:rsidRPr="00601B12" w:rsidRDefault="00B15CDD" w:rsidP="007337FE">
      <w:pPr>
        <w:pStyle w:val="BodyTextGrey"/>
        <w:numPr>
          <w:ilvl w:val="1"/>
          <w:numId w:val="39"/>
        </w:numPr>
        <w:spacing w:after="0" w:line="240" w:lineRule="auto"/>
        <w:ind w:left="567"/>
        <w:jc w:val="both"/>
        <w:rPr>
          <w:color w:val="auto"/>
          <w:sz w:val="24"/>
          <w:szCs w:val="24"/>
        </w:rPr>
      </w:pPr>
      <w:r w:rsidRPr="00601B12">
        <w:rPr>
          <w:color w:val="auto"/>
          <w:sz w:val="24"/>
          <w:szCs w:val="24"/>
        </w:rPr>
        <w:t>Transparency and reporting.</w:t>
      </w:r>
    </w:p>
    <w:p w14:paraId="12022DD1" w14:textId="77777777" w:rsidR="00B15CDD" w:rsidRPr="00601B12" w:rsidRDefault="00B15CDD" w:rsidP="00B15CDD">
      <w:pPr>
        <w:pStyle w:val="BodyTextGrey"/>
        <w:spacing w:after="0" w:line="240" w:lineRule="auto"/>
        <w:jc w:val="both"/>
        <w:rPr>
          <w:color w:val="auto"/>
          <w:sz w:val="24"/>
          <w:szCs w:val="24"/>
          <w:lang w:eastAsia="en-GB"/>
        </w:rPr>
      </w:pPr>
    </w:p>
    <w:p w14:paraId="78A474CD" w14:textId="77777777" w:rsidR="00B15CDD" w:rsidRPr="00601B12" w:rsidRDefault="00B15CDD" w:rsidP="00B15CDD">
      <w:pPr>
        <w:pStyle w:val="BodyTextGrey"/>
        <w:spacing w:after="0" w:line="240" w:lineRule="auto"/>
        <w:jc w:val="both"/>
        <w:rPr>
          <w:color w:val="auto"/>
          <w:sz w:val="24"/>
          <w:szCs w:val="24"/>
        </w:rPr>
      </w:pPr>
      <w:r w:rsidRPr="00601B12">
        <w:rPr>
          <w:color w:val="auto"/>
          <w:sz w:val="24"/>
          <w:szCs w:val="24"/>
          <w:lang w:eastAsia="en-GB"/>
        </w:rPr>
        <w:t xml:space="preserve">The Committee’s self-assessment of adherence to the principles is shown </w:t>
      </w:r>
      <w:proofErr w:type="gramStart"/>
      <w:r w:rsidRPr="00601B12">
        <w:rPr>
          <w:color w:val="auto"/>
          <w:sz w:val="24"/>
          <w:szCs w:val="24"/>
          <w:lang w:eastAsia="en-GB"/>
        </w:rPr>
        <w:t>below</w:t>
      </w:r>
      <w:proofErr w:type="gramEnd"/>
    </w:p>
    <w:tbl>
      <w:tblPr>
        <w:tblpPr w:leftFromText="180" w:rightFromText="180" w:vertAnchor="text" w:horzAnchor="margin" w:tblpY="118"/>
        <w:tblW w:w="519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5116"/>
      </w:tblGrid>
      <w:tr w:rsidR="00B15CDD" w:rsidRPr="00601B12" w14:paraId="182D181D" w14:textId="77777777" w:rsidTr="00A660AD">
        <w:trPr>
          <w:trHeight w:val="565"/>
        </w:trPr>
        <w:tc>
          <w:tcPr>
            <w:tcW w:w="2268" w:type="pct"/>
          </w:tcPr>
          <w:p w14:paraId="5821E06C" w14:textId="77777777" w:rsidR="00B15CDD" w:rsidRPr="00601B12" w:rsidRDefault="00B15CDD" w:rsidP="00A660AD">
            <w:pPr>
              <w:pStyle w:val="Heading4"/>
              <w:spacing w:before="0" w:line="240" w:lineRule="auto"/>
              <w:jc w:val="center"/>
              <w:rPr>
                <w:rFonts w:ascii="Arial" w:hAnsi="Arial" w:cs="Arial"/>
                <w:i w:val="0"/>
                <w:color w:val="323E4F" w:themeColor="text2" w:themeShade="BF"/>
                <w:sz w:val="24"/>
                <w:szCs w:val="24"/>
              </w:rPr>
            </w:pPr>
            <w:r w:rsidRPr="00601B12">
              <w:rPr>
                <w:rFonts w:ascii="Arial" w:hAnsi="Arial" w:cs="Arial"/>
                <w:i w:val="0"/>
                <w:color w:val="323E4F" w:themeColor="text2" w:themeShade="BF"/>
                <w:sz w:val="24"/>
                <w:szCs w:val="24"/>
              </w:rPr>
              <w:t>Principles</w:t>
            </w:r>
          </w:p>
        </w:tc>
        <w:tc>
          <w:tcPr>
            <w:tcW w:w="2732" w:type="pct"/>
          </w:tcPr>
          <w:p w14:paraId="26AB6421" w14:textId="77777777" w:rsidR="00B15CDD" w:rsidRPr="00601B12" w:rsidRDefault="00B15CDD" w:rsidP="00A660AD">
            <w:pPr>
              <w:autoSpaceDE w:val="0"/>
              <w:autoSpaceDN w:val="0"/>
              <w:adjustRightInd w:val="0"/>
              <w:jc w:val="center"/>
              <w:rPr>
                <w:rFonts w:ascii="Arial" w:hAnsi="Arial" w:cs="Arial"/>
                <w:b/>
                <w:bCs/>
                <w:iCs/>
                <w:color w:val="323E4F" w:themeColor="text2" w:themeShade="BF"/>
              </w:rPr>
            </w:pPr>
            <w:r w:rsidRPr="00601B12">
              <w:rPr>
                <w:rFonts w:ascii="Arial" w:hAnsi="Arial" w:cs="Arial"/>
                <w:b/>
                <w:bCs/>
                <w:iCs/>
                <w:color w:val="323E4F" w:themeColor="text2" w:themeShade="BF"/>
              </w:rPr>
              <w:t>Response on Adherence</w:t>
            </w:r>
          </w:p>
        </w:tc>
      </w:tr>
      <w:tr w:rsidR="00B15CDD" w:rsidRPr="00601B12" w14:paraId="4AB97A39" w14:textId="77777777" w:rsidTr="00A660AD">
        <w:trPr>
          <w:trHeight w:val="4246"/>
        </w:trPr>
        <w:tc>
          <w:tcPr>
            <w:tcW w:w="2268" w:type="pct"/>
          </w:tcPr>
          <w:p w14:paraId="1502C703" w14:textId="77777777" w:rsidR="00B15CDD" w:rsidRPr="00601B12" w:rsidRDefault="00B15CDD" w:rsidP="00A660AD">
            <w:pPr>
              <w:pStyle w:val="Heading4"/>
              <w:spacing w:before="0" w:line="240" w:lineRule="auto"/>
              <w:ind w:right="-108"/>
              <w:rPr>
                <w:rFonts w:ascii="Arial" w:hAnsi="Arial" w:cs="Arial"/>
                <w:i w:val="0"/>
                <w:sz w:val="24"/>
                <w:szCs w:val="24"/>
              </w:rPr>
            </w:pPr>
            <w:r w:rsidRPr="00601B12">
              <w:rPr>
                <w:rFonts w:ascii="Arial" w:hAnsi="Arial" w:cs="Arial"/>
                <w:i w:val="0"/>
                <w:sz w:val="24"/>
                <w:szCs w:val="24"/>
              </w:rPr>
              <w:t>Principle 1 Effective Decision Making:</w:t>
            </w:r>
          </w:p>
          <w:p w14:paraId="26997397" w14:textId="77777777" w:rsidR="00B15CDD" w:rsidRPr="00601B12" w:rsidRDefault="00B15CDD" w:rsidP="00A660AD">
            <w:pPr>
              <w:pStyle w:val="BodyText"/>
              <w:spacing w:after="0"/>
              <w:ind w:right="-108"/>
              <w:rPr>
                <w:rFonts w:ascii="Arial" w:hAnsi="Arial" w:cs="Arial"/>
                <w:b/>
                <w:szCs w:val="24"/>
              </w:rPr>
            </w:pPr>
            <w:r w:rsidRPr="00601B12">
              <w:rPr>
                <w:rFonts w:ascii="Arial" w:hAnsi="Arial" w:cs="Arial"/>
                <w:szCs w:val="24"/>
              </w:rPr>
              <w:t xml:space="preserve">Administering authorities should ensure: </w:t>
            </w:r>
          </w:p>
          <w:p w14:paraId="67F435DB" w14:textId="77777777" w:rsidR="00B15CDD" w:rsidRPr="00601B12" w:rsidRDefault="00B15CDD" w:rsidP="004C17A4">
            <w:pPr>
              <w:pStyle w:val="BodyText"/>
              <w:numPr>
                <w:ilvl w:val="0"/>
                <w:numId w:val="34"/>
              </w:numPr>
              <w:spacing w:before="20" w:after="200" w:line="280" w:lineRule="atLeast"/>
              <w:ind w:left="284" w:right="-107" w:hanging="284"/>
              <w:rPr>
                <w:rFonts w:ascii="Arial" w:hAnsi="Arial" w:cs="Arial"/>
                <w:szCs w:val="24"/>
              </w:rPr>
            </w:pPr>
            <w:r w:rsidRPr="00601B12">
              <w:rPr>
                <w:rFonts w:ascii="Arial" w:hAnsi="Arial" w:cs="Arial"/>
                <w:szCs w:val="24"/>
              </w:rPr>
              <w:t xml:space="preserve">That decisions are taken by persons or organisations with the skills, knowledge, </w:t>
            </w:r>
            <w:proofErr w:type="gramStart"/>
            <w:r w:rsidRPr="00601B12">
              <w:rPr>
                <w:rFonts w:ascii="Arial" w:hAnsi="Arial" w:cs="Arial"/>
                <w:szCs w:val="24"/>
              </w:rPr>
              <w:t>advice</w:t>
            </w:r>
            <w:proofErr w:type="gramEnd"/>
            <w:r w:rsidRPr="00601B12">
              <w:rPr>
                <w:rFonts w:ascii="Arial" w:hAnsi="Arial" w:cs="Arial"/>
                <w:szCs w:val="24"/>
              </w:rPr>
              <w:t xml:space="preserve"> and resources necessary to make them effectively and monitor their implementation; and</w:t>
            </w:r>
          </w:p>
          <w:p w14:paraId="1EC2EFC6" w14:textId="77777777" w:rsidR="00B15CDD" w:rsidRPr="00601B12" w:rsidRDefault="00B15CDD" w:rsidP="004C17A4">
            <w:pPr>
              <w:pStyle w:val="BodyText"/>
              <w:numPr>
                <w:ilvl w:val="0"/>
                <w:numId w:val="34"/>
              </w:numPr>
              <w:spacing w:before="20" w:after="200" w:line="280" w:lineRule="atLeast"/>
              <w:ind w:left="284" w:right="-107" w:hanging="284"/>
              <w:rPr>
                <w:rFonts w:ascii="Arial" w:hAnsi="Arial" w:cs="Arial"/>
                <w:szCs w:val="24"/>
                <w:lang w:eastAsia="en-GB"/>
              </w:rPr>
            </w:pPr>
            <w:r w:rsidRPr="00601B12">
              <w:rPr>
                <w:rFonts w:ascii="Arial" w:hAnsi="Arial" w:cs="Arial"/>
                <w:szCs w:val="24"/>
              </w:rPr>
              <w:t xml:space="preserve">That those persons or organisations have sufficient expertise to be able to evaluate and challenge the advice they </w:t>
            </w:r>
            <w:proofErr w:type="gramStart"/>
            <w:r w:rsidRPr="00601B12">
              <w:rPr>
                <w:rFonts w:ascii="Arial" w:hAnsi="Arial" w:cs="Arial"/>
                <w:szCs w:val="24"/>
              </w:rPr>
              <w:t>receive, and</w:t>
            </w:r>
            <w:proofErr w:type="gramEnd"/>
            <w:r w:rsidRPr="00601B12">
              <w:rPr>
                <w:rFonts w:ascii="Arial" w:hAnsi="Arial" w:cs="Arial"/>
                <w:szCs w:val="24"/>
              </w:rPr>
              <w:t xml:space="preserve"> manage conflicts of interest.</w:t>
            </w:r>
          </w:p>
        </w:tc>
        <w:tc>
          <w:tcPr>
            <w:tcW w:w="2732" w:type="pct"/>
          </w:tcPr>
          <w:p w14:paraId="377530E8" w14:textId="77777777" w:rsidR="00B15CDD" w:rsidRPr="00601B12" w:rsidRDefault="00B15CDD" w:rsidP="00A660AD">
            <w:pPr>
              <w:autoSpaceDE w:val="0"/>
              <w:autoSpaceDN w:val="0"/>
              <w:adjustRightInd w:val="0"/>
              <w:rPr>
                <w:rFonts w:ascii="Arial" w:hAnsi="Arial" w:cs="Arial"/>
                <w:b/>
                <w:iCs/>
                <w:color w:val="2F5496" w:themeColor="accent1" w:themeShade="BF"/>
              </w:rPr>
            </w:pPr>
            <w:r w:rsidRPr="00601B12">
              <w:rPr>
                <w:rFonts w:ascii="Arial" w:hAnsi="Arial" w:cs="Arial"/>
                <w:b/>
                <w:bCs/>
                <w:iCs/>
                <w:color w:val="2F5496" w:themeColor="accent1" w:themeShade="BF"/>
              </w:rPr>
              <w:t>Compliant</w:t>
            </w:r>
          </w:p>
          <w:p w14:paraId="25E2140B" w14:textId="77777777" w:rsidR="00B15CDD" w:rsidRPr="00601B12" w:rsidRDefault="00B15CDD" w:rsidP="00A660AD">
            <w:pPr>
              <w:pStyle w:val="BodyTextGrey"/>
              <w:rPr>
                <w:color w:val="auto"/>
                <w:sz w:val="24"/>
                <w:szCs w:val="24"/>
              </w:rPr>
            </w:pPr>
            <w:r w:rsidRPr="00601B12">
              <w:rPr>
                <w:color w:val="auto"/>
                <w:sz w:val="24"/>
                <w:szCs w:val="24"/>
              </w:rPr>
              <w:t xml:space="preserve">Decisions are taken by the Pension Committee, which is responsible for the management of the Fund. </w:t>
            </w:r>
          </w:p>
          <w:p w14:paraId="6D27A2B7" w14:textId="77777777" w:rsidR="00B15CDD" w:rsidRPr="00601B12" w:rsidRDefault="00B15CDD" w:rsidP="00A660AD">
            <w:pPr>
              <w:pStyle w:val="BodyTextGrey"/>
              <w:rPr>
                <w:color w:val="auto"/>
                <w:sz w:val="24"/>
                <w:szCs w:val="24"/>
              </w:rPr>
            </w:pPr>
            <w:r w:rsidRPr="00601B12">
              <w:rPr>
                <w:color w:val="auto"/>
                <w:sz w:val="24"/>
                <w:szCs w:val="24"/>
              </w:rPr>
              <w:t xml:space="preserve">The Committee has support from Council officers with sufficient experience to assist them. The Committee also seeks advice from professional actuarial and investment advisers to ensure it can be familiar with the issues concerned when making decisions. </w:t>
            </w:r>
          </w:p>
          <w:p w14:paraId="249A3394" w14:textId="77777777" w:rsidR="00B15CDD" w:rsidRPr="00601B12" w:rsidRDefault="00B15CDD" w:rsidP="00A660AD">
            <w:pPr>
              <w:pStyle w:val="BodyTextGrey"/>
              <w:rPr>
                <w:color w:val="auto"/>
                <w:sz w:val="24"/>
                <w:szCs w:val="24"/>
                <w:lang w:eastAsia="en-GB"/>
              </w:rPr>
            </w:pPr>
            <w:r w:rsidRPr="00601B12">
              <w:rPr>
                <w:color w:val="auto"/>
                <w:sz w:val="24"/>
                <w:szCs w:val="24"/>
              </w:rPr>
              <w:t xml:space="preserve">The Committee </w:t>
            </w:r>
            <w:proofErr w:type="gramStart"/>
            <w:r w:rsidRPr="00601B12">
              <w:rPr>
                <w:color w:val="auto"/>
                <w:sz w:val="24"/>
                <w:szCs w:val="24"/>
              </w:rPr>
              <w:t>is able to</w:t>
            </w:r>
            <w:proofErr w:type="gramEnd"/>
            <w:r w:rsidRPr="00601B12">
              <w:rPr>
                <w:color w:val="auto"/>
                <w:sz w:val="24"/>
                <w:szCs w:val="24"/>
              </w:rPr>
              <w:t xml:space="preserve"> make robust challenges to advice and is aware of where potential conflicts of interest may reside within the Committee and in relation to service providers.</w:t>
            </w:r>
          </w:p>
        </w:tc>
      </w:tr>
      <w:tr w:rsidR="00B15CDD" w:rsidRPr="00601B12" w14:paraId="104ABB60" w14:textId="77777777" w:rsidTr="00A660AD">
        <w:trPr>
          <w:trHeight w:val="4664"/>
        </w:trPr>
        <w:tc>
          <w:tcPr>
            <w:tcW w:w="2268" w:type="pct"/>
          </w:tcPr>
          <w:p w14:paraId="4892C528" w14:textId="77777777" w:rsidR="00B15CDD" w:rsidRPr="00601B12" w:rsidRDefault="00B15CDD" w:rsidP="00A660AD">
            <w:pPr>
              <w:pStyle w:val="Heading4"/>
              <w:rPr>
                <w:rFonts w:ascii="Arial" w:hAnsi="Arial" w:cs="Arial"/>
                <w:i w:val="0"/>
                <w:sz w:val="24"/>
                <w:szCs w:val="24"/>
              </w:rPr>
            </w:pPr>
            <w:bookmarkStart w:id="31" w:name="_Toc237168735"/>
            <w:r w:rsidRPr="00601B12">
              <w:rPr>
                <w:rFonts w:ascii="Arial" w:hAnsi="Arial" w:cs="Arial"/>
                <w:i w:val="0"/>
                <w:sz w:val="24"/>
                <w:szCs w:val="24"/>
              </w:rPr>
              <w:t>Principle 2 Clear objectives</w:t>
            </w:r>
            <w:bookmarkEnd w:id="31"/>
            <w:r w:rsidRPr="00601B12">
              <w:rPr>
                <w:rFonts w:ascii="Arial" w:hAnsi="Arial" w:cs="Arial"/>
                <w:i w:val="0"/>
                <w:sz w:val="24"/>
                <w:szCs w:val="24"/>
              </w:rPr>
              <w:t xml:space="preserve">:  </w:t>
            </w:r>
          </w:p>
          <w:p w14:paraId="41A27150" w14:textId="77777777" w:rsidR="00B15CDD" w:rsidRPr="00601B12" w:rsidRDefault="00B15CDD" w:rsidP="004C17A4">
            <w:pPr>
              <w:pStyle w:val="BodyTextGrey"/>
              <w:numPr>
                <w:ilvl w:val="0"/>
                <w:numId w:val="38"/>
              </w:numPr>
              <w:spacing w:before="20"/>
              <w:rPr>
                <w:color w:val="auto"/>
                <w:sz w:val="24"/>
                <w:szCs w:val="24"/>
                <w:lang w:eastAsia="en-GB"/>
              </w:rPr>
            </w:pPr>
            <w:r w:rsidRPr="00601B12">
              <w:rPr>
                <w:color w:val="auto"/>
                <w:sz w:val="24"/>
                <w:szCs w:val="24"/>
              </w:rPr>
              <w:t xml:space="preserve">An overall investment objective should be set out for the fund that takes account of the scheme’s liabilities, the potential impact on local </w:t>
            </w:r>
            <w:proofErr w:type="gramStart"/>
            <w:r w:rsidRPr="00601B12">
              <w:rPr>
                <w:color w:val="auto"/>
                <w:sz w:val="24"/>
                <w:szCs w:val="24"/>
              </w:rPr>
              <w:t>tax payers</w:t>
            </w:r>
            <w:proofErr w:type="gramEnd"/>
            <w:r w:rsidRPr="00601B12">
              <w:rPr>
                <w:color w:val="auto"/>
                <w:sz w:val="24"/>
                <w:szCs w:val="24"/>
              </w:rPr>
              <w:t>, the strength of the covenant for non-local authority employers, and the attitude to risk of both the administering authority and scheme employers, and these should be clearly communicated to advisers and investment managers.</w:t>
            </w:r>
          </w:p>
        </w:tc>
        <w:tc>
          <w:tcPr>
            <w:tcW w:w="2732" w:type="pct"/>
          </w:tcPr>
          <w:p w14:paraId="0FE1E57A" w14:textId="77777777" w:rsidR="00B15CDD" w:rsidRPr="00601B12" w:rsidRDefault="00B15CDD" w:rsidP="00A660AD">
            <w:pPr>
              <w:pStyle w:val="Heading4"/>
              <w:rPr>
                <w:rFonts w:ascii="Arial" w:hAnsi="Arial" w:cs="Arial"/>
                <w:i w:val="0"/>
                <w:color w:val="2F5496" w:themeColor="accent1" w:themeShade="BF"/>
                <w:sz w:val="24"/>
                <w:szCs w:val="24"/>
              </w:rPr>
            </w:pPr>
            <w:r w:rsidRPr="00601B12">
              <w:rPr>
                <w:rFonts w:ascii="Arial" w:hAnsi="Arial" w:cs="Arial"/>
                <w:i w:val="0"/>
                <w:color w:val="2F5496" w:themeColor="accent1" w:themeShade="BF"/>
                <w:sz w:val="24"/>
                <w:szCs w:val="24"/>
              </w:rPr>
              <w:t xml:space="preserve">Compliant </w:t>
            </w:r>
          </w:p>
          <w:p w14:paraId="682D43DF" w14:textId="77777777" w:rsidR="00B15CDD" w:rsidRPr="00601B12" w:rsidRDefault="00B15CDD" w:rsidP="00A660AD">
            <w:pPr>
              <w:pStyle w:val="BodyTextGrey"/>
              <w:rPr>
                <w:color w:val="auto"/>
                <w:sz w:val="24"/>
                <w:szCs w:val="24"/>
              </w:rPr>
            </w:pPr>
            <w:r w:rsidRPr="00601B12">
              <w:rPr>
                <w:color w:val="auto"/>
                <w:sz w:val="24"/>
                <w:szCs w:val="24"/>
              </w:rPr>
              <w:t xml:space="preserve">The Committee has established objectives for the Fund which takes account of the nature of Fund liabilities and the contribution strategy. This involved discussions with the Actuary to enable the Committee to set the overall risk budget for the Fund. This is reflected in the investment mandates awarded to the asset managers. </w:t>
            </w:r>
          </w:p>
          <w:p w14:paraId="2B91B7F3" w14:textId="77777777" w:rsidR="00B15CDD" w:rsidRPr="00601B12" w:rsidRDefault="00B15CDD" w:rsidP="00A660AD">
            <w:pPr>
              <w:pStyle w:val="BodyTextGrey"/>
              <w:rPr>
                <w:color w:val="auto"/>
                <w:sz w:val="24"/>
                <w:szCs w:val="24"/>
                <w:lang w:eastAsia="en-GB"/>
              </w:rPr>
            </w:pPr>
            <w:r w:rsidRPr="00601B12">
              <w:rPr>
                <w:color w:val="auto"/>
                <w:sz w:val="24"/>
                <w:szCs w:val="24"/>
              </w:rPr>
              <w:t>There is dialogue with admitted bodies within the Fund in relation to the contributions they pay, their capacity to pay these contributions and the level of guarantees they can provide.</w:t>
            </w:r>
          </w:p>
        </w:tc>
      </w:tr>
      <w:tr w:rsidR="00B15CDD" w:rsidRPr="00601B12" w14:paraId="7965E6EB" w14:textId="77777777" w:rsidTr="00A660AD">
        <w:trPr>
          <w:trHeight w:val="423"/>
        </w:trPr>
        <w:tc>
          <w:tcPr>
            <w:tcW w:w="2268" w:type="pct"/>
          </w:tcPr>
          <w:p w14:paraId="1E02FA0A" w14:textId="77777777" w:rsidR="00B15CDD" w:rsidRPr="00601B12" w:rsidRDefault="00B15CDD" w:rsidP="00A660AD">
            <w:pPr>
              <w:pStyle w:val="Heading4"/>
              <w:rPr>
                <w:rFonts w:ascii="Arial" w:hAnsi="Arial" w:cs="Arial"/>
                <w:i w:val="0"/>
                <w:color w:val="2F5496" w:themeColor="accent1" w:themeShade="BF"/>
                <w:sz w:val="24"/>
                <w:szCs w:val="24"/>
              </w:rPr>
            </w:pPr>
            <w:r w:rsidRPr="00601B12">
              <w:rPr>
                <w:rFonts w:ascii="Arial" w:hAnsi="Arial" w:cs="Arial"/>
                <w:i w:val="0"/>
                <w:color w:val="2F5496" w:themeColor="accent1" w:themeShade="BF"/>
                <w:sz w:val="24"/>
                <w:szCs w:val="24"/>
              </w:rPr>
              <w:t>Principle 3 Risk and liabilities:</w:t>
            </w:r>
          </w:p>
          <w:p w14:paraId="733F12E4" w14:textId="77777777" w:rsidR="00B15CDD" w:rsidRPr="00601B12" w:rsidRDefault="00B15CDD" w:rsidP="004C17A4">
            <w:pPr>
              <w:pStyle w:val="BodyText"/>
              <w:numPr>
                <w:ilvl w:val="0"/>
                <w:numId w:val="34"/>
              </w:numPr>
              <w:spacing w:before="20" w:after="200" w:line="280" w:lineRule="atLeast"/>
              <w:ind w:left="284" w:hanging="284"/>
              <w:rPr>
                <w:rFonts w:ascii="Arial" w:hAnsi="Arial" w:cs="Arial"/>
                <w:bCs/>
                <w:szCs w:val="24"/>
              </w:rPr>
            </w:pPr>
            <w:r w:rsidRPr="00601B12">
              <w:rPr>
                <w:rFonts w:ascii="Arial" w:hAnsi="Arial" w:cs="Arial"/>
                <w:bCs/>
                <w:szCs w:val="24"/>
              </w:rPr>
              <w:t>In setting and reviewing their investment strategy, administering authorities should take account of the form and structure of liabilities.</w:t>
            </w:r>
          </w:p>
          <w:p w14:paraId="55C4BD0C" w14:textId="77777777" w:rsidR="00B15CDD" w:rsidRPr="00601B12" w:rsidRDefault="00B15CDD" w:rsidP="004C17A4">
            <w:pPr>
              <w:pStyle w:val="BodyText"/>
              <w:numPr>
                <w:ilvl w:val="0"/>
                <w:numId w:val="34"/>
              </w:numPr>
              <w:spacing w:before="20" w:after="200" w:line="280" w:lineRule="atLeast"/>
              <w:ind w:left="284" w:hanging="284"/>
              <w:rPr>
                <w:rFonts w:ascii="Arial" w:hAnsi="Arial" w:cs="Arial"/>
                <w:b/>
                <w:szCs w:val="24"/>
                <w:lang w:eastAsia="en-GB"/>
              </w:rPr>
            </w:pPr>
            <w:r w:rsidRPr="00601B12">
              <w:rPr>
                <w:rFonts w:ascii="Arial" w:hAnsi="Arial" w:cs="Arial"/>
                <w:bCs/>
                <w:szCs w:val="24"/>
              </w:rPr>
              <w:t>These include</w:t>
            </w:r>
            <w:r w:rsidRPr="00601B12">
              <w:rPr>
                <w:rFonts w:ascii="Arial" w:hAnsi="Arial" w:cs="Arial"/>
                <w:b/>
                <w:bCs/>
                <w:szCs w:val="24"/>
              </w:rPr>
              <w:t xml:space="preserve"> </w:t>
            </w:r>
            <w:r w:rsidRPr="00601B12">
              <w:rPr>
                <w:rFonts w:ascii="Arial" w:hAnsi="Arial" w:cs="Arial"/>
                <w:bCs/>
                <w:szCs w:val="24"/>
              </w:rPr>
              <w:t xml:space="preserve">the implications for local </w:t>
            </w:r>
            <w:proofErr w:type="gramStart"/>
            <w:r w:rsidRPr="00601B12">
              <w:rPr>
                <w:rFonts w:ascii="Arial" w:hAnsi="Arial" w:cs="Arial"/>
                <w:bCs/>
                <w:szCs w:val="24"/>
              </w:rPr>
              <w:t>tax payers</w:t>
            </w:r>
            <w:proofErr w:type="gramEnd"/>
            <w:r w:rsidRPr="00601B12">
              <w:rPr>
                <w:rFonts w:ascii="Arial" w:hAnsi="Arial" w:cs="Arial"/>
                <w:bCs/>
                <w:szCs w:val="24"/>
              </w:rPr>
              <w:t>, the strength of the covenant for participating employers, the risk of their default and longevity risk</w:t>
            </w:r>
            <w:r w:rsidRPr="00601B12">
              <w:rPr>
                <w:rFonts w:ascii="Arial" w:hAnsi="Arial" w:cs="Arial"/>
                <w:b/>
                <w:bCs/>
                <w:szCs w:val="24"/>
              </w:rPr>
              <w:t>.</w:t>
            </w:r>
          </w:p>
        </w:tc>
        <w:tc>
          <w:tcPr>
            <w:tcW w:w="2732" w:type="pct"/>
          </w:tcPr>
          <w:p w14:paraId="779557E3" w14:textId="77777777" w:rsidR="00B15CDD" w:rsidRPr="00601B12" w:rsidRDefault="00B15CDD" w:rsidP="00A660AD">
            <w:pPr>
              <w:autoSpaceDE w:val="0"/>
              <w:autoSpaceDN w:val="0"/>
              <w:adjustRightInd w:val="0"/>
              <w:rPr>
                <w:rFonts w:ascii="Arial" w:hAnsi="Arial" w:cs="Arial"/>
                <w:b/>
                <w:bCs/>
                <w:iCs/>
                <w:color w:val="2F5496" w:themeColor="accent1" w:themeShade="BF"/>
              </w:rPr>
            </w:pPr>
          </w:p>
          <w:p w14:paraId="37599A33" w14:textId="77777777" w:rsidR="00B15CDD" w:rsidRPr="00601B12" w:rsidRDefault="00B15CDD" w:rsidP="00A660AD">
            <w:pPr>
              <w:autoSpaceDE w:val="0"/>
              <w:autoSpaceDN w:val="0"/>
              <w:adjustRightInd w:val="0"/>
              <w:rPr>
                <w:rFonts w:ascii="Arial" w:hAnsi="Arial" w:cs="Arial"/>
                <w:b/>
                <w:iCs/>
                <w:color w:val="2F5496" w:themeColor="accent1" w:themeShade="BF"/>
              </w:rPr>
            </w:pPr>
            <w:r w:rsidRPr="00601B12">
              <w:rPr>
                <w:rFonts w:ascii="Arial" w:hAnsi="Arial" w:cs="Arial"/>
                <w:b/>
                <w:bCs/>
                <w:iCs/>
                <w:color w:val="2F5496" w:themeColor="accent1" w:themeShade="BF"/>
              </w:rPr>
              <w:t xml:space="preserve">Compliant </w:t>
            </w:r>
          </w:p>
          <w:p w14:paraId="037D5E63" w14:textId="77777777" w:rsidR="00B15CDD" w:rsidRPr="00601B12" w:rsidRDefault="00B15CDD" w:rsidP="00A660AD">
            <w:pPr>
              <w:pStyle w:val="BodyTextGrey"/>
              <w:rPr>
                <w:color w:val="auto"/>
                <w:sz w:val="24"/>
                <w:szCs w:val="24"/>
              </w:rPr>
            </w:pPr>
            <w:r w:rsidRPr="00601B12">
              <w:rPr>
                <w:color w:val="auto"/>
                <w:sz w:val="24"/>
                <w:szCs w:val="24"/>
              </w:rPr>
              <w:t xml:space="preserve">The investment strategy is considered in the light of the nature of the Fund liabilities, the timescale over which benefits will be paid, and financial and demographic factors affecting the liabilities, such as inflation and improving longevity. </w:t>
            </w:r>
          </w:p>
          <w:p w14:paraId="7B9AB6DB" w14:textId="77777777" w:rsidR="00B15CDD" w:rsidRPr="00601B12" w:rsidRDefault="00B15CDD" w:rsidP="00A660AD">
            <w:pPr>
              <w:pStyle w:val="BodyTextGrey"/>
              <w:rPr>
                <w:color w:val="auto"/>
                <w:sz w:val="24"/>
                <w:szCs w:val="24"/>
                <w:lang w:eastAsia="en-GB"/>
              </w:rPr>
            </w:pPr>
            <w:r w:rsidRPr="00601B12">
              <w:rPr>
                <w:color w:val="auto"/>
                <w:sz w:val="24"/>
                <w:szCs w:val="24"/>
              </w:rPr>
              <w:t xml:space="preserve">The Committee and Council officers have discussed the contribution strategy with the Actuary taking account of the strength of covenant of the Council and its </w:t>
            </w:r>
            <w:proofErr w:type="gramStart"/>
            <w:r w:rsidRPr="00601B12">
              <w:rPr>
                <w:color w:val="auto"/>
                <w:sz w:val="24"/>
                <w:szCs w:val="24"/>
              </w:rPr>
              <w:t>long term</w:t>
            </w:r>
            <w:proofErr w:type="gramEnd"/>
            <w:r w:rsidRPr="00601B12">
              <w:rPr>
                <w:color w:val="auto"/>
                <w:sz w:val="24"/>
                <w:szCs w:val="24"/>
              </w:rPr>
              <w:t xml:space="preserve"> horizon. Discussions have also taken place with admitted bodies in relation to the affordability of contributions and the strengths of their covenants.</w:t>
            </w:r>
          </w:p>
        </w:tc>
      </w:tr>
      <w:tr w:rsidR="00B15CDD" w:rsidRPr="00601B12" w14:paraId="4840ACA6" w14:textId="77777777" w:rsidTr="00A660AD">
        <w:trPr>
          <w:trHeight w:val="416"/>
        </w:trPr>
        <w:tc>
          <w:tcPr>
            <w:tcW w:w="2268" w:type="pct"/>
          </w:tcPr>
          <w:p w14:paraId="5558ACD9" w14:textId="77777777" w:rsidR="00B15CDD" w:rsidRPr="00601B12" w:rsidRDefault="00B15CDD" w:rsidP="00A660AD">
            <w:pPr>
              <w:pStyle w:val="Heading4"/>
              <w:rPr>
                <w:rFonts w:ascii="Arial" w:hAnsi="Arial" w:cs="Arial"/>
                <w:i w:val="0"/>
                <w:color w:val="2F5496" w:themeColor="accent1" w:themeShade="BF"/>
                <w:sz w:val="24"/>
                <w:szCs w:val="24"/>
              </w:rPr>
            </w:pPr>
            <w:r w:rsidRPr="00601B12">
              <w:rPr>
                <w:rFonts w:ascii="Arial" w:hAnsi="Arial" w:cs="Arial"/>
                <w:i w:val="0"/>
                <w:color w:val="2F5496" w:themeColor="accent1" w:themeShade="BF"/>
                <w:sz w:val="24"/>
                <w:szCs w:val="24"/>
              </w:rPr>
              <w:t>Principle 4 Performance assessment:</w:t>
            </w:r>
          </w:p>
          <w:p w14:paraId="45EBD4D4" w14:textId="77777777" w:rsidR="00B15CDD" w:rsidRPr="00601B12" w:rsidRDefault="00B15CDD" w:rsidP="004C17A4">
            <w:pPr>
              <w:pStyle w:val="BodyText"/>
              <w:numPr>
                <w:ilvl w:val="0"/>
                <w:numId w:val="34"/>
              </w:numPr>
              <w:spacing w:before="20" w:after="200" w:line="280" w:lineRule="atLeast"/>
              <w:ind w:left="284" w:hanging="284"/>
              <w:rPr>
                <w:rFonts w:ascii="Arial" w:hAnsi="Arial" w:cs="Arial"/>
                <w:caps/>
                <w:szCs w:val="24"/>
              </w:rPr>
            </w:pPr>
            <w:r w:rsidRPr="00601B12">
              <w:rPr>
                <w:rFonts w:ascii="Arial" w:hAnsi="Arial" w:cs="Arial"/>
                <w:bCs/>
                <w:szCs w:val="24"/>
              </w:rPr>
              <w:t xml:space="preserve">Arrangements should be in place for the formal measurement of performance of the investments, investment managers and advisers. </w:t>
            </w:r>
          </w:p>
          <w:p w14:paraId="0350943F" w14:textId="77777777" w:rsidR="00B15CDD" w:rsidRPr="00601B12" w:rsidRDefault="00B15CDD" w:rsidP="004C17A4">
            <w:pPr>
              <w:pStyle w:val="BodyText"/>
              <w:numPr>
                <w:ilvl w:val="0"/>
                <w:numId w:val="34"/>
              </w:numPr>
              <w:spacing w:before="20" w:after="200" w:line="280" w:lineRule="atLeast"/>
              <w:ind w:left="284" w:hanging="284"/>
              <w:rPr>
                <w:rFonts w:ascii="Arial" w:hAnsi="Arial" w:cs="Arial"/>
                <w:szCs w:val="24"/>
                <w:lang w:eastAsia="en-GB"/>
              </w:rPr>
            </w:pPr>
            <w:r w:rsidRPr="00601B12">
              <w:rPr>
                <w:rFonts w:ascii="Arial" w:hAnsi="Arial" w:cs="Arial"/>
                <w:bCs/>
                <w:szCs w:val="24"/>
              </w:rPr>
              <w:t>Administering authorities should also periodically make a formal assessment of their own effectiveness as a decision-making body and report on this to scheme members.</w:t>
            </w:r>
          </w:p>
        </w:tc>
        <w:tc>
          <w:tcPr>
            <w:tcW w:w="2732" w:type="pct"/>
          </w:tcPr>
          <w:p w14:paraId="4553F673" w14:textId="77777777" w:rsidR="00B15CDD" w:rsidRPr="00601B12" w:rsidRDefault="00B15CDD" w:rsidP="00A660AD">
            <w:pPr>
              <w:pStyle w:val="Heading4"/>
              <w:rPr>
                <w:rFonts w:ascii="Arial" w:hAnsi="Arial" w:cs="Arial"/>
                <w:i w:val="0"/>
                <w:color w:val="2F5496" w:themeColor="accent1" w:themeShade="BF"/>
                <w:sz w:val="24"/>
                <w:szCs w:val="24"/>
              </w:rPr>
            </w:pPr>
            <w:r w:rsidRPr="00601B12">
              <w:rPr>
                <w:rFonts w:ascii="Arial" w:hAnsi="Arial" w:cs="Arial"/>
                <w:i w:val="0"/>
                <w:color w:val="2F5496" w:themeColor="accent1" w:themeShade="BF"/>
                <w:sz w:val="24"/>
                <w:szCs w:val="24"/>
              </w:rPr>
              <w:t xml:space="preserve">Compliant </w:t>
            </w:r>
          </w:p>
          <w:p w14:paraId="41227125" w14:textId="77777777" w:rsidR="00B15CDD" w:rsidRPr="005B6F1C" w:rsidRDefault="00B15CDD" w:rsidP="00A660AD">
            <w:pPr>
              <w:pStyle w:val="BodyTextGrey"/>
              <w:rPr>
                <w:color w:val="000000" w:themeColor="text1"/>
                <w:sz w:val="24"/>
                <w:szCs w:val="24"/>
              </w:rPr>
            </w:pPr>
            <w:r w:rsidRPr="005B6F1C">
              <w:rPr>
                <w:color w:val="000000" w:themeColor="text1"/>
                <w:sz w:val="24"/>
                <w:szCs w:val="24"/>
              </w:rPr>
              <w:t>The performance of the Fund and its individual managers are monitored on a regular basis</w:t>
            </w:r>
            <w:r w:rsidRPr="005B6F1C">
              <w:rPr>
                <w:i/>
                <w:color w:val="000000" w:themeColor="text1"/>
                <w:sz w:val="24"/>
                <w:szCs w:val="24"/>
              </w:rPr>
              <w:t>.</w:t>
            </w:r>
            <w:r w:rsidRPr="005B6F1C">
              <w:rPr>
                <w:color w:val="000000" w:themeColor="text1"/>
                <w:sz w:val="24"/>
                <w:szCs w:val="24"/>
              </w:rPr>
              <w:t xml:space="preserve"> </w:t>
            </w:r>
          </w:p>
          <w:p w14:paraId="615B8157" w14:textId="77777777" w:rsidR="00B15CDD" w:rsidRPr="005B6F1C" w:rsidRDefault="00B15CDD" w:rsidP="00A660AD">
            <w:pPr>
              <w:pStyle w:val="BodyTextGrey"/>
              <w:rPr>
                <w:color w:val="000000" w:themeColor="text1"/>
                <w:sz w:val="24"/>
                <w:szCs w:val="24"/>
              </w:rPr>
            </w:pPr>
            <w:r w:rsidRPr="005B6F1C">
              <w:rPr>
                <w:color w:val="000000" w:themeColor="text1"/>
                <w:sz w:val="24"/>
                <w:szCs w:val="24"/>
              </w:rPr>
              <w:t>The quality of advisers is assessed on a qualitative basis but is not formally measured. Advisers are subject to periodic re</w:t>
            </w:r>
            <w:r w:rsidRPr="005B6F1C">
              <w:rPr>
                <w:rFonts w:ascii="Cambria Math" w:hAnsi="Cambria Math" w:cs="Cambria Math"/>
                <w:color w:val="000000" w:themeColor="text1"/>
                <w:sz w:val="24"/>
                <w:szCs w:val="24"/>
              </w:rPr>
              <w:t>‐</w:t>
            </w:r>
            <w:r w:rsidRPr="005B6F1C">
              <w:rPr>
                <w:color w:val="000000" w:themeColor="text1"/>
                <w:sz w:val="24"/>
                <w:szCs w:val="24"/>
              </w:rPr>
              <w:t>tender.</w:t>
            </w:r>
          </w:p>
          <w:p w14:paraId="0E7DCBD6" w14:textId="77777777" w:rsidR="00B15CDD" w:rsidRPr="005B6F1C" w:rsidRDefault="00B15CDD" w:rsidP="00A660AD">
            <w:pPr>
              <w:pStyle w:val="BodyTextGrey"/>
              <w:rPr>
                <w:i/>
                <w:color w:val="000000" w:themeColor="text1"/>
                <w:sz w:val="24"/>
                <w:szCs w:val="24"/>
              </w:rPr>
            </w:pPr>
            <w:r w:rsidRPr="005B6F1C">
              <w:rPr>
                <w:i/>
                <w:color w:val="000000" w:themeColor="text1"/>
                <w:sz w:val="24"/>
                <w:szCs w:val="24"/>
              </w:rPr>
              <w:t xml:space="preserve">The Fund’s contracts with its advisers are regularly market tested.  </w:t>
            </w:r>
          </w:p>
          <w:p w14:paraId="0B01936F" w14:textId="77777777" w:rsidR="00B15CDD" w:rsidRPr="005B6F1C" w:rsidRDefault="00B15CDD" w:rsidP="00A660AD">
            <w:pPr>
              <w:pStyle w:val="BodyTextGrey"/>
              <w:rPr>
                <w:i/>
                <w:color w:val="000000" w:themeColor="text1"/>
                <w:sz w:val="24"/>
                <w:szCs w:val="24"/>
              </w:rPr>
            </w:pPr>
            <w:r w:rsidRPr="005B6F1C">
              <w:rPr>
                <w:i/>
                <w:color w:val="000000" w:themeColor="text1"/>
                <w:sz w:val="24"/>
                <w:szCs w:val="24"/>
              </w:rPr>
              <w:t>The Pension Committee will carry out a formal process to measure its own effectiveness and will report this to the Pensions Committee on a regular basis.</w:t>
            </w:r>
          </w:p>
          <w:p w14:paraId="5681AFC3" w14:textId="77777777" w:rsidR="00B15CDD" w:rsidRPr="00601B12" w:rsidRDefault="00B15CDD" w:rsidP="00A660AD">
            <w:pPr>
              <w:pStyle w:val="BodyTextGrey"/>
              <w:rPr>
                <w:color w:val="auto"/>
                <w:sz w:val="24"/>
                <w:szCs w:val="24"/>
                <w:lang w:eastAsia="en-GB"/>
              </w:rPr>
            </w:pPr>
            <w:r w:rsidRPr="005B6F1C">
              <w:rPr>
                <w:i/>
                <w:color w:val="000000" w:themeColor="text1"/>
                <w:sz w:val="24"/>
                <w:szCs w:val="24"/>
              </w:rPr>
              <w:t>Training and attendance of members of the Pensions Committee are monitored and reported on annually.</w:t>
            </w:r>
            <w:r w:rsidRPr="005B6F1C">
              <w:rPr>
                <w:color w:val="000000" w:themeColor="text1"/>
                <w:sz w:val="24"/>
                <w:szCs w:val="24"/>
              </w:rPr>
              <w:t xml:space="preserve">  </w:t>
            </w:r>
          </w:p>
        </w:tc>
      </w:tr>
      <w:tr w:rsidR="00B15CDD" w:rsidRPr="00601B12" w14:paraId="7182189F" w14:textId="77777777" w:rsidTr="00A660AD">
        <w:tc>
          <w:tcPr>
            <w:tcW w:w="2268" w:type="pct"/>
          </w:tcPr>
          <w:p w14:paraId="742C29DA" w14:textId="77777777" w:rsidR="00B15CDD" w:rsidRPr="00601B12" w:rsidRDefault="00B15CDD" w:rsidP="00A660AD">
            <w:pPr>
              <w:pStyle w:val="Heading4"/>
              <w:rPr>
                <w:rFonts w:ascii="Arial" w:hAnsi="Arial" w:cs="Arial"/>
                <w:i w:val="0"/>
                <w:color w:val="2F5496" w:themeColor="accent1" w:themeShade="BF"/>
                <w:sz w:val="24"/>
                <w:szCs w:val="24"/>
              </w:rPr>
            </w:pPr>
            <w:r w:rsidRPr="00601B12">
              <w:rPr>
                <w:rFonts w:ascii="Arial" w:hAnsi="Arial" w:cs="Arial"/>
                <w:i w:val="0"/>
                <w:color w:val="2F5496" w:themeColor="accent1" w:themeShade="BF"/>
                <w:sz w:val="24"/>
                <w:szCs w:val="24"/>
              </w:rPr>
              <w:t>Principle 5 Responsible Ownership:</w:t>
            </w:r>
          </w:p>
          <w:p w14:paraId="5D4E9052" w14:textId="77777777" w:rsidR="00B15CDD" w:rsidRPr="00601B12" w:rsidRDefault="00B15CDD" w:rsidP="00A660AD">
            <w:pPr>
              <w:pStyle w:val="BodyText"/>
              <w:spacing w:after="200"/>
              <w:rPr>
                <w:rFonts w:ascii="Arial" w:hAnsi="Arial" w:cs="Arial"/>
                <w:szCs w:val="24"/>
              </w:rPr>
            </w:pPr>
            <w:r w:rsidRPr="00601B12">
              <w:rPr>
                <w:rFonts w:ascii="Arial" w:hAnsi="Arial" w:cs="Arial"/>
                <w:szCs w:val="24"/>
              </w:rPr>
              <w:t xml:space="preserve">Administering authorities should </w:t>
            </w:r>
            <w:r w:rsidRPr="00601B12">
              <w:rPr>
                <w:rFonts w:ascii="Arial" w:hAnsi="Arial" w:cs="Arial"/>
                <w:bCs/>
                <w:szCs w:val="24"/>
              </w:rPr>
              <w:t xml:space="preserve">  </w:t>
            </w:r>
          </w:p>
          <w:p w14:paraId="2A038B02" w14:textId="77777777" w:rsidR="00B15CDD" w:rsidRPr="00601B12" w:rsidRDefault="00B15CDD" w:rsidP="004C17A4">
            <w:pPr>
              <w:pStyle w:val="BodyText"/>
              <w:numPr>
                <w:ilvl w:val="0"/>
                <w:numId w:val="34"/>
              </w:numPr>
              <w:spacing w:before="20" w:after="200" w:line="280" w:lineRule="atLeast"/>
              <w:ind w:left="284" w:hanging="284"/>
              <w:rPr>
                <w:rFonts w:ascii="Arial" w:hAnsi="Arial" w:cs="Arial"/>
                <w:bCs/>
                <w:szCs w:val="24"/>
              </w:rPr>
            </w:pPr>
            <w:r w:rsidRPr="00601B12">
              <w:rPr>
                <w:rFonts w:ascii="Arial" w:hAnsi="Arial" w:cs="Arial"/>
                <w:bCs/>
                <w:szCs w:val="24"/>
              </w:rPr>
              <w:t>recognise, and ensure that their partners in the investment chain adopt, the FRC’s UK Stewardship Code</w:t>
            </w:r>
          </w:p>
          <w:p w14:paraId="64F890CF" w14:textId="77777777" w:rsidR="00B15CDD" w:rsidRPr="00601B12" w:rsidRDefault="00B15CDD" w:rsidP="004C17A4">
            <w:pPr>
              <w:pStyle w:val="BodyText"/>
              <w:numPr>
                <w:ilvl w:val="0"/>
                <w:numId w:val="34"/>
              </w:numPr>
              <w:spacing w:before="20" w:after="200" w:line="280" w:lineRule="atLeast"/>
              <w:ind w:left="284" w:hanging="284"/>
              <w:rPr>
                <w:rFonts w:ascii="Arial" w:hAnsi="Arial" w:cs="Arial"/>
                <w:bCs/>
                <w:szCs w:val="24"/>
              </w:rPr>
            </w:pPr>
            <w:r w:rsidRPr="00601B12">
              <w:rPr>
                <w:rFonts w:ascii="Arial" w:hAnsi="Arial" w:cs="Arial"/>
                <w:bCs/>
                <w:szCs w:val="24"/>
              </w:rPr>
              <w:t xml:space="preserve">include a statement of their policy on responsible ownership in the Investment Strategy Statement.  </w:t>
            </w:r>
          </w:p>
          <w:p w14:paraId="2ED8412C" w14:textId="77777777" w:rsidR="00B15CDD" w:rsidRPr="00601B12" w:rsidRDefault="00B15CDD" w:rsidP="004C17A4">
            <w:pPr>
              <w:pStyle w:val="BodyText"/>
              <w:numPr>
                <w:ilvl w:val="0"/>
                <w:numId w:val="34"/>
              </w:numPr>
              <w:spacing w:before="20" w:after="200" w:line="280" w:lineRule="atLeast"/>
              <w:ind w:left="284" w:hanging="284"/>
              <w:rPr>
                <w:rFonts w:ascii="Arial" w:hAnsi="Arial" w:cs="Arial"/>
                <w:szCs w:val="24"/>
                <w:lang w:eastAsia="en-GB"/>
              </w:rPr>
            </w:pPr>
            <w:r w:rsidRPr="00601B12">
              <w:rPr>
                <w:rFonts w:ascii="Arial" w:hAnsi="Arial" w:cs="Arial"/>
                <w:bCs/>
                <w:szCs w:val="24"/>
              </w:rPr>
              <w:t>Report periodically to scheme members on the discharge of such responsibilities.</w:t>
            </w:r>
          </w:p>
        </w:tc>
        <w:tc>
          <w:tcPr>
            <w:tcW w:w="2732" w:type="pct"/>
          </w:tcPr>
          <w:p w14:paraId="39490502" w14:textId="77777777" w:rsidR="00B15CDD" w:rsidRPr="00601B12" w:rsidRDefault="00B15CDD" w:rsidP="00A660AD">
            <w:pPr>
              <w:pStyle w:val="Heading4"/>
              <w:rPr>
                <w:rFonts w:ascii="Arial" w:hAnsi="Arial" w:cs="Arial"/>
                <w:color w:val="2F5496" w:themeColor="accent1" w:themeShade="BF"/>
                <w:sz w:val="24"/>
                <w:szCs w:val="24"/>
              </w:rPr>
            </w:pPr>
            <w:r w:rsidRPr="00601B12">
              <w:rPr>
                <w:rFonts w:ascii="Arial" w:hAnsi="Arial" w:cs="Arial"/>
                <w:color w:val="2F5496" w:themeColor="accent1" w:themeShade="BF"/>
                <w:sz w:val="24"/>
                <w:szCs w:val="24"/>
              </w:rPr>
              <w:t xml:space="preserve">Compliant </w:t>
            </w:r>
          </w:p>
          <w:p w14:paraId="4151F744" w14:textId="77777777" w:rsidR="00B15CDD" w:rsidRPr="00601B12" w:rsidRDefault="00B15CDD" w:rsidP="00A660AD">
            <w:pPr>
              <w:pStyle w:val="BodyTextGrey"/>
              <w:rPr>
                <w:color w:val="auto"/>
                <w:sz w:val="24"/>
                <w:szCs w:val="24"/>
              </w:rPr>
            </w:pPr>
            <w:r w:rsidRPr="00601B12">
              <w:rPr>
                <w:color w:val="auto"/>
                <w:sz w:val="24"/>
                <w:szCs w:val="24"/>
              </w:rPr>
              <w:t xml:space="preserve">The Pensions Committee encourages its investment managers to adopt the Financial Reporting Council (FRC’s) UK Stewardship Code but not all managers may necessarily comply fully with the Code’s </w:t>
            </w:r>
            <w:proofErr w:type="gramStart"/>
            <w:r w:rsidRPr="00601B12">
              <w:rPr>
                <w:color w:val="auto"/>
                <w:sz w:val="24"/>
                <w:szCs w:val="24"/>
              </w:rPr>
              <w:t>principles</w:t>
            </w:r>
            <w:proofErr w:type="gramEnd"/>
          </w:p>
          <w:p w14:paraId="0087C7DE" w14:textId="77777777" w:rsidR="00B15CDD" w:rsidRPr="00601B12" w:rsidRDefault="00B15CDD" w:rsidP="00A660AD">
            <w:pPr>
              <w:pStyle w:val="BodyTextGrey"/>
              <w:rPr>
                <w:color w:val="auto"/>
                <w:sz w:val="24"/>
                <w:szCs w:val="24"/>
              </w:rPr>
            </w:pPr>
            <w:r w:rsidRPr="00601B12">
              <w:rPr>
                <w:color w:val="auto"/>
                <w:sz w:val="24"/>
                <w:szCs w:val="24"/>
              </w:rPr>
              <w:t>This Investment Strategy Statement includes a statement on the Fund’s policy on responsible ownership.</w:t>
            </w:r>
          </w:p>
          <w:p w14:paraId="740B5328" w14:textId="77777777" w:rsidR="00B15CDD" w:rsidRPr="00601B12" w:rsidRDefault="00B15CDD" w:rsidP="00A660AD">
            <w:pPr>
              <w:pStyle w:val="BodyTextGrey"/>
              <w:rPr>
                <w:color w:val="auto"/>
                <w:sz w:val="24"/>
                <w:szCs w:val="24"/>
              </w:rPr>
            </w:pPr>
            <w:r w:rsidRPr="00601B12">
              <w:rPr>
                <w:color w:val="auto"/>
                <w:sz w:val="24"/>
                <w:szCs w:val="24"/>
              </w:rPr>
              <w:t xml:space="preserve">The Fund has determined to become a Signatory to the FRC Code in accordance with the Statutory Guidance issued by the DCLG in September </w:t>
            </w:r>
            <w:proofErr w:type="gramStart"/>
            <w:r w:rsidRPr="00601B12">
              <w:rPr>
                <w:color w:val="auto"/>
                <w:sz w:val="24"/>
                <w:szCs w:val="24"/>
              </w:rPr>
              <w:t>2016 .</w:t>
            </w:r>
            <w:proofErr w:type="gramEnd"/>
            <w:r w:rsidRPr="00601B12">
              <w:rPr>
                <w:color w:val="auto"/>
                <w:sz w:val="24"/>
                <w:szCs w:val="24"/>
              </w:rPr>
              <w:t xml:space="preserve"> </w:t>
            </w:r>
          </w:p>
        </w:tc>
      </w:tr>
      <w:tr w:rsidR="00B15CDD" w:rsidRPr="00601B12" w14:paraId="18D78411" w14:textId="77777777" w:rsidTr="00A660AD">
        <w:tc>
          <w:tcPr>
            <w:tcW w:w="2268" w:type="pct"/>
          </w:tcPr>
          <w:p w14:paraId="26F77124" w14:textId="77777777" w:rsidR="00B15CDD" w:rsidRPr="00601B12" w:rsidRDefault="00B15CDD" w:rsidP="00A660AD">
            <w:pPr>
              <w:pStyle w:val="Default"/>
              <w:spacing w:before="20" w:after="200" w:line="280" w:lineRule="atLeast"/>
              <w:rPr>
                <w:b/>
                <w:color w:val="2F5496" w:themeColor="accent1" w:themeShade="BF"/>
              </w:rPr>
            </w:pPr>
            <w:r w:rsidRPr="00601B12">
              <w:rPr>
                <w:b/>
                <w:color w:val="2F5496" w:themeColor="accent1" w:themeShade="BF"/>
              </w:rPr>
              <w:t xml:space="preserve">Principle </w:t>
            </w:r>
            <w:proofErr w:type="gramStart"/>
            <w:r w:rsidRPr="00601B12">
              <w:rPr>
                <w:b/>
                <w:color w:val="2F5496" w:themeColor="accent1" w:themeShade="BF"/>
              </w:rPr>
              <w:t>6  Transparency</w:t>
            </w:r>
            <w:proofErr w:type="gramEnd"/>
            <w:r w:rsidRPr="00601B12">
              <w:rPr>
                <w:b/>
                <w:color w:val="2F5496" w:themeColor="accent1" w:themeShade="BF"/>
              </w:rPr>
              <w:t xml:space="preserve"> and Reporting:</w:t>
            </w:r>
          </w:p>
          <w:p w14:paraId="7DBC42C6" w14:textId="77777777" w:rsidR="00B15CDD" w:rsidRPr="00601B12" w:rsidRDefault="00B15CDD" w:rsidP="00A660AD">
            <w:pPr>
              <w:pStyle w:val="Default"/>
              <w:spacing w:before="20" w:after="200" w:line="280" w:lineRule="atLeast"/>
              <w:rPr>
                <w:color w:val="auto"/>
              </w:rPr>
            </w:pPr>
            <w:r w:rsidRPr="00601B12">
              <w:rPr>
                <w:color w:val="auto"/>
              </w:rPr>
              <w:t xml:space="preserve">Administering authorities should </w:t>
            </w:r>
          </w:p>
          <w:p w14:paraId="3A5A97D2" w14:textId="77777777" w:rsidR="00B15CDD" w:rsidRPr="00601B12" w:rsidRDefault="00B15CDD" w:rsidP="004C17A4">
            <w:pPr>
              <w:pStyle w:val="BodyText"/>
              <w:numPr>
                <w:ilvl w:val="0"/>
                <w:numId w:val="34"/>
              </w:numPr>
              <w:spacing w:before="20" w:after="200" w:line="280" w:lineRule="atLeast"/>
              <w:ind w:left="284" w:hanging="284"/>
              <w:rPr>
                <w:rFonts w:ascii="Arial" w:hAnsi="Arial" w:cs="Arial"/>
                <w:bCs/>
                <w:szCs w:val="24"/>
              </w:rPr>
            </w:pPr>
            <w:r w:rsidRPr="00601B12">
              <w:rPr>
                <w:rFonts w:ascii="Arial" w:hAnsi="Arial" w:cs="Arial"/>
                <w:bCs/>
                <w:szCs w:val="24"/>
              </w:rPr>
              <w:t xml:space="preserve">act in a transparent manner, communicating with stakeholders on issues relating to their management of investment, its </w:t>
            </w:r>
            <w:proofErr w:type="gramStart"/>
            <w:r w:rsidRPr="00601B12">
              <w:rPr>
                <w:rFonts w:ascii="Arial" w:hAnsi="Arial" w:cs="Arial"/>
                <w:bCs/>
                <w:szCs w:val="24"/>
              </w:rPr>
              <w:t>governance</w:t>
            </w:r>
            <w:proofErr w:type="gramEnd"/>
            <w:r w:rsidRPr="00601B12">
              <w:rPr>
                <w:rFonts w:ascii="Arial" w:hAnsi="Arial" w:cs="Arial"/>
                <w:bCs/>
                <w:szCs w:val="24"/>
              </w:rPr>
              <w:t xml:space="preserve"> and risks, including performance against stated objectives.</w:t>
            </w:r>
          </w:p>
          <w:p w14:paraId="407F30BA" w14:textId="77777777" w:rsidR="00B15CDD" w:rsidRPr="00601B12" w:rsidRDefault="00B15CDD" w:rsidP="004C17A4">
            <w:pPr>
              <w:pStyle w:val="BodyText"/>
              <w:numPr>
                <w:ilvl w:val="0"/>
                <w:numId w:val="34"/>
              </w:numPr>
              <w:spacing w:before="20" w:after="200" w:line="280" w:lineRule="atLeast"/>
              <w:ind w:left="284" w:hanging="284"/>
              <w:rPr>
                <w:rFonts w:ascii="Arial" w:hAnsi="Arial" w:cs="Arial"/>
                <w:szCs w:val="24"/>
                <w:lang w:eastAsia="en-GB"/>
              </w:rPr>
            </w:pPr>
            <w:r w:rsidRPr="00601B12">
              <w:rPr>
                <w:rFonts w:ascii="Arial" w:hAnsi="Arial" w:cs="Arial"/>
                <w:bCs/>
                <w:szCs w:val="24"/>
              </w:rPr>
              <w:t>Should provide regular communication to scheme members in the form they consider most appropriate.</w:t>
            </w:r>
          </w:p>
        </w:tc>
        <w:tc>
          <w:tcPr>
            <w:tcW w:w="2732" w:type="pct"/>
          </w:tcPr>
          <w:p w14:paraId="6A7D1673" w14:textId="77777777" w:rsidR="00B15CDD" w:rsidRPr="00601B12" w:rsidRDefault="00B15CDD" w:rsidP="00A660AD">
            <w:pPr>
              <w:pStyle w:val="Heading4"/>
              <w:rPr>
                <w:rFonts w:ascii="Arial" w:hAnsi="Arial" w:cs="Arial"/>
                <w:i w:val="0"/>
                <w:color w:val="2F5496" w:themeColor="accent1" w:themeShade="BF"/>
                <w:sz w:val="24"/>
                <w:szCs w:val="24"/>
              </w:rPr>
            </w:pPr>
            <w:r w:rsidRPr="00601B12">
              <w:rPr>
                <w:rFonts w:ascii="Arial" w:hAnsi="Arial" w:cs="Arial"/>
                <w:i w:val="0"/>
                <w:color w:val="2F5496" w:themeColor="accent1" w:themeShade="BF"/>
                <w:sz w:val="24"/>
                <w:szCs w:val="24"/>
              </w:rPr>
              <w:t xml:space="preserve">Compliant </w:t>
            </w:r>
          </w:p>
          <w:p w14:paraId="5BD33389" w14:textId="77777777" w:rsidR="00B15CDD" w:rsidRPr="00601B12" w:rsidRDefault="00B15CDD" w:rsidP="00A660AD">
            <w:pPr>
              <w:pStyle w:val="BodyTextGrey"/>
              <w:rPr>
                <w:color w:val="auto"/>
                <w:sz w:val="24"/>
                <w:szCs w:val="24"/>
              </w:rPr>
            </w:pPr>
            <w:r w:rsidRPr="00601B12">
              <w:rPr>
                <w:color w:val="auto"/>
                <w:sz w:val="24"/>
                <w:szCs w:val="24"/>
              </w:rPr>
              <w:t xml:space="preserve">The Pension Committee maintains minutes of meetings which are available on the Council website. </w:t>
            </w:r>
          </w:p>
          <w:p w14:paraId="506CEEFA" w14:textId="77777777" w:rsidR="00B15CDD" w:rsidRPr="00601B12" w:rsidRDefault="00B15CDD" w:rsidP="00A660AD">
            <w:pPr>
              <w:pStyle w:val="BodyTextGrey"/>
              <w:rPr>
                <w:color w:val="auto"/>
                <w:sz w:val="24"/>
                <w:szCs w:val="24"/>
              </w:rPr>
            </w:pPr>
            <w:r w:rsidRPr="00601B12">
              <w:rPr>
                <w:color w:val="auto"/>
                <w:sz w:val="24"/>
                <w:szCs w:val="24"/>
              </w:rPr>
              <w:t xml:space="preserve">The Council holds a formal annual meeting for members </w:t>
            </w:r>
            <w:proofErr w:type="gramStart"/>
            <w:r w:rsidRPr="00601B12">
              <w:rPr>
                <w:color w:val="auto"/>
                <w:sz w:val="24"/>
                <w:szCs w:val="24"/>
              </w:rPr>
              <w:t>and also</w:t>
            </w:r>
            <w:proofErr w:type="gramEnd"/>
            <w:r w:rsidRPr="00601B12">
              <w:rPr>
                <w:color w:val="auto"/>
                <w:sz w:val="24"/>
                <w:szCs w:val="24"/>
              </w:rPr>
              <w:t xml:space="preserve"> meets periodically with sponsoring employer bodies. A member representative attends Committee meetings. </w:t>
            </w:r>
          </w:p>
          <w:p w14:paraId="7E18CF59" w14:textId="77777777" w:rsidR="00B15CDD" w:rsidRPr="00601B12" w:rsidRDefault="00B15CDD" w:rsidP="00A660AD">
            <w:pPr>
              <w:pStyle w:val="BodyTextGrey"/>
              <w:rPr>
                <w:color w:val="auto"/>
                <w:sz w:val="24"/>
                <w:szCs w:val="24"/>
                <w:lang w:eastAsia="en-GB"/>
              </w:rPr>
            </w:pPr>
            <w:r w:rsidRPr="00601B12">
              <w:rPr>
                <w:color w:val="auto"/>
                <w:sz w:val="24"/>
                <w:szCs w:val="24"/>
              </w:rPr>
              <w:t>The Investment Strategy Statement is published on the Council website and is available to members on request. Other information on the Scheme is available to members on the Council website.</w:t>
            </w:r>
          </w:p>
        </w:tc>
      </w:tr>
    </w:tbl>
    <w:p w14:paraId="1EF24809" w14:textId="77777777" w:rsidR="00B15CDD" w:rsidRPr="00601B12" w:rsidRDefault="00B15CDD" w:rsidP="00B15CDD">
      <w:pPr>
        <w:pStyle w:val="BodyTextGrey"/>
        <w:spacing w:after="0"/>
        <w:jc w:val="both"/>
        <w:rPr>
          <w:color w:val="auto"/>
          <w:sz w:val="24"/>
          <w:szCs w:val="24"/>
          <w:lang w:eastAsia="en-GB"/>
        </w:rPr>
      </w:pPr>
    </w:p>
    <w:p w14:paraId="4FC23C2A" w14:textId="77777777" w:rsidR="00B15CDD" w:rsidRPr="00601B12" w:rsidRDefault="00B15CDD" w:rsidP="00B15CDD">
      <w:pPr>
        <w:pStyle w:val="BodyTextGrey"/>
        <w:spacing w:after="0"/>
        <w:jc w:val="both"/>
        <w:rPr>
          <w:color w:val="auto"/>
          <w:sz w:val="24"/>
          <w:szCs w:val="24"/>
          <w:lang w:eastAsia="en-GB"/>
        </w:rPr>
      </w:pPr>
    </w:p>
    <w:p w14:paraId="698AE841" w14:textId="77777777" w:rsidR="00B15CDD" w:rsidRPr="00601B12" w:rsidRDefault="00B15CDD" w:rsidP="00B15CDD">
      <w:pPr>
        <w:pStyle w:val="Appendix1"/>
        <w:rPr>
          <w:rFonts w:cs="Arial"/>
          <w:b/>
          <w:color w:val="auto"/>
          <w:sz w:val="24"/>
          <w:szCs w:val="24"/>
        </w:rPr>
      </w:pPr>
      <w:bookmarkStart w:id="32" w:name="StartOfDocument"/>
      <w:bookmarkStart w:id="33" w:name="MainHeading"/>
      <w:bookmarkEnd w:id="32"/>
      <w:bookmarkEnd w:id="33"/>
      <w:r w:rsidRPr="00601B12">
        <w:rPr>
          <w:rFonts w:cs="Arial"/>
          <w:b/>
          <w:color w:val="auto"/>
          <w:sz w:val="24"/>
          <w:szCs w:val="24"/>
        </w:rPr>
        <w:t>Appendix B:  Strategic Asset Allocation</w:t>
      </w:r>
    </w:p>
    <w:p w14:paraId="10FCED04" w14:textId="77777777" w:rsidR="00B15CDD" w:rsidRPr="00CB70B9" w:rsidRDefault="00B15CDD" w:rsidP="00B15CDD">
      <w:pPr>
        <w:pStyle w:val="BodyTextGrey"/>
        <w:jc w:val="both"/>
        <w:rPr>
          <w:i/>
          <w:color w:val="auto"/>
          <w:sz w:val="24"/>
          <w:szCs w:val="24"/>
        </w:rPr>
      </w:pPr>
      <w:r w:rsidRPr="00601B12">
        <w:rPr>
          <w:i/>
          <w:color w:val="auto"/>
          <w:sz w:val="24"/>
          <w:szCs w:val="24"/>
        </w:rPr>
        <w:t>The strategic asset allocation of the Fund, together with control ranges and the benchmark index for each asset class is as follows</w:t>
      </w:r>
      <w:r>
        <w:rPr>
          <w:i/>
          <w:color w:val="auto"/>
          <w:sz w:val="24"/>
          <w:szCs w:val="24"/>
        </w:rPr>
        <w:t xml:space="preserve"> (updated at the December 2020 Pension Committee)</w:t>
      </w:r>
      <w:r w:rsidRPr="00601B12">
        <w:rPr>
          <w:i/>
          <w:color w:val="auto"/>
          <w:sz w:val="24"/>
          <w:szCs w:val="24"/>
        </w:rPr>
        <w:t>:</w:t>
      </w:r>
    </w:p>
    <w:p w14:paraId="521D7F67" w14:textId="77777777" w:rsidR="00B15CDD" w:rsidRDefault="00B15CDD" w:rsidP="00B15CDD"/>
    <w:tbl>
      <w:tblPr>
        <w:tblW w:w="9170" w:type="dxa"/>
        <w:tblInd w:w="-10" w:type="dxa"/>
        <w:tblLook w:val="04A0" w:firstRow="1" w:lastRow="0" w:firstColumn="1" w:lastColumn="0" w:noHBand="0" w:noVBand="1"/>
      </w:tblPr>
      <w:tblGrid>
        <w:gridCol w:w="2817"/>
        <w:gridCol w:w="1926"/>
        <w:gridCol w:w="1631"/>
        <w:gridCol w:w="1563"/>
        <w:gridCol w:w="1233"/>
      </w:tblGrid>
      <w:tr w:rsidR="00B15CDD" w:rsidRPr="006B4E92" w14:paraId="27BB70E0" w14:textId="77777777" w:rsidTr="00A660AD">
        <w:trPr>
          <w:trHeight w:val="547"/>
        </w:trPr>
        <w:tc>
          <w:tcPr>
            <w:tcW w:w="281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AD8129" w14:textId="77777777" w:rsidR="00B15CDD" w:rsidRPr="006B4E92" w:rsidRDefault="00B15CDD" w:rsidP="00A660AD">
            <w:pPr>
              <w:rPr>
                <w:rFonts w:ascii="Arial" w:hAnsi="Arial" w:cs="Arial"/>
                <w:b/>
                <w:bCs/>
                <w:color w:val="000000"/>
              </w:rPr>
            </w:pPr>
            <w:r w:rsidRPr="006B4E92">
              <w:rPr>
                <w:rFonts w:ascii="Arial" w:hAnsi="Arial" w:cs="Arial"/>
                <w:b/>
                <w:bCs/>
                <w:color w:val="000000"/>
              </w:rPr>
              <w:t>Asset Class</w:t>
            </w:r>
          </w:p>
        </w:tc>
        <w:tc>
          <w:tcPr>
            <w:tcW w:w="1926" w:type="dxa"/>
            <w:tcBorders>
              <w:top w:val="single" w:sz="8" w:space="0" w:color="auto"/>
              <w:left w:val="nil"/>
              <w:bottom w:val="single" w:sz="8" w:space="0" w:color="auto"/>
              <w:right w:val="single" w:sz="8" w:space="0" w:color="auto"/>
            </w:tcBorders>
            <w:shd w:val="clear" w:color="000000" w:fill="FFFFFF"/>
            <w:vAlign w:val="center"/>
            <w:hideMark/>
          </w:tcPr>
          <w:p w14:paraId="2B40ED91" w14:textId="57C7678B" w:rsidR="00B15CDD" w:rsidRPr="006B4E92" w:rsidRDefault="00B15CDD" w:rsidP="00A660AD">
            <w:pPr>
              <w:jc w:val="center"/>
              <w:rPr>
                <w:rFonts w:ascii="Arial" w:hAnsi="Arial" w:cs="Arial"/>
                <w:b/>
                <w:bCs/>
                <w:color w:val="000000"/>
              </w:rPr>
            </w:pPr>
            <w:r w:rsidRPr="006B4E92">
              <w:rPr>
                <w:rFonts w:ascii="Arial" w:hAnsi="Arial" w:cs="Arial"/>
                <w:b/>
                <w:bCs/>
                <w:color w:val="000000"/>
              </w:rPr>
              <w:t>Position</w:t>
            </w:r>
            <w:r>
              <w:rPr>
                <w:rFonts w:ascii="Arial" w:hAnsi="Arial" w:cs="Arial"/>
                <w:b/>
                <w:bCs/>
                <w:color w:val="000000"/>
              </w:rPr>
              <w:t xml:space="preserve"> at 31/12/2020</w:t>
            </w:r>
          </w:p>
        </w:tc>
        <w:tc>
          <w:tcPr>
            <w:tcW w:w="1631" w:type="dxa"/>
            <w:tcBorders>
              <w:top w:val="single" w:sz="8" w:space="0" w:color="auto"/>
              <w:left w:val="nil"/>
              <w:bottom w:val="single" w:sz="8" w:space="0" w:color="auto"/>
              <w:right w:val="single" w:sz="8" w:space="0" w:color="auto"/>
            </w:tcBorders>
            <w:shd w:val="clear" w:color="000000" w:fill="FFFFFF"/>
            <w:vAlign w:val="center"/>
            <w:hideMark/>
          </w:tcPr>
          <w:p w14:paraId="74E6AE30" w14:textId="77777777" w:rsidR="00B15CDD" w:rsidRPr="006B4E92" w:rsidRDefault="00B15CDD" w:rsidP="00A660AD">
            <w:pPr>
              <w:jc w:val="center"/>
              <w:rPr>
                <w:rFonts w:ascii="Arial" w:hAnsi="Arial" w:cs="Arial"/>
                <w:b/>
                <w:bCs/>
                <w:color w:val="000000"/>
              </w:rPr>
            </w:pPr>
            <w:r w:rsidRPr="006B4E92">
              <w:rPr>
                <w:rFonts w:ascii="Arial" w:hAnsi="Arial" w:cs="Arial"/>
                <w:b/>
                <w:bCs/>
                <w:color w:val="000000"/>
              </w:rPr>
              <w:t>Strategic Allocation Target</w:t>
            </w:r>
          </w:p>
        </w:tc>
        <w:tc>
          <w:tcPr>
            <w:tcW w:w="1563" w:type="dxa"/>
            <w:tcBorders>
              <w:top w:val="single" w:sz="8" w:space="0" w:color="auto"/>
              <w:left w:val="nil"/>
              <w:bottom w:val="single" w:sz="8" w:space="0" w:color="auto"/>
              <w:right w:val="single" w:sz="8" w:space="0" w:color="auto"/>
            </w:tcBorders>
            <w:shd w:val="clear" w:color="000000" w:fill="FFFFFF"/>
            <w:vAlign w:val="center"/>
            <w:hideMark/>
          </w:tcPr>
          <w:p w14:paraId="50B55176" w14:textId="77777777" w:rsidR="00B15CDD" w:rsidRPr="006B4E92" w:rsidRDefault="00B15CDD" w:rsidP="00A660AD">
            <w:pPr>
              <w:jc w:val="center"/>
              <w:rPr>
                <w:rFonts w:ascii="Arial" w:hAnsi="Arial" w:cs="Arial"/>
                <w:b/>
                <w:bCs/>
                <w:color w:val="000000"/>
              </w:rPr>
            </w:pPr>
            <w:r w:rsidRPr="006B4E92">
              <w:rPr>
                <w:rFonts w:ascii="Arial" w:hAnsi="Arial" w:cs="Arial"/>
                <w:b/>
                <w:bCs/>
                <w:color w:val="000000"/>
              </w:rPr>
              <w:t>Variance</w:t>
            </w:r>
          </w:p>
        </w:tc>
        <w:tc>
          <w:tcPr>
            <w:tcW w:w="1233" w:type="dxa"/>
            <w:tcBorders>
              <w:top w:val="single" w:sz="8" w:space="0" w:color="auto"/>
              <w:left w:val="nil"/>
              <w:bottom w:val="single" w:sz="8" w:space="0" w:color="auto"/>
              <w:right w:val="single" w:sz="8" w:space="0" w:color="auto"/>
            </w:tcBorders>
            <w:shd w:val="clear" w:color="000000" w:fill="FFFFFF"/>
            <w:vAlign w:val="center"/>
            <w:hideMark/>
          </w:tcPr>
          <w:p w14:paraId="5702F69B" w14:textId="77777777" w:rsidR="00B15CDD" w:rsidRPr="006B4E92" w:rsidRDefault="00B15CDD" w:rsidP="00A660AD">
            <w:pPr>
              <w:jc w:val="center"/>
              <w:rPr>
                <w:rFonts w:ascii="Arial" w:hAnsi="Arial" w:cs="Arial"/>
                <w:b/>
                <w:bCs/>
                <w:color w:val="000000"/>
              </w:rPr>
            </w:pPr>
            <w:r w:rsidRPr="006B4E92">
              <w:rPr>
                <w:rFonts w:ascii="Arial" w:hAnsi="Arial" w:cs="Arial"/>
                <w:b/>
                <w:bCs/>
                <w:color w:val="000000"/>
              </w:rPr>
              <w:t>Range</w:t>
            </w:r>
          </w:p>
        </w:tc>
      </w:tr>
      <w:tr w:rsidR="00B15CDD" w:rsidRPr="006B4E92" w14:paraId="44F68797" w14:textId="77777777" w:rsidTr="00A660AD">
        <w:trPr>
          <w:trHeight w:val="186"/>
        </w:trPr>
        <w:tc>
          <w:tcPr>
            <w:tcW w:w="2817" w:type="dxa"/>
            <w:tcBorders>
              <w:top w:val="nil"/>
              <w:left w:val="single" w:sz="8" w:space="0" w:color="auto"/>
              <w:bottom w:val="single" w:sz="8" w:space="0" w:color="auto"/>
              <w:right w:val="single" w:sz="8" w:space="0" w:color="auto"/>
            </w:tcBorders>
            <w:shd w:val="clear" w:color="auto" w:fill="auto"/>
            <w:noWrap/>
            <w:vAlign w:val="center"/>
            <w:hideMark/>
          </w:tcPr>
          <w:p w14:paraId="5CE60FAC" w14:textId="77777777" w:rsidR="00B15CDD" w:rsidRPr="006B4E92" w:rsidRDefault="00B15CDD" w:rsidP="00A660AD">
            <w:pPr>
              <w:rPr>
                <w:rFonts w:ascii="Arial" w:hAnsi="Arial" w:cs="Arial"/>
                <w:color w:val="000000"/>
              </w:rPr>
            </w:pPr>
            <w:r w:rsidRPr="006B4E92">
              <w:rPr>
                <w:rFonts w:ascii="Arial" w:hAnsi="Arial" w:cs="Arial"/>
                <w:color w:val="000000"/>
              </w:rPr>
              <w:t>Equities</w:t>
            </w:r>
          </w:p>
        </w:tc>
        <w:tc>
          <w:tcPr>
            <w:tcW w:w="1926" w:type="dxa"/>
            <w:tcBorders>
              <w:top w:val="nil"/>
              <w:left w:val="nil"/>
              <w:bottom w:val="single" w:sz="8" w:space="0" w:color="auto"/>
              <w:right w:val="single" w:sz="8" w:space="0" w:color="auto"/>
            </w:tcBorders>
            <w:shd w:val="clear" w:color="auto" w:fill="auto"/>
            <w:noWrap/>
            <w:hideMark/>
          </w:tcPr>
          <w:p w14:paraId="00F43293" w14:textId="77777777" w:rsidR="00B15CDD" w:rsidRPr="006B4E92" w:rsidRDefault="00B15CDD" w:rsidP="00A660AD">
            <w:pPr>
              <w:jc w:val="right"/>
              <w:rPr>
                <w:rFonts w:ascii="Arial" w:hAnsi="Arial" w:cs="Arial"/>
                <w:color w:val="000000"/>
              </w:rPr>
            </w:pPr>
            <w:r w:rsidRPr="006B4E92">
              <w:rPr>
                <w:rFonts w:ascii="Arial" w:hAnsi="Arial" w:cs="Arial"/>
              </w:rPr>
              <w:t>58.1%</w:t>
            </w:r>
          </w:p>
        </w:tc>
        <w:tc>
          <w:tcPr>
            <w:tcW w:w="1631" w:type="dxa"/>
            <w:tcBorders>
              <w:top w:val="nil"/>
              <w:left w:val="nil"/>
              <w:bottom w:val="single" w:sz="8" w:space="0" w:color="auto"/>
              <w:right w:val="single" w:sz="8" w:space="0" w:color="auto"/>
            </w:tcBorders>
            <w:shd w:val="clear" w:color="auto" w:fill="auto"/>
            <w:noWrap/>
            <w:hideMark/>
          </w:tcPr>
          <w:p w14:paraId="3344D2E5" w14:textId="77777777" w:rsidR="00B15CDD" w:rsidRPr="006B4E92" w:rsidRDefault="00B15CDD" w:rsidP="00A660AD">
            <w:pPr>
              <w:jc w:val="right"/>
              <w:rPr>
                <w:rFonts w:ascii="Arial" w:hAnsi="Arial" w:cs="Arial"/>
                <w:color w:val="000000"/>
              </w:rPr>
            </w:pPr>
            <w:r w:rsidRPr="006B4E92">
              <w:rPr>
                <w:rFonts w:ascii="Arial" w:hAnsi="Arial" w:cs="Arial"/>
              </w:rPr>
              <w:t>52%</w:t>
            </w:r>
          </w:p>
        </w:tc>
        <w:tc>
          <w:tcPr>
            <w:tcW w:w="1563" w:type="dxa"/>
            <w:tcBorders>
              <w:top w:val="nil"/>
              <w:left w:val="nil"/>
              <w:bottom w:val="single" w:sz="8" w:space="0" w:color="auto"/>
              <w:right w:val="single" w:sz="8" w:space="0" w:color="auto"/>
            </w:tcBorders>
            <w:shd w:val="clear" w:color="000000" w:fill="FFFFFF"/>
            <w:noWrap/>
            <w:hideMark/>
          </w:tcPr>
          <w:p w14:paraId="725B7C72" w14:textId="77777777" w:rsidR="00B15CDD" w:rsidRPr="006B4E92" w:rsidRDefault="00B15CDD" w:rsidP="00A660AD">
            <w:pPr>
              <w:jc w:val="right"/>
              <w:rPr>
                <w:rFonts w:ascii="Arial" w:hAnsi="Arial" w:cs="Arial"/>
                <w:color w:val="000000"/>
              </w:rPr>
            </w:pPr>
            <w:r w:rsidRPr="006B4E92">
              <w:rPr>
                <w:rFonts w:ascii="Arial" w:hAnsi="Arial" w:cs="Arial"/>
              </w:rPr>
              <w:t>6.1%</w:t>
            </w:r>
          </w:p>
        </w:tc>
        <w:tc>
          <w:tcPr>
            <w:tcW w:w="1233" w:type="dxa"/>
            <w:tcBorders>
              <w:top w:val="nil"/>
              <w:left w:val="nil"/>
              <w:bottom w:val="single" w:sz="8" w:space="0" w:color="auto"/>
              <w:right w:val="single" w:sz="8" w:space="0" w:color="auto"/>
            </w:tcBorders>
            <w:shd w:val="clear" w:color="auto" w:fill="auto"/>
            <w:noWrap/>
            <w:vAlign w:val="center"/>
            <w:hideMark/>
          </w:tcPr>
          <w:p w14:paraId="3AC22447" w14:textId="77777777" w:rsidR="00B15CDD" w:rsidRPr="006B4E92" w:rsidRDefault="00B15CDD" w:rsidP="00A660AD">
            <w:pPr>
              <w:jc w:val="center"/>
              <w:rPr>
                <w:rFonts w:ascii="Arial" w:hAnsi="Arial" w:cs="Arial"/>
                <w:i/>
                <w:iCs/>
                <w:color w:val="000000"/>
              </w:rPr>
            </w:pPr>
            <w:r w:rsidRPr="006B4E92">
              <w:rPr>
                <w:rFonts w:ascii="Arial" w:hAnsi="Arial" w:cs="Arial"/>
                <w:i/>
                <w:iCs/>
                <w:color w:val="000000"/>
              </w:rPr>
              <w:t>50-60</w:t>
            </w:r>
          </w:p>
        </w:tc>
      </w:tr>
      <w:tr w:rsidR="00B15CDD" w:rsidRPr="006B4E92" w14:paraId="12884C5F" w14:textId="77777777" w:rsidTr="00A660AD">
        <w:trPr>
          <w:trHeight w:val="186"/>
        </w:trPr>
        <w:tc>
          <w:tcPr>
            <w:tcW w:w="2817" w:type="dxa"/>
            <w:tcBorders>
              <w:top w:val="nil"/>
              <w:left w:val="single" w:sz="8" w:space="0" w:color="auto"/>
              <w:bottom w:val="single" w:sz="8" w:space="0" w:color="auto"/>
              <w:right w:val="single" w:sz="8" w:space="0" w:color="auto"/>
            </w:tcBorders>
            <w:shd w:val="clear" w:color="auto" w:fill="auto"/>
            <w:noWrap/>
            <w:vAlign w:val="center"/>
            <w:hideMark/>
          </w:tcPr>
          <w:p w14:paraId="40BC96DA" w14:textId="77777777" w:rsidR="00B15CDD" w:rsidRPr="006B4E92" w:rsidRDefault="00B15CDD" w:rsidP="00A660AD">
            <w:pPr>
              <w:rPr>
                <w:rFonts w:ascii="Arial" w:hAnsi="Arial" w:cs="Arial"/>
                <w:color w:val="000000"/>
              </w:rPr>
            </w:pPr>
            <w:r w:rsidRPr="006B4E92">
              <w:rPr>
                <w:rFonts w:ascii="Arial" w:hAnsi="Arial" w:cs="Arial"/>
                <w:color w:val="000000"/>
              </w:rPr>
              <w:t>Diversified Growth</w:t>
            </w:r>
          </w:p>
        </w:tc>
        <w:tc>
          <w:tcPr>
            <w:tcW w:w="1926" w:type="dxa"/>
            <w:tcBorders>
              <w:top w:val="nil"/>
              <w:left w:val="nil"/>
              <w:bottom w:val="single" w:sz="8" w:space="0" w:color="auto"/>
              <w:right w:val="single" w:sz="8" w:space="0" w:color="auto"/>
            </w:tcBorders>
            <w:shd w:val="clear" w:color="auto" w:fill="auto"/>
            <w:noWrap/>
            <w:hideMark/>
          </w:tcPr>
          <w:p w14:paraId="1DF411B9" w14:textId="77777777" w:rsidR="00B15CDD" w:rsidRPr="006B4E92" w:rsidRDefault="00B15CDD" w:rsidP="00A660AD">
            <w:pPr>
              <w:jc w:val="right"/>
              <w:rPr>
                <w:rFonts w:ascii="Arial" w:hAnsi="Arial" w:cs="Arial"/>
                <w:color w:val="000000"/>
              </w:rPr>
            </w:pPr>
            <w:r w:rsidRPr="006B4E92">
              <w:rPr>
                <w:rFonts w:ascii="Arial" w:hAnsi="Arial" w:cs="Arial"/>
              </w:rPr>
              <w:t>14.5%</w:t>
            </w:r>
          </w:p>
        </w:tc>
        <w:tc>
          <w:tcPr>
            <w:tcW w:w="1631" w:type="dxa"/>
            <w:tcBorders>
              <w:top w:val="nil"/>
              <w:left w:val="nil"/>
              <w:bottom w:val="single" w:sz="8" w:space="0" w:color="auto"/>
              <w:right w:val="single" w:sz="8" w:space="0" w:color="auto"/>
            </w:tcBorders>
            <w:shd w:val="clear" w:color="auto" w:fill="auto"/>
            <w:noWrap/>
            <w:hideMark/>
          </w:tcPr>
          <w:p w14:paraId="3758A898" w14:textId="77777777" w:rsidR="00B15CDD" w:rsidRPr="006B4E92" w:rsidRDefault="00B15CDD" w:rsidP="00A660AD">
            <w:pPr>
              <w:jc w:val="right"/>
              <w:rPr>
                <w:rFonts w:ascii="Arial" w:hAnsi="Arial" w:cs="Arial"/>
                <w:color w:val="000000"/>
              </w:rPr>
            </w:pPr>
            <w:r w:rsidRPr="006B4E92">
              <w:rPr>
                <w:rFonts w:ascii="Arial" w:hAnsi="Arial" w:cs="Arial"/>
              </w:rPr>
              <w:t>16%</w:t>
            </w:r>
          </w:p>
        </w:tc>
        <w:tc>
          <w:tcPr>
            <w:tcW w:w="1563" w:type="dxa"/>
            <w:tcBorders>
              <w:top w:val="nil"/>
              <w:left w:val="nil"/>
              <w:bottom w:val="single" w:sz="8" w:space="0" w:color="auto"/>
              <w:right w:val="single" w:sz="8" w:space="0" w:color="auto"/>
            </w:tcBorders>
            <w:shd w:val="clear" w:color="000000" w:fill="FFFFFF"/>
            <w:noWrap/>
            <w:hideMark/>
          </w:tcPr>
          <w:p w14:paraId="5F48A682" w14:textId="77777777" w:rsidR="00B15CDD" w:rsidRPr="006B4E92" w:rsidRDefault="00B15CDD" w:rsidP="00A660AD">
            <w:pPr>
              <w:jc w:val="right"/>
              <w:rPr>
                <w:rFonts w:ascii="Arial" w:hAnsi="Arial" w:cs="Arial"/>
                <w:color w:val="000000"/>
              </w:rPr>
            </w:pPr>
            <w:r w:rsidRPr="006B4E92">
              <w:rPr>
                <w:rFonts w:ascii="Arial" w:hAnsi="Arial" w:cs="Arial"/>
              </w:rPr>
              <w:t>-1.5%</w:t>
            </w:r>
          </w:p>
        </w:tc>
        <w:tc>
          <w:tcPr>
            <w:tcW w:w="1233" w:type="dxa"/>
            <w:tcBorders>
              <w:top w:val="nil"/>
              <w:left w:val="nil"/>
              <w:bottom w:val="single" w:sz="8" w:space="0" w:color="auto"/>
              <w:right w:val="single" w:sz="8" w:space="0" w:color="auto"/>
            </w:tcBorders>
            <w:shd w:val="clear" w:color="auto" w:fill="auto"/>
            <w:noWrap/>
            <w:vAlign w:val="center"/>
            <w:hideMark/>
          </w:tcPr>
          <w:p w14:paraId="0128BA86" w14:textId="77777777" w:rsidR="00B15CDD" w:rsidRPr="006B4E92" w:rsidRDefault="00B15CDD" w:rsidP="00A660AD">
            <w:pPr>
              <w:jc w:val="center"/>
              <w:rPr>
                <w:rFonts w:ascii="Arial" w:hAnsi="Arial" w:cs="Arial"/>
                <w:i/>
                <w:iCs/>
                <w:color w:val="000000"/>
              </w:rPr>
            </w:pPr>
            <w:r w:rsidRPr="006B4E92">
              <w:rPr>
                <w:rFonts w:ascii="Arial" w:hAnsi="Arial" w:cs="Arial"/>
                <w:i/>
                <w:iCs/>
                <w:color w:val="000000"/>
              </w:rPr>
              <w:t>14-18</w:t>
            </w:r>
          </w:p>
        </w:tc>
      </w:tr>
      <w:tr w:rsidR="00B15CDD" w:rsidRPr="006B4E92" w14:paraId="469027ED" w14:textId="77777777" w:rsidTr="00A660AD">
        <w:trPr>
          <w:trHeight w:val="186"/>
        </w:trPr>
        <w:tc>
          <w:tcPr>
            <w:tcW w:w="2817" w:type="dxa"/>
            <w:tcBorders>
              <w:top w:val="nil"/>
              <w:left w:val="single" w:sz="8" w:space="0" w:color="auto"/>
              <w:bottom w:val="single" w:sz="8" w:space="0" w:color="auto"/>
              <w:right w:val="single" w:sz="8" w:space="0" w:color="auto"/>
            </w:tcBorders>
            <w:shd w:val="clear" w:color="auto" w:fill="auto"/>
            <w:noWrap/>
            <w:vAlign w:val="center"/>
            <w:hideMark/>
          </w:tcPr>
          <w:p w14:paraId="11E69A01" w14:textId="77777777" w:rsidR="00B15CDD" w:rsidRPr="006B4E92" w:rsidRDefault="00B15CDD" w:rsidP="00A660AD">
            <w:pPr>
              <w:rPr>
                <w:rFonts w:ascii="Arial" w:hAnsi="Arial" w:cs="Arial"/>
                <w:color w:val="000000"/>
              </w:rPr>
            </w:pPr>
            <w:r w:rsidRPr="006B4E92">
              <w:rPr>
                <w:rFonts w:ascii="Arial" w:hAnsi="Arial" w:cs="Arial"/>
                <w:color w:val="000000"/>
              </w:rPr>
              <w:t>Infrastructure</w:t>
            </w:r>
          </w:p>
        </w:tc>
        <w:tc>
          <w:tcPr>
            <w:tcW w:w="1926" w:type="dxa"/>
            <w:tcBorders>
              <w:top w:val="nil"/>
              <w:left w:val="nil"/>
              <w:bottom w:val="single" w:sz="8" w:space="0" w:color="auto"/>
              <w:right w:val="single" w:sz="8" w:space="0" w:color="auto"/>
            </w:tcBorders>
            <w:shd w:val="clear" w:color="auto" w:fill="auto"/>
            <w:noWrap/>
            <w:hideMark/>
          </w:tcPr>
          <w:p w14:paraId="56AECDE6" w14:textId="77777777" w:rsidR="00B15CDD" w:rsidRPr="006B4E92" w:rsidRDefault="00B15CDD" w:rsidP="00A660AD">
            <w:pPr>
              <w:jc w:val="right"/>
              <w:rPr>
                <w:rFonts w:ascii="Arial" w:hAnsi="Arial" w:cs="Arial"/>
                <w:color w:val="000000"/>
              </w:rPr>
            </w:pPr>
            <w:r w:rsidRPr="006B4E92">
              <w:rPr>
                <w:rFonts w:ascii="Arial" w:hAnsi="Arial" w:cs="Arial"/>
              </w:rPr>
              <w:t>8.0%</w:t>
            </w:r>
          </w:p>
        </w:tc>
        <w:tc>
          <w:tcPr>
            <w:tcW w:w="1631" w:type="dxa"/>
            <w:tcBorders>
              <w:top w:val="nil"/>
              <w:left w:val="nil"/>
              <w:bottom w:val="single" w:sz="8" w:space="0" w:color="auto"/>
              <w:right w:val="single" w:sz="8" w:space="0" w:color="auto"/>
            </w:tcBorders>
            <w:shd w:val="clear" w:color="auto" w:fill="auto"/>
            <w:noWrap/>
            <w:hideMark/>
          </w:tcPr>
          <w:p w14:paraId="0B1DD539" w14:textId="77777777" w:rsidR="00B15CDD" w:rsidRPr="006B4E92" w:rsidRDefault="00B15CDD" w:rsidP="00A660AD">
            <w:pPr>
              <w:jc w:val="right"/>
              <w:rPr>
                <w:rFonts w:ascii="Arial" w:hAnsi="Arial" w:cs="Arial"/>
                <w:color w:val="000000"/>
              </w:rPr>
            </w:pPr>
            <w:r w:rsidRPr="006B4E92">
              <w:rPr>
                <w:rFonts w:ascii="Arial" w:hAnsi="Arial" w:cs="Arial"/>
              </w:rPr>
              <w:t>8%</w:t>
            </w:r>
          </w:p>
        </w:tc>
        <w:tc>
          <w:tcPr>
            <w:tcW w:w="1563" w:type="dxa"/>
            <w:tcBorders>
              <w:top w:val="nil"/>
              <w:left w:val="nil"/>
              <w:bottom w:val="single" w:sz="8" w:space="0" w:color="auto"/>
              <w:right w:val="single" w:sz="8" w:space="0" w:color="auto"/>
            </w:tcBorders>
            <w:shd w:val="clear" w:color="000000" w:fill="FFFFFF"/>
            <w:noWrap/>
            <w:hideMark/>
          </w:tcPr>
          <w:p w14:paraId="1289B3A4" w14:textId="77777777" w:rsidR="00B15CDD" w:rsidRPr="006B4E92" w:rsidRDefault="00B15CDD" w:rsidP="00A660AD">
            <w:pPr>
              <w:jc w:val="right"/>
              <w:rPr>
                <w:rFonts w:ascii="Arial" w:hAnsi="Arial" w:cs="Arial"/>
                <w:color w:val="000000"/>
              </w:rPr>
            </w:pPr>
            <w:r w:rsidRPr="006B4E92">
              <w:rPr>
                <w:rFonts w:ascii="Arial" w:hAnsi="Arial" w:cs="Arial"/>
              </w:rPr>
              <w:t>0.0%</w:t>
            </w:r>
          </w:p>
        </w:tc>
        <w:tc>
          <w:tcPr>
            <w:tcW w:w="1233" w:type="dxa"/>
            <w:tcBorders>
              <w:top w:val="nil"/>
              <w:left w:val="nil"/>
              <w:bottom w:val="single" w:sz="8" w:space="0" w:color="auto"/>
              <w:right w:val="single" w:sz="8" w:space="0" w:color="auto"/>
            </w:tcBorders>
            <w:shd w:val="clear" w:color="auto" w:fill="auto"/>
            <w:noWrap/>
            <w:vAlign w:val="center"/>
            <w:hideMark/>
          </w:tcPr>
          <w:p w14:paraId="47BD5C71" w14:textId="77777777" w:rsidR="00B15CDD" w:rsidRPr="006B4E92" w:rsidRDefault="00B15CDD" w:rsidP="00A660AD">
            <w:pPr>
              <w:jc w:val="center"/>
              <w:rPr>
                <w:rFonts w:ascii="Arial" w:hAnsi="Arial" w:cs="Arial"/>
                <w:i/>
                <w:iCs/>
                <w:color w:val="000000"/>
              </w:rPr>
            </w:pPr>
            <w:r w:rsidRPr="006B4E92">
              <w:rPr>
                <w:rFonts w:ascii="Arial" w:hAnsi="Arial" w:cs="Arial"/>
                <w:i/>
                <w:iCs/>
                <w:color w:val="000000"/>
              </w:rPr>
              <w:t>7-11</w:t>
            </w:r>
          </w:p>
        </w:tc>
      </w:tr>
      <w:tr w:rsidR="00B15CDD" w:rsidRPr="006B4E92" w14:paraId="38555788" w14:textId="77777777" w:rsidTr="00A660AD">
        <w:trPr>
          <w:trHeight w:val="186"/>
        </w:trPr>
        <w:tc>
          <w:tcPr>
            <w:tcW w:w="2817" w:type="dxa"/>
            <w:tcBorders>
              <w:top w:val="nil"/>
              <w:left w:val="single" w:sz="8" w:space="0" w:color="auto"/>
              <w:bottom w:val="single" w:sz="8" w:space="0" w:color="auto"/>
              <w:right w:val="single" w:sz="8" w:space="0" w:color="auto"/>
            </w:tcBorders>
            <w:shd w:val="clear" w:color="auto" w:fill="auto"/>
            <w:noWrap/>
            <w:vAlign w:val="center"/>
            <w:hideMark/>
          </w:tcPr>
          <w:p w14:paraId="235896E0" w14:textId="77777777" w:rsidR="00B15CDD" w:rsidRPr="006B4E92" w:rsidRDefault="00B15CDD" w:rsidP="00A660AD">
            <w:pPr>
              <w:rPr>
                <w:rFonts w:ascii="Arial" w:hAnsi="Arial" w:cs="Arial"/>
                <w:color w:val="000000"/>
              </w:rPr>
            </w:pPr>
            <w:r w:rsidRPr="006B4E92">
              <w:rPr>
                <w:rFonts w:ascii="Arial" w:hAnsi="Arial" w:cs="Arial"/>
                <w:color w:val="000000"/>
              </w:rPr>
              <w:t>Credit</w:t>
            </w:r>
          </w:p>
        </w:tc>
        <w:tc>
          <w:tcPr>
            <w:tcW w:w="1926" w:type="dxa"/>
            <w:tcBorders>
              <w:top w:val="nil"/>
              <w:left w:val="nil"/>
              <w:bottom w:val="single" w:sz="8" w:space="0" w:color="auto"/>
              <w:right w:val="single" w:sz="8" w:space="0" w:color="auto"/>
            </w:tcBorders>
            <w:shd w:val="clear" w:color="auto" w:fill="auto"/>
            <w:noWrap/>
            <w:hideMark/>
          </w:tcPr>
          <w:p w14:paraId="18A0D8CF" w14:textId="77777777" w:rsidR="00B15CDD" w:rsidRPr="006B4E92" w:rsidRDefault="00B15CDD" w:rsidP="00A660AD">
            <w:pPr>
              <w:jc w:val="right"/>
              <w:rPr>
                <w:rFonts w:ascii="Arial" w:hAnsi="Arial" w:cs="Arial"/>
                <w:color w:val="000000"/>
              </w:rPr>
            </w:pPr>
            <w:r w:rsidRPr="006B4E92">
              <w:rPr>
                <w:rFonts w:ascii="Arial" w:hAnsi="Arial" w:cs="Arial"/>
              </w:rPr>
              <w:t>6.6%</w:t>
            </w:r>
          </w:p>
        </w:tc>
        <w:tc>
          <w:tcPr>
            <w:tcW w:w="1631" w:type="dxa"/>
            <w:tcBorders>
              <w:top w:val="nil"/>
              <w:left w:val="nil"/>
              <w:bottom w:val="single" w:sz="8" w:space="0" w:color="auto"/>
              <w:right w:val="single" w:sz="8" w:space="0" w:color="auto"/>
            </w:tcBorders>
            <w:shd w:val="clear" w:color="auto" w:fill="auto"/>
            <w:noWrap/>
            <w:hideMark/>
          </w:tcPr>
          <w:p w14:paraId="6DAA30F9" w14:textId="77777777" w:rsidR="00B15CDD" w:rsidRPr="006B4E92" w:rsidRDefault="00B15CDD" w:rsidP="00A660AD">
            <w:pPr>
              <w:jc w:val="right"/>
              <w:rPr>
                <w:rFonts w:ascii="Arial" w:hAnsi="Arial" w:cs="Arial"/>
                <w:color w:val="000000"/>
              </w:rPr>
            </w:pPr>
            <w:r w:rsidRPr="006B4E92">
              <w:rPr>
                <w:rFonts w:ascii="Arial" w:hAnsi="Arial" w:cs="Arial"/>
              </w:rPr>
              <w:t>8%</w:t>
            </w:r>
          </w:p>
        </w:tc>
        <w:tc>
          <w:tcPr>
            <w:tcW w:w="1563" w:type="dxa"/>
            <w:tcBorders>
              <w:top w:val="nil"/>
              <w:left w:val="nil"/>
              <w:bottom w:val="single" w:sz="8" w:space="0" w:color="auto"/>
              <w:right w:val="single" w:sz="8" w:space="0" w:color="auto"/>
            </w:tcBorders>
            <w:shd w:val="clear" w:color="000000" w:fill="FFFFFF"/>
            <w:noWrap/>
            <w:hideMark/>
          </w:tcPr>
          <w:p w14:paraId="3525AE01" w14:textId="77777777" w:rsidR="00B15CDD" w:rsidRPr="006B4E92" w:rsidRDefault="00B15CDD" w:rsidP="00A660AD">
            <w:pPr>
              <w:jc w:val="right"/>
              <w:rPr>
                <w:rFonts w:ascii="Arial" w:hAnsi="Arial" w:cs="Arial"/>
                <w:color w:val="000000"/>
              </w:rPr>
            </w:pPr>
            <w:r w:rsidRPr="006B4E92">
              <w:rPr>
                <w:rFonts w:ascii="Arial" w:hAnsi="Arial" w:cs="Arial"/>
              </w:rPr>
              <w:t>-1.4%</w:t>
            </w:r>
          </w:p>
        </w:tc>
        <w:tc>
          <w:tcPr>
            <w:tcW w:w="1233" w:type="dxa"/>
            <w:tcBorders>
              <w:top w:val="nil"/>
              <w:left w:val="nil"/>
              <w:bottom w:val="single" w:sz="8" w:space="0" w:color="auto"/>
              <w:right w:val="single" w:sz="8" w:space="0" w:color="auto"/>
            </w:tcBorders>
            <w:shd w:val="clear" w:color="auto" w:fill="auto"/>
            <w:noWrap/>
            <w:vAlign w:val="center"/>
            <w:hideMark/>
          </w:tcPr>
          <w:p w14:paraId="0191256C" w14:textId="77777777" w:rsidR="00B15CDD" w:rsidRPr="006B4E92" w:rsidRDefault="00B15CDD" w:rsidP="00A660AD">
            <w:pPr>
              <w:jc w:val="center"/>
              <w:rPr>
                <w:rFonts w:ascii="Arial" w:hAnsi="Arial" w:cs="Arial"/>
                <w:i/>
                <w:iCs/>
                <w:color w:val="000000"/>
              </w:rPr>
            </w:pPr>
            <w:r w:rsidRPr="006B4E92">
              <w:rPr>
                <w:rFonts w:ascii="Arial" w:hAnsi="Arial" w:cs="Arial"/>
                <w:i/>
                <w:iCs/>
                <w:color w:val="000000"/>
              </w:rPr>
              <w:t>6-10</w:t>
            </w:r>
          </w:p>
        </w:tc>
      </w:tr>
      <w:tr w:rsidR="00B15CDD" w:rsidRPr="006B4E92" w14:paraId="00FD145B" w14:textId="77777777" w:rsidTr="00A660AD">
        <w:trPr>
          <w:trHeight w:val="186"/>
        </w:trPr>
        <w:tc>
          <w:tcPr>
            <w:tcW w:w="2817" w:type="dxa"/>
            <w:tcBorders>
              <w:top w:val="nil"/>
              <w:left w:val="single" w:sz="8" w:space="0" w:color="auto"/>
              <w:bottom w:val="single" w:sz="8" w:space="0" w:color="auto"/>
              <w:right w:val="single" w:sz="8" w:space="0" w:color="auto"/>
            </w:tcBorders>
            <w:shd w:val="clear" w:color="auto" w:fill="auto"/>
            <w:noWrap/>
            <w:vAlign w:val="center"/>
            <w:hideMark/>
          </w:tcPr>
          <w:p w14:paraId="3D0BD832" w14:textId="77777777" w:rsidR="00B15CDD" w:rsidRPr="006B4E92" w:rsidRDefault="00B15CDD" w:rsidP="00A660AD">
            <w:pPr>
              <w:rPr>
                <w:rFonts w:ascii="Arial" w:hAnsi="Arial" w:cs="Arial"/>
                <w:color w:val="000000"/>
              </w:rPr>
            </w:pPr>
            <w:r w:rsidRPr="006B4E92">
              <w:rPr>
                <w:rFonts w:ascii="Arial" w:hAnsi="Arial" w:cs="Arial"/>
                <w:color w:val="000000"/>
              </w:rPr>
              <w:t>Property</w:t>
            </w:r>
          </w:p>
        </w:tc>
        <w:tc>
          <w:tcPr>
            <w:tcW w:w="1926" w:type="dxa"/>
            <w:tcBorders>
              <w:top w:val="nil"/>
              <w:left w:val="nil"/>
              <w:bottom w:val="single" w:sz="8" w:space="0" w:color="auto"/>
              <w:right w:val="single" w:sz="8" w:space="0" w:color="auto"/>
            </w:tcBorders>
            <w:shd w:val="clear" w:color="auto" w:fill="auto"/>
            <w:noWrap/>
            <w:hideMark/>
          </w:tcPr>
          <w:p w14:paraId="0A71C8AA" w14:textId="77777777" w:rsidR="00B15CDD" w:rsidRPr="006B4E92" w:rsidRDefault="00B15CDD" w:rsidP="00A660AD">
            <w:pPr>
              <w:jc w:val="right"/>
              <w:rPr>
                <w:rFonts w:ascii="Arial" w:hAnsi="Arial" w:cs="Arial"/>
                <w:color w:val="000000"/>
              </w:rPr>
            </w:pPr>
            <w:r w:rsidRPr="006B4E92">
              <w:rPr>
                <w:rFonts w:ascii="Arial" w:hAnsi="Arial" w:cs="Arial"/>
              </w:rPr>
              <w:t>4.9%</w:t>
            </w:r>
          </w:p>
        </w:tc>
        <w:tc>
          <w:tcPr>
            <w:tcW w:w="1631" w:type="dxa"/>
            <w:tcBorders>
              <w:top w:val="nil"/>
              <w:left w:val="nil"/>
              <w:bottom w:val="single" w:sz="8" w:space="0" w:color="auto"/>
              <w:right w:val="single" w:sz="8" w:space="0" w:color="auto"/>
            </w:tcBorders>
            <w:shd w:val="clear" w:color="auto" w:fill="auto"/>
            <w:noWrap/>
            <w:hideMark/>
          </w:tcPr>
          <w:p w14:paraId="4A2BD4B5" w14:textId="77777777" w:rsidR="00B15CDD" w:rsidRPr="006B4E92" w:rsidRDefault="00B15CDD" w:rsidP="00A660AD">
            <w:pPr>
              <w:jc w:val="right"/>
              <w:rPr>
                <w:rFonts w:ascii="Arial" w:hAnsi="Arial" w:cs="Arial"/>
                <w:color w:val="000000"/>
              </w:rPr>
            </w:pPr>
            <w:r w:rsidRPr="006B4E92">
              <w:rPr>
                <w:rFonts w:ascii="Arial" w:hAnsi="Arial" w:cs="Arial"/>
              </w:rPr>
              <w:t>5%</w:t>
            </w:r>
          </w:p>
        </w:tc>
        <w:tc>
          <w:tcPr>
            <w:tcW w:w="1563" w:type="dxa"/>
            <w:tcBorders>
              <w:top w:val="nil"/>
              <w:left w:val="nil"/>
              <w:bottom w:val="single" w:sz="8" w:space="0" w:color="auto"/>
              <w:right w:val="single" w:sz="8" w:space="0" w:color="auto"/>
            </w:tcBorders>
            <w:shd w:val="clear" w:color="000000" w:fill="FFFFFF"/>
            <w:noWrap/>
            <w:hideMark/>
          </w:tcPr>
          <w:p w14:paraId="0E8C1161" w14:textId="77777777" w:rsidR="00B15CDD" w:rsidRPr="006B4E92" w:rsidRDefault="00B15CDD" w:rsidP="00A660AD">
            <w:pPr>
              <w:jc w:val="right"/>
              <w:rPr>
                <w:rFonts w:ascii="Arial" w:hAnsi="Arial" w:cs="Arial"/>
                <w:color w:val="000000"/>
              </w:rPr>
            </w:pPr>
            <w:r w:rsidRPr="006B4E92">
              <w:rPr>
                <w:rFonts w:ascii="Arial" w:hAnsi="Arial" w:cs="Arial"/>
              </w:rPr>
              <w:t>-0.1%</w:t>
            </w:r>
          </w:p>
        </w:tc>
        <w:tc>
          <w:tcPr>
            <w:tcW w:w="1233" w:type="dxa"/>
            <w:tcBorders>
              <w:top w:val="nil"/>
              <w:left w:val="nil"/>
              <w:bottom w:val="single" w:sz="8" w:space="0" w:color="auto"/>
              <w:right w:val="single" w:sz="8" w:space="0" w:color="auto"/>
            </w:tcBorders>
            <w:shd w:val="clear" w:color="auto" w:fill="auto"/>
            <w:noWrap/>
            <w:vAlign w:val="center"/>
            <w:hideMark/>
          </w:tcPr>
          <w:p w14:paraId="2E835FC0" w14:textId="77777777" w:rsidR="00B15CDD" w:rsidRPr="006B4E92" w:rsidRDefault="00B15CDD" w:rsidP="00A660AD">
            <w:pPr>
              <w:jc w:val="center"/>
              <w:rPr>
                <w:rFonts w:ascii="Arial" w:hAnsi="Arial" w:cs="Arial"/>
                <w:i/>
                <w:iCs/>
                <w:color w:val="000000"/>
              </w:rPr>
            </w:pPr>
            <w:r w:rsidRPr="006B4E92">
              <w:rPr>
                <w:rFonts w:ascii="Arial" w:hAnsi="Arial" w:cs="Arial"/>
                <w:i/>
                <w:iCs/>
                <w:color w:val="000000"/>
              </w:rPr>
              <w:t>4-7</w:t>
            </w:r>
          </w:p>
        </w:tc>
      </w:tr>
      <w:tr w:rsidR="00B15CDD" w:rsidRPr="006B4E92" w14:paraId="66D15DD2" w14:textId="77777777" w:rsidTr="00A660AD">
        <w:trPr>
          <w:trHeight w:val="186"/>
        </w:trPr>
        <w:tc>
          <w:tcPr>
            <w:tcW w:w="2817" w:type="dxa"/>
            <w:tcBorders>
              <w:top w:val="nil"/>
              <w:left w:val="single" w:sz="8" w:space="0" w:color="auto"/>
              <w:bottom w:val="single" w:sz="8" w:space="0" w:color="auto"/>
              <w:right w:val="single" w:sz="8" w:space="0" w:color="auto"/>
            </w:tcBorders>
            <w:shd w:val="clear" w:color="auto" w:fill="auto"/>
            <w:noWrap/>
            <w:vAlign w:val="center"/>
            <w:hideMark/>
          </w:tcPr>
          <w:p w14:paraId="0802A51A" w14:textId="77777777" w:rsidR="00B15CDD" w:rsidRPr="006B4E92" w:rsidRDefault="00B15CDD" w:rsidP="00A660AD">
            <w:pPr>
              <w:rPr>
                <w:rFonts w:ascii="Arial" w:hAnsi="Arial" w:cs="Arial"/>
                <w:color w:val="000000"/>
              </w:rPr>
            </w:pPr>
            <w:r w:rsidRPr="006B4E92">
              <w:rPr>
                <w:rFonts w:ascii="Arial" w:hAnsi="Arial" w:cs="Arial"/>
                <w:color w:val="000000"/>
              </w:rPr>
              <w:t>Diversified Alternatives</w:t>
            </w:r>
          </w:p>
        </w:tc>
        <w:tc>
          <w:tcPr>
            <w:tcW w:w="1926" w:type="dxa"/>
            <w:tcBorders>
              <w:top w:val="nil"/>
              <w:left w:val="nil"/>
              <w:bottom w:val="single" w:sz="8" w:space="0" w:color="auto"/>
              <w:right w:val="single" w:sz="8" w:space="0" w:color="auto"/>
            </w:tcBorders>
            <w:shd w:val="clear" w:color="auto" w:fill="auto"/>
            <w:noWrap/>
            <w:hideMark/>
          </w:tcPr>
          <w:p w14:paraId="68849935" w14:textId="77777777" w:rsidR="00B15CDD" w:rsidRPr="006B4E92" w:rsidRDefault="00B15CDD" w:rsidP="00A660AD">
            <w:pPr>
              <w:jc w:val="right"/>
              <w:rPr>
                <w:rFonts w:ascii="Arial" w:hAnsi="Arial" w:cs="Arial"/>
                <w:color w:val="000000"/>
              </w:rPr>
            </w:pPr>
            <w:r w:rsidRPr="006B4E92">
              <w:rPr>
                <w:rFonts w:ascii="Arial" w:hAnsi="Arial" w:cs="Arial"/>
              </w:rPr>
              <w:t>7.6%</w:t>
            </w:r>
          </w:p>
        </w:tc>
        <w:tc>
          <w:tcPr>
            <w:tcW w:w="1631" w:type="dxa"/>
            <w:tcBorders>
              <w:top w:val="nil"/>
              <w:left w:val="nil"/>
              <w:bottom w:val="single" w:sz="8" w:space="0" w:color="auto"/>
              <w:right w:val="single" w:sz="8" w:space="0" w:color="auto"/>
            </w:tcBorders>
            <w:shd w:val="clear" w:color="auto" w:fill="auto"/>
            <w:noWrap/>
            <w:hideMark/>
          </w:tcPr>
          <w:p w14:paraId="41F66587" w14:textId="77777777" w:rsidR="00B15CDD" w:rsidRPr="006B4E92" w:rsidRDefault="00B15CDD" w:rsidP="00A660AD">
            <w:pPr>
              <w:jc w:val="right"/>
              <w:rPr>
                <w:rFonts w:ascii="Arial" w:hAnsi="Arial" w:cs="Arial"/>
                <w:color w:val="000000"/>
              </w:rPr>
            </w:pPr>
            <w:r w:rsidRPr="006B4E92">
              <w:rPr>
                <w:rFonts w:ascii="Arial" w:hAnsi="Arial" w:cs="Arial"/>
              </w:rPr>
              <w:t>9%</w:t>
            </w:r>
          </w:p>
        </w:tc>
        <w:tc>
          <w:tcPr>
            <w:tcW w:w="1563" w:type="dxa"/>
            <w:tcBorders>
              <w:top w:val="nil"/>
              <w:left w:val="nil"/>
              <w:bottom w:val="single" w:sz="8" w:space="0" w:color="auto"/>
              <w:right w:val="single" w:sz="8" w:space="0" w:color="auto"/>
            </w:tcBorders>
            <w:shd w:val="clear" w:color="000000" w:fill="FFFFFF"/>
            <w:noWrap/>
            <w:hideMark/>
          </w:tcPr>
          <w:p w14:paraId="24A1B0FB" w14:textId="77777777" w:rsidR="00B15CDD" w:rsidRPr="006B4E92" w:rsidRDefault="00B15CDD" w:rsidP="00A660AD">
            <w:pPr>
              <w:jc w:val="right"/>
              <w:rPr>
                <w:rFonts w:ascii="Arial" w:hAnsi="Arial" w:cs="Arial"/>
                <w:color w:val="000000"/>
              </w:rPr>
            </w:pPr>
            <w:r w:rsidRPr="006B4E92">
              <w:rPr>
                <w:rFonts w:ascii="Arial" w:hAnsi="Arial" w:cs="Arial"/>
              </w:rPr>
              <w:t>-1.4%</w:t>
            </w:r>
          </w:p>
        </w:tc>
        <w:tc>
          <w:tcPr>
            <w:tcW w:w="1233" w:type="dxa"/>
            <w:tcBorders>
              <w:top w:val="nil"/>
              <w:left w:val="nil"/>
              <w:bottom w:val="single" w:sz="8" w:space="0" w:color="auto"/>
              <w:right w:val="single" w:sz="8" w:space="0" w:color="auto"/>
            </w:tcBorders>
            <w:shd w:val="clear" w:color="auto" w:fill="auto"/>
            <w:noWrap/>
            <w:vAlign w:val="center"/>
            <w:hideMark/>
          </w:tcPr>
          <w:p w14:paraId="6A0F44DA" w14:textId="77777777" w:rsidR="00B15CDD" w:rsidRPr="006B4E92" w:rsidRDefault="00B15CDD" w:rsidP="00A660AD">
            <w:pPr>
              <w:jc w:val="center"/>
              <w:rPr>
                <w:rFonts w:ascii="Arial" w:hAnsi="Arial" w:cs="Arial"/>
                <w:i/>
                <w:iCs/>
                <w:color w:val="000000"/>
              </w:rPr>
            </w:pPr>
            <w:r w:rsidRPr="006B4E92">
              <w:rPr>
                <w:rFonts w:ascii="Arial" w:hAnsi="Arial" w:cs="Arial"/>
                <w:i/>
                <w:iCs/>
                <w:color w:val="000000"/>
              </w:rPr>
              <w:t>7-10</w:t>
            </w:r>
          </w:p>
        </w:tc>
      </w:tr>
      <w:tr w:rsidR="00B15CDD" w:rsidRPr="006B4E92" w14:paraId="1312760A" w14:textId="77777777" w:rsidTr="00A660AD">
        <w:trPr>
          <w:trHeight w:val="186"/>
        </w:trPr>
        <w:tc>
          <w:tcPr>
            <w:tcW w:w="2817" w:type="dxa"/>
            <w:tcBorders>
              <w:top w:val="nil"/>
              <w:left w:val="single" w:sz="8" w:space="0" w:color="auto"/>
              <w:bottom w:val="single" w:sz="8" w:space="0" w:color="auto"/>
              <w:right w:val="single" w:sz="8" w:space="0" w:color="auto"/>
            </w:tcBorders>
            <w:shd w:val="clear" w:color="auto" w:fill="auto"/>
            <w:noWrap/>
            <w:vAlign w:val="center"/>
            <w:hideMark/>
          </w:tcPr>
          <w:p w14:paraId="09094072" w14:textId="77777777" w:rsidR="00B15CDD" w:rsidRPr="006B4E92" w:rsidRDefault="00B15CDD" w:rsidP="00A660AD">
            <w:pPr>
              <w:rPr>
                <w:rFonts w:ascii="Arial" w:hAnsi="Arial" w:cs="Arial"/>
                <w:color w:val="000000"/>
              </w:rPr>
            </w:pPr>
            <w:r w:rsidRPr="006B4E92">
              <w:rPr>
                <w:rFonts w:ascii="Arial" w:hAnsi="Arial" w:cs="Arial"/>
                <w:color w:val="000000"/>
              </w:rPr>
              <w:t>Fixed Income</w:t>
            </w:r>
          </w:p>
        </w:tc>
        <w:tc>
          <w:tcPr>
            <w:tcW w:w="1926" w:type="dxa"/>
            <w:tcBorders>
              <w:top w:val="nil"/>
              <w:left w:val="nil"/>
              <w:bottom w:val="single" w:sz="8" w:space="0" w:color="auto"/>
              <w:right w:val="single" w:sz="8" w:space="0" w:color="auto"/>
            </w:tcBorders>
            <w:shd w:val="clear" w:color="auto" w:fill="auto"/>
            <w:noWrap/>
            <w:hideMark/>
          </w:tcPr>
          <w:p w14:paraId="42FA1242" w14:textId="77777777" w:rsidR="00B15CDD" w:rsidRPr="006B4E92" w:rsidRDefault="00B15CDD" w:rsidP="00A660AD">
            <w:pPr>
              <w:jc w:val="right"/>
              <w:rPr>
                <w:rFonts w:ascii="Arial" w:hAnsi="Arial" w:cs="Arial"/>
                <w:color w:val="000000"/>
              </w:rPr>
            </w:pPr>
            <w:r w:rsidRPr="006B4E92">
              <w:rPr>
                <w:rFonts w:ascii="Arial" w:hAnsi="Arial" w:cs="Arial"/>
              </w:rPr>
              <w:t>3.4%</w:t>
            </w:r>
          </w:p>
        </w:tc>
        <w:tc>
          <w:tcPr>
            <w:tcW w:w="1631" w:type="dxa"/>
            <w:tcBorders>
              <w:top w:val="nil"/>
              <w:left w:val="nil"/>
              <w:bottom w:val="single" w:sz="8" w:space="0" w:color="auto"/>
              <w:right w:val="single" w:sz="8" w:space="0" w:color="auto"/>
            </w:tcBorders>
            <w:shd w:val="clear" w:color="auto" w:fill="auto"/>
            <w:noWrap/>
            <w:hideMark/>
          </w:tcPr>
          <w:p w14:paraId="0E9B3456" w14:textId="77777777" w:rsidR="00B15CDD" w:rsidRPr="006B4E92" w:rsidRDefault="00B15CDD" w:rsidP="00A660AD">
            <w:pPr>
              <w:jc w:val="right"/>
              <w:rPr>
                <w:rFonts w:ascii="Arial" w:hAnsi="Arial" w:cs="Arial"/>
                <w:color w:val="000000"/>
              </w:rPr>
            </w:pPr>
            <w:r w:rsidRPr="006B4E92">
              <w:rPr>
                <w:rFonts w:ascii="Arial" w:hAnsi="Arial" w:cs="Arial"/>
              </w:rPr>
              <w:t>4%</w:t>
            </w:r>
          </w:p>
        </w:tc>
        <w:tc>
          <w:tcPr>
            <w:tcW w:w="1563" w:type="dxa"/>
            <w:tcBorders>
              <w:top w:val="nil"/>
              <w:left w:val="nil"/>
              <w:bottom w:val="single" w:sz="8" w:space="0" w:color="auto"/>
              <w:right w:val="single" w:sz="8" w:space="0" w:color="auto"/>
            </w:tcBorders>
            <w:shd w:val="clear" w:color="000000" w:fill="FFFFFF"/>
            <w:noWrap/>
            <w:hideMark/>
          </w:tcPr>
          <w:p w14:paraId="73339038" w14:textId="77777777" w:rsidR="00B15CDD" w:rsidRPr="006B4E92" w:rsidRDefault="00B15CDD" w:rsidP="00A660AD">
            <w:pPr>
              <w:jc w:val="right"/>
              <w:rPr>
                <w:rFonts w:ascii="Arial" w:hAnsi="Arial" w:cs="Arial"/>
                <w:color w:val="000000"/>
              </w:rPr>
            </w:pPr>
            <w:r w:rsidRPr="006B4E92">
              <w:rPr>
                <w:rFonts w:ascii="Arial" w:hAnsi="Arial" w:cs="Arial"/>
              </w:rPr>
              <w:t>-0.6%</w:t>
            </w:r>
          </w:p>
        </w:tc>
        <w:tc>
          <w:tcPr>
            <w:tcW w:w="1233" w:type="dxa"/>
            <w:tcBorders>
              <w:top w:val="nil"/>
              <w:left w:val="nil"/>
              <w:bottom w:val="single" w:sz="8" w:space="0" w:color="auto"/>
              <w:right w:val="single" w:sz="8" w:space="0" w:color="auto"/>
            </w:tcBorders>
            <w:shd w:val="clear" w:color="auto" w:fill="auto"/>
            <w:noWrap/>
            <w:vAlign w:val="center"/>
            <w:hideMark/>
          </w:tcPr>
          <w:p w14:paraId="1C30B167" w14:textId="77777777" w:rsidR="00B15CDD" w:rsidRPr="006B4E92" w:rsidRDefault="00B15CDD" w:rsidP="00A660AD">
            <w:pPr>
              <w:jc w:val="center"/>
              <w:rPr>
                <w:rFonts w:ascii="Arial" w:hAnsi="Arial" w:cs="Arial"/>
                <w:i/>
                <w:iCs/>
                <w:color w:val="000000"/>
              </w:rPr>
            </w:pPr>
            <w:r w:rsidRPr="006B4E92">
              <w:rPr>
                <w:rFonts w:ascii="Arial" w:hAnsi="Arial" w:cs="Arial"/>
                <w:i/>
                <w:iCs/>
                <w:color w:val="000000"/>
              </w:rPr>
              <w:t>3-5</w:t>
            </w:r>
          </w:p>
        </w:tc>
      </w:tr>
      <w:tr w:rsidR="00B15CDD" w:rsidRPr="006B4E92" w14:paraId="0E289247" w14:textId="77777777" w:rsidTr="00A660AD">
        <w:trPr>
          <w:trHeight w:val="186"/>
        </w:trPr>
        <w:tc>
          <w:tcPr>
            <w:tcW w:w="2817" w:type="dxa"/>
            <w:tcBorders>
              <w:top w:val="nil"/>
              <w:left w:val="single" w:sz="8" w:space="0" w:color="auto"/>
              <w:bottom w:val="single" w:sz="8" w:space="0" w:color="auto"/>
              <w:right w:val="single" w:sz="8" w:space="0" w:color="auto"/>
            </w:tcBorders>
            <w:shd w:val="clear" w:color="auto" w:fill="auto"/>
            <w:noWrap/>
            <w:vAlign w:val="center"/>
            <w:hideMark/>
          </w:tcPr>
          <w:p w14:paraId="46472B42" w14:textId="77777777" w:rsidR="00B15CDD" w:rsidRPr="006B4E92" w:rsidRDefault="00B15CDD" w:rsidP="00A660AD">
            <w:pPr>
              <w:rPr>
                <w:rFonts w:ascii="Arial" w:hAnsi="Arial" w:cs="Arial"/>
                <w:color w:val="000000"/>
              </w:rPr>
            </w:pPr>
            <w:r w:rsidRPr="006B4E92">
              <w:rPr>
                <w:rFonts w:ascii="Arial" w:hAnsi="Arial" w:cs="Arial"/>
                <w:color w:val="000000"/>
              </w:rPr>
              <w:t>Cash</w:t>
            </w:r>
          </w:p>
        </w:tc>
        <w:tc>
          <w:tcPr>
            <w:tcW w:w="1926" w:type="dxa"/>
            <w:tcBorders>
              <w:top w:val="nil"/>
              <w:left w:val="nil"/>
              <w:bottom w:val="single" w:sz="8" w:space="0" w:color="auto"/>
              <w:right w:val="single" w:sz="8" w:space="0" w:color="auto"/>
            </w:tcBorders>
            <w:shd w:val="clear" w:color="auto" w:fill="auto"/>
            <w:noWrap/>
            <w:hideMark/>
          </w:tcPr>
          <w:p w14:paraId="335363B6" w14:textId="77777777" w:rsidR="00B15CDD" w:rsidRPr="006B4E92" w:rsidRDefault="00B15CDD" w:rsidP="00A660AD">
            <w:pPr>
              <w:jc w:val="right"/>
              <w:rPr>
                <w:rFonts w:ascii="Arial" w:hAnsi="Arial" w:cs="Arial"/>
                <w:color w:val="000000"/>
              </w:rPr>
            </w:pPr>
            <w:r w:rsidRPr="006B4E92">
              <w:rPr>
                <w:rFonts w:ascii="Arial" w:hAnsi="Arial" w:cs="Arial"/>
              </w:rPr>
              <w:t>-3.2%</w:t>
            </w:r>
          </w:p>
        </w:tc>
        <w:tc>
          <w:tcPr>
            <w:tcW w:w="1631" w:type="dxa"/>
            <w:tcBorders>
              <w:top w:val="nil"/>
              <w:left w:val="nil"/>
              <w:bottom w:val="single" w:sz="8" w:space="0" w:color="auto"/>
              <w:right w:val="single" w:sz="8" w:space="0" w:color="auto"/>
            </w:tcBorders>
            <w:shd w:val="clear" w:color="auto" w:fill="auto"/>
            <w:noWrap/>
            <w:hideMark/>
          </w:tcPr>
          <w:p w14:paraId="212503B4" w14:textId="77777777" w:rsidR="00B15CDD" w:rsidRPr="006B4E92" w:rsidRDefault="00B15CDD" w:rsidP="00A660AD">
            <w:pPr>
              <w:jc w:val="right"/>
              <w:rPr>
                <w:rFonts w:ascii="Arial" w:hAnsi="Arial" w:cs="Arial"/>
                <w:color w:val="000000"/>
              </w:rPr>
            </w:pPr>
            <w:r w:rsidRPr="006B4E92">
              <w:rPr>
                <w:rFonts w:ascii="Arial" w:hAnsi="Arial" w:cs="Arial"/>
              </w:rPr>
              <w:t>0%</w:t>
            </w:r>
          </w:p>
        </w:tc>
        <w:tc>
          <w:tcPr>
            <w:tcW w:w="1563" w:type="dxa"/>
            <w:tcBorders>
              <w:top w:val="nil"/>
              <w:left w:val="nil"/>
              <w:bottom w:val="single" w:sz="8" w:space="0" w:color="auto"/>
              <w:right w:val="single" w:sz="8" w:space="0" w:color="auto"/>
            </w:tcBorders>
            <w:shd w:val="clear" w:color="000000" w:fill="FFFFFF"/>
            <w:noWrap/>
            <w:hideMark/>
          </w:tcPr>
          <w:p w14:paraId="240BC7EA" w14:textId="77777777" w:rsidR="00B15CDD" w:rsidRPr="006B4E92" w:rsidRDefault="00B15CDD" w:rsidP="00A660AD">
            <w:pPr>
              <w:jc w:val="right"/>
              <w:rPr>
                <w:rFonts w:ascii="Arial" w:hAnsi="Arial" w:cs="Arial"/>
                <w:color w:val="000000"/>
              </w:rPr>
            </w:pPr>
            <w:r w:rsidRPr="006B4E92">
              <w:rPr>
                <w:rFonts w:ascii="Arial" w:hAnsi="Arial" w:cs="Arial"/>
              </w:rPr>
              <w:t>-3.2%</w:t>
            </w:r>
          </w:p>
        </w:tc>
        <w:tc>
          <w:tcPr>
            <w:tcW w:w="1233" w:type="dxa"/>
            <w:tcBorders>
              <w:top w:val="nil"/>
              <w:left w:val="nil"/>
              <w:bottom w:val="single" w:sz="8" w:space="0" w:color="auto"/>
              <w:right w:val="single" w:sz="8" w:space="0" w:color="auto"/>
            </w:tcBorders>
            <w:shd w:val="clear" w:color="auto" w:fill="auto"/>
            <w:noWrap/>
            <w:vAlign w:val="center"/>
            <w:hideMark/>
          </w:tcPr>
          <w:p w14:paraId="73012655" w14:textId="77777777" w:rsidR="00B15CDD" w:rsidRPr="006B4E92" w:rsidRDefault="00B15CDD" w:rsidP="00A660AD">
            <w:pPr>
              <w:jc w:val="center"/>
              <w:rPr>
                <w:rFonts w:ascii="Arial" w:hAnsi="Arial" w:cs="Arial"/>
                <w:i/>
                <w:iCs/>
                <w:color w:val="000000"/>
              </w:rPr>
            </w:pPr>
            <w:r w:rsidRPr="006B4E92">
              <w:rPr>
                <w:rFonts w:ascii="Arial" w:hAnsi="Arial" w:cs="Arial"/>
                <w:i/>
                <w:iCs/>
                <w:color w:val="000000"/>
              </w:rPr>
              <w:t>0-1</w:t>
            </w:r>
          </w:p>
        </w:tc>
      </w:tr>
    </w:tbl>
    <w:p w14:paraId="458069F6" w14:textId="77777777" w:rsidR="00B15CDD" w:rsidRDefault="00B15CDD" w:rsidP="00B15CDD">
      <w:pPr>
        <w:sectPr w:rsidR="00B15CDD" w:rsidSect="00F532F8">
          <w:pgSz w:w="11906" w:h="16838"/>
          <w:pgMar w:top="1440" w:right="1440" w:bottom="1440" w:left="1440" w:header="709" w:footer="709" w:gutter="0"/>
          <w:cols w:space="708"/>
          <w:titlePg/>
          <w:docGrid w:linePitch="360"/>
        </w:sectPr>
      </w:pPr>
    </w:p>
    <w:p w14:paraId="6A6DD6BC" w14:textId="1C54EDB8" w:rsidR="00B15CDD" w:rsidRPr="00601B12" w:rsidRDefault="00B15CDD" w:rsidP="00B15CDD">
      <w:pPr>
        <w:pStyle w:val="Appendix1"/>
        <w:rPr>
          <w:rFonts w:cs="Arial"/>
          <w:b/>
          <w:color w:val="auto"/>
          <w:sz w:val="24"/>
          <w:szCs w:val="24"/>
        </w:rPr>
      </w:pPr>
      <w:r>
        <w:rPr>
          <w:rFonts w:cs="Arial"/>
          <w:b/>
          <w:color w:val="auto"/>
          <w:sz w:val="24"/>
          <w:szCs w:val="24"/>
        </w:rPr>
        <w:t>A</w:t>
      </w:r>
      <w:r w:rsidRPr="00601B12">
        <w:rPr>
          <w:rFonts w:cs="Arial"/>
          <w:b/>
          <w:color w:val="auto"/>
          <w:sz w:val="24"/>
          <w:szCs w:val="24"/>
        </w:rPr>
        <w:t xml:space="preserve">ppendix </w:t>
      </w:r>
      <w:r w:rsidR="00D81AE0">
        <w:rPr>
          <w:rFonts w:cs="Arial"/>
          <w:b/>
          <w:color w:val="auto"/>
          <w:sz w:val="24"/>
          <w:szCs w:val="24"/>
        </w:rPr>
        <w:t>C</w:t>
      </w:r>
      <w:r w:rsidRPr="00601B12">
        <w:rPr>
          <w:rFonts w:cs="Arial"/>
          <w:b/>
          <w:color w:val="auto"/>
          <w:sz w:val="24"/>
          <w:szCs w:val="24"/>
        </w:rPr>
        <w:t>:  Statement of Compliance with UK Stewardship Code</w:t>
      </w:r>
    </w:p>
    <w:tbl>
      <w:tblPr>
        <w:tblStyle w:val="TableGrid"/>
        <w:tblW w:w="10080" w:type="dxa"/>
        <w:tblInd w:w="-3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556"/>
        <w:gridCol w:w="7509"/>
        <w:gridCol w:w="15"/>
      </w:tblGrid>
      <w:tr w:rsidR="00B15CDD" w:rsidRPr="00601B12" w14:paraId="4C173D55" w14:textId="77777777" w:rsidTr="00A660AD">
        <w:trPr>
          <w:gridAfter w:val="1"/>
          <w:wAfter w:w="15" w:type="dxa"/>
          <w:trHeight w:val="2787"/>
        </w:trPr>
        <w:tc>
          <w:tcPr>
            <w:tcW w:w="2553" w:type="dxa"/>
          </w:tcPr>
          <w:p w14:paraId="12D3D85F" w14:textId="77777777" w:rsidR="00B15CDD" w:rsidRPr="00601B12" w:rsidRDefault="00B15CDD" w:rsidP="00A660AD">
            <w:pPr>
              <w:autoSpaceDE w:val="0"/>
              <w:autoSpaceDN w:val="0"/>
              <w:adjustRightInd w:val="0"/>
              <w:rPr>
                <w:rFonts w:ascii="Arial" w:hAnsi="Arial" w:cs="Arial"/>
                <w:b/>
                <w:i/>
              </w:rPr>
            </w:pPr>
            <w:r w:rsidRPr="00601B12">
              <w:rPr>
                <w:rFonts w:ascii="Arial" w:hAnsi="Arial" w:cs="Arial"/>
                <w:b/>
                <w:i/>
              </w:rPr>
              <w:t>Principle 1</w:t>
            </w:r>
          </w:p>
          <w:p w14:paraId="64206178" w14:textId="77777777" w:rsidR="00B15CDD" w:rsidRPr="00601B12" w:rsidRDefault="00B15CDD" w:rsidP="00A660AD">
            <w:pPr>
              <w:autoSpaceDE w:val="0"/>
              <w:autoSpaceDN w:val="0"/>
              <w:adjustRightInd w:val="0"/>
              <w:rPr>
                <w:rFonts w:ascii="Arial" w:hAnsi="Arial" w:cs="Arial"/>
                <w:i/>
              </w:rPr>
            </w:pPr>
            <w:r w:rsidRPr="00601B12">
              <w:rPr>
                <w:rFonts w:ascii="Arial" w:hAnsi="Arial" w:cs="Arial"/>
                <w:i/>
              </w:rPr>
              <w:t>Institutional investors should publicly disclose their policy on how they will discharge their stewardship responsibilities.</w:t>
            </w:r>
          </w:p>
          <w:p w14:paraId="494811D5" w14:textId="77777777" w:rsidR="00B15CDD" w:rsidRPr="00601B12" w:rsidRDefault="00B15CDD" w:rsidP="00A660AD">
            <w:pPr>
              <w:autoSpaceDE w:val="0"/>
              <w:autoSpaceDN w:val="0"/>
              <w:adjustRightInd w:val="0"/>
              <w:spacing w:before="60" w:after="60"/>
              <w:rPr>
                <w:rFonts w:ascii="Arial" w:hAnsi="Arial" w:cs="Arial"/>
                <w:i/>
              </w:rPr>
            </w:pPr>
          </w:p>
        </w:tc>
        <w:tc>
          <w:tcPr>
            <w:tcW w:w="7512" w:type="dxa"/>
          </w:tcPr>
          <w:p w14:paraId="6CE0FF07" w14:textId="77777777" w:rsidR="00B15CDD" w:rsidRPr="00601B12" w:rsidRDefault="00B15CDD" w:rsidP="00A660AD">
            <w:pPr>
              <w:autoSpaceDE w:val="0"/>
              <w:autoSpaceDN w:val="0"/>
              <w:adjustRightInd w:val="0"/>
              <w:spacing w:before="60" w:after="60"/>
              <w:jc w:val="both"/>
              <w:rPr>
                <w:rFonts w:ascii="Arial" w:hAnsi="Arial" w:cs="Arial"/>
                <w:i/>
              </w:rPr>
            </w:pPr>
            <w:r w:rsidRPr="00601B12">
              <w:rPr>
                <w:rFonts w:ascii="Arial" w:hAnsi="Arial" w:cs="Arial"/>
                <w:i/>
              </w:rPr>
              <w:t xml:space="preserve">Stewardship is seen as part of the responsibilities of share </w:t>
            </w:r>
            <w:proofErr w:type="gramStart"/>
            <w:r w:rsidRPr="00601B12">
              <w:rPr>
                <w:rFonts w:ascii="Arial" w:hAnsi="Arial" w:cs="Arial"/>
                <w:i/>
              </w:rPr>
              <w:t>ownership, and</w:t>
            </w:r>
            <w:proofErr w:type="gramEnd"/>
            <w:r w:rsidRPr="00601B12">
              <w:rPr>
                <w:rFonts w:ascii="Arial" w:hAnsi="Arial" w:cs="Arial"/>
                <w:i/>
              </w:rPr>
              <w:t xml:space="preserve"> is therefore an integral part of the Fund’s investment strategy.</w:t>
            </w:r>
          </w:p>
          <w:p w14:paraId="0EA4A9E7" w14:textId="77777777" w:rsidR="00B15CDD" w:rsidRPr="00601B12" w:rsidRDefault="00B15CDD" w:rsidP="00A660AD">
            <w:pPr>
              <w:pStyle w:val="NumberedParagraph"/>
              <w:tabs>
                <w:tab w:val="clear" w:pos="720"/>
              </w:tabs>
              <w:jc w:val="both"/>
              <w:rPr>
                <w:i/>
                <w:lang w:eastAsia="en-GB"/>
              </w:rPr>
            </w:pPr>
          </w:p>
          <w:p w14:paraId="5E16CE38" w14:textId="77777777" w:rsidR="00B15CDD" w:rsidRPr="00601B12" w:rsidRDefault="00B15CDD" w:rsidP="00A660AD">
            <w:pPr>
              <w:pStyle w:val="NumberedParagraph"/>
              <w:jc w:val="both"/>
              <w:rPr>
                <w:i/>
                <w:lang w:eastAsia="en-GB"/>
              </w:rPr>
            </w:pPr>
            <w:r w:rsidRPr="00601B12">
              <w:rPr>
                <w:i/>
                <w:lang w:eastAsia="en-GB"/>
              </w:rPr>
              <w:t>The Pension Committee actively monitor the fund managers through quarterly performance analysis, annual and periodic meetings with the individual fund managers and through direct monitoring by the officers, which includes monitoring and reporting on:</w:t>
            </w:r>
          </w:p>
          <w:p w14:paraId="2BF2293D" w14:textId="77777777" w:rsidR="00B15CDD" w:rsidRPr="00601B12" w:rsidRDefault="00B15CDD" w:rsidP="00A660AD">
            <w:pPr>
              <w:pStyle w:val="NumberedParagraph"/>
              <w:tabs>
                <w:tab w:val="clear" w:pos="720"/>
              </w:tabs>
              <w:ind w:left="720"/>
              <w:jc w:val="both"/>
              <w:rPr>
                <w:i/>
                <w:lang w:eastAsia="en-GB"/>
              </w:rPr>
            </w:pPr>
          </w:p>
          <w:p w14:paraId="0424DC69" w14:textId="77777777" w:rsidR="00B15CDD" w:rsidRPr="00601B12" w:rsidRDefault="00B15CDD" w:rsidP="007337FE">
            <w:pPr>
              <w:pStyle w:val="NumberedParagraph"/>
              <w:numPr>
                <w:ilvl w:val="0"/>
                <w:numId w:val="50"/>
              </w:numPr>
              <w:tabs>
                <w:tab w:val="num" w:pos="720"/>
              </w:tabs>
              <w:ind w:hanging="720"/>
              <w:jc w:val="both"/>
              <w:rPr>
                <w:i/>
                <w:lang w:eastAsia="en-GB"/>
              </w:rPr>
            </w:pPr>
            <w:r w:rsidRPr="00601B12">
              <w:rPr>
                <w:i/>
                <w:lang w:eastAsia="en-GB"/>
              </w:rPr>
              <w:t xml:space="preserve">Fund manager </w:t>
            </w:r>
            <w:proofErr w:type="gramStart"/>
            <w:r w:rsidRPr="00601B12">
              <w:rPr>
                <w:i/>
                <w:lang w:eastAsia="en-GB"/>
              </w:rPr>
              <w:t>performance;</w:t>
            </w:r>
            <w:proofErr w:type="gramEnd"/>
          </w:p>
          <w:p w14:paraId="1528540E" w14:textId="77777777" w:rsidR="00B15CDD" w:rsidRPr="00601B12" w:rsidRDefault="00B15CDD" w:rsidP="007337FE">
            <w:pPr>
              <w:pStyle w:val="NumberedParagraph"/>
              <w:numPr>
                <w:ilvl w:val="0"/>
                <w:numId w:val="50"/>
              </w:numPr>
              <w:tabs>
                <w:tab w:val="num" w:pos="720"/>
              </w:tabs>
              <w:ind w:hanging="720"/>
              <w:jc w:val="both"/>
              <w:rPr>
                <w:i/>
                <w:lang w:eastAsia="en-GB"/>
              </w:rPr>
            </w:pPr>
            <w:r w:rsidRPr="00601B12">
              <w:rPr>
                <w:i/>
                <w:lang w:eastAsia="en-GB"/>
              </w:rPr>
              <w:t xml:space="preserve">Investment Process compliance and </w:t>
            </w:r>
            <w:proofErr w:type="gramStart"/>
            <w:r w:rsidRPr="00601B12">
              <w:rPr>
                <w:i/>
                <w:lang w:eastAsia="en-GB"/>
              </w:rPr>
              <w:t>changes;</w:t>
            </w:r>
            <w:proofErr w:type="gramEnd"/>
          </w:p>
          <w:p w14:paraId="472D617F" w14:textId="77777777" w:rsidR="00B15CDD" w:rsidRPr="00601B12" w:rsidRDefault="00B15CDD" w:rsidP="007337FE">
            <w:pPr>
              <w:pStyle w:val="NumberedParagraph"/>
              <w:numPr>
                <w:ilvl w:val="0"/>
                <w:numId w:val="50"/>
              </w:numPr>
              <w:tabs>
                <w:tab w:val="num" w:pos="720"/>
              </w:tabs>
              <w:ind w:hanging="720"/>
              <w:jc w:val="both"/>
              <w:rPr>
                <w:i/>
                <w:lang w:eastAsia="en-GB"/>
              </w:rPr>
            </w:pPr>
            <w:r w:rsidRPr="00601B12">
              <w:rPr>
                <w:i/>
                <w:lang w:eastAsia="en-GB"/>
              </w:rPr>
              <w:t>Changes in personnel (joiners and leavers</w:t>
            </w:r>
            <w:proofErr w:type="gramStart"/>
            <w:r w:rsidRPr="00601B12">
              <w:rPr>
                <w:i/>
                <w:lang w:eastAsia="en-GB"/>
              </w:rPr>
              <w:t>);</w:t>
            </w:r>
            <w:proofErr w:type="gramEnd"/>
          </w:p>
          <w:p w14:paraId="330218C2" w14:textId="77777777" w:rsidR="00B15CDD" w:rsidRPr="00601B12" w:rsidRDefault="00B15CDD" w:rsidP="007337FE">
            <w:pPr>
              <w:pStyle w:val="NumberedParagraph"/>
              <w:numPr>
                <w:ilvl w:val="0"/>
                <w:numId w:val="50"/>
              </w:numPr>
              <w:tabs>
                <w:tab w:val="num" w:pos="720"/>
              </w:tabs>
              <w:ind w:hanging="720"/>
              <w:jc w:val="both"/>
              <w:rPr>
                <w:i/>
                <w:lang w:eastAsia="en-GB"/>
              </w:rPr>
            </w:pPr>
            <w:r w:rsidRPr="00601B12">
              <w:rPr>
                <w:i/>
                <w:lang w:eastAsia="en-GB"/>
              </w:rPr>
              <w:t xml:space="preserve">Significant portfolio </w:t>
            </w:r>
            <w:proofErr w:type="gramStart"/>
            <w:r w:rsidRPr="00601B12">
              <w:rPr>
                <w:i/>
                <w:lang w:eastAsia="en-GB"/>
              </w:rPr>
              <w:t>developments;</w:t>
            </w:r>
            <w:proofErr w:type="gramEnd"/>
          </w:p>
          <w:p w14:paraId="727C9939" w14:textId="77777777" w:rsidR="00B15CDD" w:rsidRPr="00601B12" w:rsidRDefault="00B15CDD" w:rsidP="007337FE">
            <w:pPr>
              <w:pStyle w:val="NumberedParagraph"/>
              <w:numPr>
                <w:ilvl w:val="0"/>
                <w:numId w:val="50"/>
              </w:numPr>
              <w:tabs>
                <w:tab w:val="num" w:pos="720"/>
              </w:tabs>
              <w:ind w:hanging="720"/>
              <w:jc w:val="both"/>
              <w:rPr>
                <w:i/>
                <w:lang w:eastAsia="en-GB"/>
              </w:rPr>
            </w:pPr>
            <w:r w:rsidRPr="00601B12">
              <w:rPr>
                <w:i/>
                <w:lang w:eastAsia="en-GB"/>
              </w:rPr>
              <w:t xml:space="preserve">Breaches of the IMA / </w:t>
            </w:r>
            <w:proofErr w:type="gramStart"/>
            <w:r w:rsidRPr="00601B12">
              <w:rPr>
                <w:i/>
                <w:lang w:eastAsia="en-GB"/>
              </w:rPr>
              <w:t>Restrictions;</w:t>
            </w:r>
            <w:proofErr w:type="gramEnd"/>
          </w:p>
          <w:p w14:paraId="310F1C3D" w14:textId="77777777" w:rsidR="00B15CDD" w:rsidRPr="00601B12" w:rsidRDefault="00B15CDD" w:rsidP="007337FE">
            <w:pPr>
              <w:pStyle w:val="NumberedParagraph"/>
              <w:numPr>
                <w:ilvl w:val="0"/>
                <w:numId w:val="50"/>
              </w:numPr>
              <w:tabs>
                <w:tab w:val="num" w:pos="720"/>
              </w:tabs>
              <w:ind w:hanging="720"/>
              <w:jc w:val="both"/>
              <w:rPr>
                <w:i/>
                <w:lang w:eastAsia="en-GB"/>
              </w:rPr>
            </w:pPr>
            <w:r w:rsidRPr="00601B12">
              <w:rPr>
                <w:i/>
                <w:lang w:eastAsia="en-GB"/>
              </w:rPr>
              <w:t>Business wins and losses; and</w:t>
            </w:r>
          </w:p>
          <w:p w14:paraId="2BBB25CE" w14:textId="77777777" w:rsidR="00B15CDD" w:rsidRPr="00601B12" w:rsidRDefault="00B15CDD" w:rsidP="007337FE">
            <w:pPr>
              <w:pStyle w:val="NumberedParagraph"/>
              <w:numPr>
                <w:ilvl w:val="0"/>
                <w:numId w:val="50"/>
              </w:numPr>
              <w:tabs>
                <w:tab w:val="num" w:pos="720"/>
              </w:tabs>
              <w:ind w:hanging="720"/>
              <w:jc w:val="both"/>
              <w:rPr>
                <w:i/>
                <w:lang w:eastAsia="en-GB"/>
              </w:rPr>
            </w:pPr>
            <w:r w:rsidRPr="00601B12">
              <w:rPr>
                <w:i/>
                <w:lang w:eastAsia="en-GB"/>
              </w:rPr>
              <w:t>Corporate and other issues.</w:t>
            </w:r>
          </w:p>
          <w:p w14:paraId="45A61AEA" w14:textId="77777777" w:rsidR="00B15CDD" w:rsidRPr="00601B12" w:rsidRDefault="00B15CDD" w:rsidP="00A660AD">
            <w:pPr>
              <w:pStyle w:val="NumberedParagraph"/>
              <w:tabs>
                <w:tab w:val="clear" w:pos="720"/>
              </w:tabs>
              <w:ind w:left="720"/>
              <w:jc w:val="both"/>
              <w:rPr>
                <w:i/>
                <w:lang w:eastAsia="en-GB"/>
              </w:rPr>
            </w:pPr>
          </w:p>
          <w:p w14:paraId="10635D00" w14:textId="77777777" w:rsidR="00B15CDD" w:rsidRPr="00601B12" w:rsidRDefault="00B15CDD" w:rsidP="00A660AD">
            <w:pPr>
              <w:pStyle w:val="NumberedParagraph"/>
              <w:jc w:val="both"/>
              <w:rPr>
                <w:i/>
                <w:lang w:eastAsia="en-GB"/>
              </w:rPr>
            </w:pPr>
            <w:r w:rsidRPr="00601B12">
              <w:rPr>
                <w:i/>
                <w:lang w:eastAsia="en-GB"/>
              </w:rPr>
              <w:t>Voting is delegated to Fund Managers through the Investment Management Agreement (IMA).</w:t>
            </w:r>
          </w:p>
          <w:p w14:paraId="4EF3823F" w14:textId="77777777" w:rsidR="00B15CDD" w:rsidRPr="00601B12" w:rsidRDefault="00B15CDD" w:rsidP="00A660AD">
            <w:pPr>
              <w:pStyle w:val="text"/>
              <w:jc w:val="both"/>
              <w:rPr>
                <w:i/>
                <w:color w:val="auto"/>
                <w:sz w:val="24"/>
                <w:szCs w:val="24"/>
              </w:rPr>
            </w:pPr>
            <w:r w:rsidRPr="00601B12">
              <w:rPr>
                <w:i/>
                <w:color w:val="auto"/>
                <w:sz w:val="24"/>
                <w:szCs w:val="24"/>
              </w:rPr>
              <w:t xml:space="preserve">Baillie Gifford, UBS and </w:t>
            </w:r>
            <w:proofErr w:type="spellStart"/>
            <w:r w:rsidRPr="00601B12">
              <w:rPr>
                <w:i/>
                <w:color w:val="auto"/>
                <w:sz w:val="24"/>
                <w:szCs w:val="24"/>
              </w:rPr>
              <w:t>Kempen</w:t>
            </w:r>
            <w:proofErr w:type="spellEnd"/>
            <w:r w:rsidRPr="00601B12">
              <w:rPr>
                <w:i/>
                <w:color w:val="auto"/>
                <w:sz w:val="24"/>
                <w:szCs w:val="24"/>
              </w:rPr>
              <w:t xml:space="preserve"> take direct responsibility for stewardship issues, voting and engagement, in the funds which they manage on our behalf. These managers publish Statements of Compliance with the Stewardship code.</w:t>
            </w:r>
          </w:p>
          <w:p w14:paraId="6ED87C08" w14:textId="77777777" w:rsidR="00B15CDD" w:rsidRPr="00601B12" w:rsidRDefault="00B15CDD" w:rsidP="00A660AD">
            <w:pPr>
              <w:rPr>
                <w:rFonts w:ascii="Arial" w:hAnsi="Arial" w:cs="Arial"/>
                <w:i/>
                <w:color w:val="1F497D"/>
              </w:rPr>
            </w:pPr>
            <w:r w:rsidRPr="00601B12">
              <w:rPr>
                <w:rFonts w:ascii="Arial" w:hAnsi="Arial" w:cs="Arial"/>
                <w:i/>
              </w:rPr>
              <w:t>Details are available on their websites at</w:t>
            </w:r>
            <w:r w:rsidRPr="00601B12">
              <w:rPr>
                <w:rFonts w:ascii="Arial" w:hAnsi="Arial" w:cs="Arial"/>
                <w:i/>
                <w:color w:val="1F497D"/>
              </w:rPr>
              <w:t xml:space="preserve"> </w:t>
            </w:r>
          </w:p>
          <w:p w14:paraId="021B3440" w14:textId="77777777" w:rsidR="00B15CDD" w:rsidRPr="00601B12" w:rsidRDefault="00B15CDD" w:rsidP="00A660AD">
            <w:pPr>
              <w:rPr>
                <w:rFonts w:ascii="Arial" w:hAnsi="Arial" w:cs="Arial"/>
                <w:i/>
                <w:color w:val="1F497D"/>
              </w:rPr>
            </w:pPr>
          </w:p>
          <w:p w14:paraId="68B019BE" w14:textId="77777777" w:rsidR="00B15CDD" w:rsidRPr="00601B12" w:rsidRDefault="00FF40A3" w:rsidP="00A660AD">
            <w:pPr>
              <w:rPr>
                <w:rFonts w:ascii="Arial" w:hAnsi="Arial" w:cs="Arial"/>
                <w:i/>
              </w:rPr>
            </w:pPr>
            <w:hyperlink r:id="rId57" w:history="1">
              <w:r w:rsidR="00B15CDD" w:rsidRPr="00601B12">
                <w:rPr>
                  <w:rStyle w:val="Hyperlink"/>
                  <w:rFonts w:ascii="Arial" w:eastAsiaTheme="majorEastAsia" w:hAnsi="Arial" w:cs="Arial"/>
                  <w:i/>
                </w:rPr>
                <w:t>www.bailliegifford.com/pages/UKInstitutional/CorporateGovernance/CorporateGovernaceSRI.aspx</w:t>
              </w:r>
            </w:hyperlink>
            <w:r w:rsidR="00B15CDD" w:rsidRPr="00601B12">
              <w:rPr>
                <w:rFonts w:ascii="Arial" w:hAnsi="Arial" w:cs="Arial"/>
                <w:i/>
              </w:rPr>
              <w:t xml:space="preserve">  </w:t>
            </w:r>
          </w:p>
          <w:p w14:paraId="46D88B75" w14:textId="77777777" w:rsidR="00B15CDD" w:rsidRPr="00601B12" w:rsidRDefault="00B15CDD" w:rsidP="00A660AD">
            <w:pPr>
              <w:rPr>
                <w:rFonts w:ascii="Arial" w:hAnsi="Arial" w:cs="Arial"/>
                <w:i/>
              </w:rPr>
            </w:pPr>
          </w:p>
          <w:p w14:paraId="7C6AD487" w14:textId="77777777" w:rsidR="00B15CDD" w:rsidRPr="00601B12" w:rsidRDefault="00FF40A3" w:rsidP="00A660AD">
            <w:pPr>
              <w:rPr>
                <w:rFonts w:ascii="Arial" w:hAnsi="Arial" w:cs="Arial"/>
                <w:i/>
              </w:rPr>
            </w:pPr>
            <w:hyperlink r:id="rId58" w:history="1">
              <w:r w:rsidR="00B15CDD" w:rsidRPr="00601B12">
                <w:rPr>
                  <w:rStyle w:val="Hyperlink"/>
                  <w:rFonts w:ascii="Arial" w:eastAsiaTheme="majorEastAsia" w:hAnsi="Arial" w:cs="Arial"/>
                  <w:i/>
                </w:rPr>
                <w:t>http://www.ubs.com/global/en/about_ubs/corporate_covernance.htm</w:t>
              </w:r>
            </w:hyperlink>
          </w:p>
          <w:p w14:paraId="296834C2" w14:textId="77777777" w:rsidR="00B15CDD" w:rsidRPr="00601B12" w:rsidRDefault="00B15CDD" w:rsidP="00A660AD">
            <w:pPr>
              <w:rPr>
                <w:rFonts w:ascii="Arial" w:hAnsi="Arial" w:cs="Arial"/>
                <w:i/>
              </w:rPr>
            </w:pPr>
          </w:p>
          <w:p w14:paraId="1DBCB7BE" w14:textId="77777777" w:rsidR="00B15CDD" w:rsidRPr="00601B12" w:rsidRDefault="00B15CDD" w:rsidP="00A660AD">
            <w:pPr>
              <w:jc w:val="both"/>
              <w:rPr>
                <w:rStyle w:val="Hyperlink"/>
                <w:rFonts w:ascii="Arial" w:eastAsiaTheme="majorEastAsia" w:hAnsi="Arial" w:cs="Arial"/>
                <w:i/>
              </w:rPr>
            </w:pPr>
            <w:r w:rsidRPr="00601B12">
              <w:rPr>
                <w:rStyle w:val="Hyperlink"/>
                <w:rFonts w:ascii="Arial" w:eastAsiaTheme="majorEastAsia" w:hAnsi="Arial" w:cs="Arial"/>
                <w:i/>
              </w:rPr>
              <w:t>http://www.kempen.nl/over_kempen.aspx?id=27770 _</w:t>
            </w:r>
          </w:p>
          <w:p w14:paraId="6BE1AF84" w14:textId="77777777" w:rsidR="00B15CDD" w:rsidRPr="00601B12" w:rsidRDefault="00B15CDD" w:rsidP="00A660AD">
            <w:pPr>
              <w:jc w:val="both"/>
              <w:rPr>
                <w:rFonts w:ascii="Arial" w:hAnsi="Arial" w:cs="Arial"/>
                <w:i/>
                <w:color w:val="0000FF"/>
                <w:u w:val="single"/>
              </w:rPr>
            </w:pPr>
          </w:p>
        </w:tc>
      </w:tr>
      <w:tr w:rsidR="00B15CDD" w:rsidRPr="00601B12" w14:paraId="3E16F496" w14:textId="77777777" w:rsidTr="00A660AD">
        <w:trPr>
          <w:gridAfter w:val="1"/>
          <w:wAfter w:w="15" w:type="dxa"/>
          <w:cantSplit/>
        </w:trPr>
        <w:tc>
          <w:tcPr>
            <w:tcW w:w="2553" w:type="dxa"/>
          </w:tcPr>
          <w:p w14:paraId="3298D2C0" w14:textId="77777777" w:rsidR="00B15CDD" w:rsidRPr="00601B12" w:rsidRDefault="00B15CDD" w:rsidP="00A660AD">
            <w:pPr>
              <w:autoSpaceDE w:val="0"/>
              <w:autoSpaceDN w:val="0"/>
              <w:adjustRightInd w:val="0"/>
              <w:rPr>
                <w:rFonts w:ascii="Arial" w:hAnsi="Arial" w:cs="Arial"/>
                <w:b/>
                <w:i/>
              </w:rPr>
            </w:pPr>
            <w:r w:rsidRPr="00601B12">
              <w:rPr>
                <w:rFonts w:ascii="Arial" w:hAnsi="Arial" w:cs="Arial"/>
                <w:b/>
                <w:i/>
              </w:rPr>
              <w:t>Principle 2</w:t>
            </w:r>
          </w:p>
          <w:p w14:paraId="2BD9E6AB" w14:textId="77777777" w:rsidR="00B15CDD" w:rsidRPr="00601B12" w:rsidRDefault="00B15CDD" w:rsidP="00A660AD">
            <w:pPr>
              <w:autoSpaceDE w:val="0"/>
              <w:autoSpaceDN w:val="0"/>
              <w:adjustRightInd w:val="0"/>
              <w:rPr>
                <w:rFonts w:ascii="Arial" w:hAnsi="Arial" w:cs="Arial"/>
                <w:i/>
              </w:rPr>
            </w:pPr>
            <w:r w:rsidRPr="00601B12">
              <w:rPr>
                <w:rFonts w:ascii="Arial" w:hAnsi="Arial" w:cs="Arial"/>
                <w:i/>
              </w:rPr>
              <w:t>Institutional investors should have a robust policy on managing conflicts of interest in relation to stewardship and this policy should be publicly disclosed.</w:t>
            </w:r>
          </w:p>
        </w:tc>
        <w:tc>
          <w:tcPr>
            <w:tcW w:w="7512" w:type="dxa"/>
          </w:tcPr>
          <w:p w14:paraId="6172FC92" w14:textId="77777777" w:rsidR="00B15CDD" w:rsidRPr="00601B12" w:rsidRDefault="00B15CDD" w:rsidP="00A660AD">
            <w:pPr>
              <w:pStyle w:val="BodyTextIndent"/>
              <w:ind w:left="0"/>
              <w:rPr>
                <w:rFonts w:ascii="Arial" w:hAnsi="Arial" w:cs="Arial"/>
                <w:i/>
              </w:rPr>
            </w:pPr>
            <w:r w:rsidRPr="00601B12">
              <w:rPr>
                <w:rFonts w:ascii="Arial" w:hAnsi="Arial" w:cs="Arial"/>
                <w:i/>
              </w:rPr>
              <w:t xml:space="preserve">We also encourage the asset managers employed by the Funds to have effective policies addressing potential conflicts of interest. </w:t>
            </w:r>
          </w:p>
          <w:p w14:paraId="13504DB3" w14:textId="77777777" w:rsidR="00B15CDD" w:rsidRPr="00601B12" w:rsidRDefault="00B15CDD" w:rsidP="00A660AD">
            <w:pPr>
              <w:pStyle w:val="BodyTextIndent"/>
              <w:ind w:left="0"/>
              <w:rPr>
                <w:rFonts w:ascii="Arial" w:hAnsi="Arial" w:cs="Arial"/>
                <w:i/>
              </w:rPr>
            </w:pPr>
            <w:r w:rsidRPr="00601B12">
              <w:rPr>
                <w:rFonts w:ascii="Arial" w:hAnsi="Arial" w:cs="Arial"/>
                <w:i/>
              </w:rPr>
              <w:t xml:space="preserve">In respect of conflicts of interest within the Fund, Pension Committee members are required to make declarations of interest prior to Committee meetings. </w:t>
            </w:r>
          </w:p>
          <w:p w14:paraId="0AC18BA5" w14:textId="77777777" w:rsidR="00B15CDD" w:rsidRPr="00601B12" w:rsidRDefault="00B15CDD" w:rsidP="00A660AD">
            <w:pPr>
              <w:autoSpaceDE w:val="0"/>
              <w:autoSpaceDN w:val="0"/>
              <w:adjustRightInd w:val="0"/>
              <w:spacing w:before="60" w:after="60"/>
              <w:ind w:left="-5"/>
              <w:jc w:val="both"/>
              <w:rPr>
                <w:rFonts w:ascii="Arial" w:hAnsi="Arial" w:cs="Arial"/>
                <w:i/>
              </w:rPr>
            </w:pPr>
            <w:r w:rsidRPr="00601B12">
              <w:rPr>
                <w:rFonts w:ascii="Arial" w:hAnsi="Arial" w:cs="Arial"/>
                <w:i/>
              </w:rPr>
              <w:t xml:space="preserve">The Funds’ overriding obligation is to act in the best financial interests of the members. </w:t>
            </w:r>
          </w:p>
        </w:tc>
      </w:tr>
      <w:tr w:rsidR="00B15CDD" w:rsidRPr="00601B12" w14:paraId="175CCC66" w14:textId="77777777" w:rsidTr="00A660AD">
        <w:trPr>
          <w:gridAfter w:val="1"/>
          <w:wAfter w:w="15" w:type="dxa"/>
          <w:cantSplit/>
        </w:trPr>
        <w:tc>
          <w:tcPr>
            <w:tcW w:w="2553" w:type="dxa"/>
          </w:tcPr>
          <w:p w14:paraId="11B1E873" w14:textId="77777777" w:rsidR="00B15CDD" w:rsidRPr="00601B12" w:rsidRDefault="00B15CDD" w:rsidP="00A660AD">
            <w:pPr>
              <w:autoSpaceDE w:val="0"/>
              <w:autoSpaceDN w:val="0"/>
              <w:adjustRightInd w:val="0"/>
              <w:rPr>
                <w:rFonts w:ascii="Arial" w:hAnsi="Arial" w:cs="Arial"/>
                <w:b/>
                <w:i/>
              </w:rPr>
            </w:pPr>
            <w:r w:rsidRPr="00601B12">
              <w:rPr>
                <w:rFonts w:ascii="Arial" w:hAnsi="Arial" w:cs="Arial"/>
                <w:b/>
                <w:i/>
              </w:rPr>
              <w:t>Principle 3</w:t>
            </w:r>
          </w:p>
          <w:p w14:paraId="712F41F7" w14:textId="77777777" w:rsidR="00B15CDD" w:rsidRPr="00601B12" w:rsidRDefault="00B15CDD" w:rsidP="00A660AD">
            <w:pPr>
              <w:autoSpaceDE w:val="0"/>
              <w:autoSpaceDN w:val="0"/>
              <w:adjustRightInd w:val="0"/>
              <w:rPr>
                <w:rFonts w:ascii="Arial" w:hAnsi="Arial" w:cs="Arial"/>
                <w:i/>
              </w:rPr>
            </w:pPr>
            <w:r w:rsidRPr="00601B12">
              <w:rPr>
                <w:rFonts w:ascii="Arial" w:hAnsi="Arial" w:cs="Arial"/>
                <w:i/>
              </w:rPr>
              <w:t>Institutional investors should monitor their investee companies.</w:t>
            </w:r>
          </w:p>
          <w:p w14:paraId="3D0297CB" w14:textId="77777777" w:rsidR="00B15CDD" w:rsidRPr="00601B12" w:rsidRDefault="00B15CDD" w:rsidP="00A660AD">
            <w:pPr>
              <w:autoSpaceDE w:val="0"/>
              <w:autoSpaceDN w:val="0"/>
              <w:adjustRightInd w:val="0"/>
              <w:rPr>
                <w:rFonts w:ascii="Arial" w:hAnsi="Arial" w:cs="Arial"/>
                <w:i/>
              </w:rPr>
            </w:pPr>
          </w:p>
          <w:p w14:paraId="2786125A" w14:textId="77777777" w:rsidR="00B15CDD" w:rsidRPr="00601B12" w:rsidRDefault="00B15CDD" w:rsidP="00A660AD">
            <w:pPr>
              <w:autoSpaceDE w:val="0"/>
              <w:autoSpaceDN w:val="0"/>
              <w:adjustRightInd w:val="0"/>
              <w:rPr>
                <w:rFonts w:ascii="Arial" w:hAnsi="Arial" w:cs="Arial"/>
                <w:i/>
              </w:rPr>
            </w:pPr>
          </w:p>
        </w:tc>
        <w:tc>
          <w:tcPr>
            <w:tcW w:w="7512" w:type="dxa"/>
          </w:tcPr>
          <w:p w14:paraId="5D7AC4BC" w14:textId="77777777" w:rsidR="00B15CDD" w:rsidRPr="00601B12" w:rsidRDefault="00B15CDD" w:rsidP="00A660AD">
            <w:pPr>
              <w:autoSpaceDE w:val="0"/>
              <w:autoSpaceDN w:val="0"/>
              <w:adjustRightInd w:val="0"/>
              <w:spacing w:before="60" w:after="60"/>
              <w:ind w:left="-5"/>
              <w:rPr>
                <w:rFonts w:ascii="Arial" w:hAnsi="Arial" w:cs="Arial"/>
                <w:i/>
              </w:rPr>
            </w:pPr>
            <w:r w:rsidRPr="00601B12">
              <w:rPr>
                <w:rFonts w:ascii="Arial" w:hAnsi="Arial" w:cs="Arial"/>
                <w:i/>
              </w:rPr>
              <w:t>Day-to-day responsibility for managing the Fund’s investments is delegated to the relevant fund managers, who are expected to monitor companies, intervene where necessary, and report back regularly on activity undertaken.</w:t>
            </w:r>
          </w:p>
          <w:p w14:paraId="49DA496C" w14:textId="77777777" w:rsidR="00B15CDD" w:rsidRPr="00601B12" w:rsidRDefault="00B15CDD" w:rsidP="00A660AD">
            <w:pPr>
              <w:autoSpaceDE w:val="0"/>
              <w:autoSpaceDN w:val="0"/>
              <w:adjustRightInd w:val="0"/>
              <w:spacing w:before="60" w:after="60"/>
              <w:ind w:left="-5"/>
              <w:rPr>
                <w:rFonts w:ascii="Arial" w:hAnsi="Arial" w:cs="Arial"/>
                <w:i/>
              </w:rPr>
            </w:pPr>
            <w:r w:rsidRPr="00601B12">
              <w:rPr>
                <w:rFonts w:ascii="Arial" w:hAnsi="Arial" w:cs="Arial"/>
                <w:i/>
              </w:rPr>
              <w:t>Reports from fund managers on voting and engagement activity will be reported to the Committee on a quarterly basis from June 2013.</w:t>
            </w:r>
          </w:p>
          <w:p w14:paraId="563F8801" w14:textId="77777777" w:rsidR="00B15CDD" w:rsidRPr="00601B12" w:rsidRDefault="00B15CDD" w:rsidP="00A660AD">
            <w:pPr>
              <w:autoSpaceDE w:val="0"/>
              <w:autoSpaceDN w:val="0"/>
              <w:adjustRightInd w:val="0"/>
              <w:spacing w:before="60" w:after="60"/>
              <w:ind w:left="-5"/>
              <w:rPr>
                <w:rFonts w:ascii="Arial" w:hAnsi="Arial" w:cs="Arial"/>
                <w:i/>
              </w:rPr>
            </w:pPr>
            <w:r w:rsidRPr="00601B12">
              <w:rPr>
                <w:rFonts w:ascii="Arial" w:hAnsi="Arial" w:cs="Arial"/>
                <w:i/>
              </w:rPr>
              <w:t>Concerns are raised directly with the fund managers and issues raised are reported back to the Committee at the subsequent Committee meeting.</w:t>
            </w:r>
          </w:p>
          <w:p w14:paraId="5E516B0C" w14:textId="77777777" w:rsidR="00B15CDD" w:rsidRPr="00601B12" w:rsidRDefault="00B15CDD" w:rsidP="00A660AD">
            <w:pPr>
              <w:autoSpaceDE w:val="0"/>
              <w:autoSpaceDN w:val="0"/>
              <w:adjustRightInd w:val="0"/>
              <w:spacing w:before="60" w:after="60"/>
              <w:ind w:left="-5"/>
              <w:rPr>
                <w:rFonts w:ascii="Arial" w:hAnsi="Arial" w:cs="Arial"/>
                <w:i/>
              </w:rPr>
            </w:pPr>
            <w:r w:rsidRPr="00601B12">
              <w:rPr>
                <w:rFonts w:ascii="Arial" w:hAnsi="Arial" w:cs="Arial"/>
                <w:i/>
              </w:rPr>
              <w:t>Fund manager Internal Control reports are monitored, with breaches reported back to the Committee.</w:t>
            </w:r>
          </w:p>
          <w:p w14:paraId="74849FA5" w14:textId="77777777" w:rsidR="00B15CDD" w:rsidRPr="00601B12" w:rsidRDefault="00B15CDD" w:rsidP="00A660AD">
            <w:pPr>
              <w:autoSpaceDE w:val="0"/>
              <w:autoSpaceDN w:val="0"/>
              <w:adjustRightInd w:val="0"/>
              <w:spacing w:line="201" w:lineRule="atLeast"/>
              <w:jc w:val="both"/>
              <w:rPr>
                <w:rFonts w:ascii="Arial" w:hAnsi="Arial" w:cs="Arial"/>
                <w:i/>
              </w:rPr>
            </w:pPr>
            <w:r w:rsidRPr="00601B12">
              <w:rPr>
                <w:rFonts w:ascii="Arial" w:hAnsi="Arial" w:cs="Arial"/>
                <w:i/>
              </w:rPr>
              <w:t xml:space="preserve">Where the Fund is directly invested, such as infrastructure, members of the Committee and officers </w:t>
            </w:r>
            <w:proofErr w:type="gramStart"/>
            <w:r w:rsidRPr="00601B12">
              <w:rPr>
                <w:rFonts w:ascii="Arial" w:hAnsi="Arial" w:cs="Arial"/>
                <w:i/>
              </w:rPr>
              <w:t>are able to</w:t>
            </w:r>
            <w:proofErr w:type="gramEnd"/>
            <w:r w:rsidRPr="00601B12">
              <w:rPr>
                <w:rFonts w:ascii="Arial" w:hAnsi="Arial" w:cs="Arial"/>
                <w:i/>
              </w:rPr>
              <w:t xml:space="preserve"> attend their AGM.</w:t>
            </w:r>
          </w:p>
          <w:p w14:paraId="1EED798D" w14:textId="77777777" w:rsidR="00B15CDD" w:rsidRPr="00601B12" w:rsidRDefault="00B15CDD" w:rsidP="00A660AD">
            <w:pPr>
              <w:autoSpaceDE w:val="0"/>
              <w:autoSpaceDN w:val="0"/>
              <w:adjustRightInd w:val="0"/>
              <w:spacing w:line="201" w:lineRule="atLeast"/>
              <w:jc w:val="both"/>
              <w:rPr>
                <w:rFonts w:ascii="Arial" w:hAnsi="Arial" w:cs="Arial"/>
                <w:i/>
              </w:rPr>
            </w:pPr>
          </w:p>
        </w:tc>
      </w:tr>
      <w:tr w:rsidR="00B15CDD" w:rsidRPr="00601B12" w14:paraId="3FAA5259" w14:textId="77777777" w:rsidTr="00A660AD">
        <w:trPr>
          <w:gridAfter w:val="1"/>
          <w:wAfter w:w="15" w:type="dxa"/>
          <w:cantSplit/>
          <w:trHeight w:val="3694"/>
        </w:trPr>
        <w:tc>
          <w:tcPr>
            <w:tcW w:w="2553" w:type="dxa"/>
            <w:vAlign w:val="center"/>
          </w:tcPr>
          <w:p w14:paraId="5E1A250B" w14:textId="77777777" w:rsidR="00B15CDD" w:rsidRPr="00601B12" w:rsidRDefault="00B15CDD" w:rsidP="00A660AD">
            <w:pPr>
              <w:autoSpaceDE w:val="0"/>
              <w:autoSpaceDN w:val="0"/>
              <w:adjustRightInd w:val="0"/>
              <w:rPr>
                <w:rFonts w:ascii="Arial" w:hAnsi="Arial" w:cs="Arial"/>
                <w:b/>
                <w:i/>
              </w:rPr>
            </w:pPr>
            <w:r w:rsidRPr="00601B12">
              <w:rPr>
                <w:rFonts w:ascii="Arial" w:hAnsi="Arial" w:cs="Arial"/>
                <w:b/>
                <w:i/>
              </w:rPr>
              <w:t>Principle 4</w:t>
            </w:r>
          </w:p>
          <w:p w14:paraId="2C0BF57B" w14:textId="77777777" w:rsidR="00B15CDD" w:rsidRPr="00601B12" w:rsidRDefault="00B15CDD" w:rsidP="00A660AD">
            <w:pPr>
              <w:autoSpaceDE w:val="0"/>
              <w:autoSpaceDN w:val="0"/>
              <w:adjustRightInd w:val="0"/>
              <w:rPr>
                <w:rFonts w:ascii="Arial" w:hAnsi="Arial" w:cs="Arial"/>
                <w:i/>
              </w:rPr>
            </w:pPr>
            <w:r w:rsidRPr="00601B12">
              <w:rPr>
                <w:rFonts w:ascii="Arial" w:hAnsi="Arial" w:cs="Arial"/>
                <w:i/>
              </w:rPr>
              <w:t>Institutional investors should establish clear guidelines on when and how they will escalate their stewardship activities.</w:t>
            </w:r>
          </w:p>
          <w:p w14:paraId="61D54B65" w14:textId="77777777" w:rsidR="00B15CDD" w:rsidRPr="00601B12" w:rsidRDefault="00B15CDD" w:rsidP="00A660AD">
            <w:pPr>
              <w:autoSpaceDE w:val="0"/>
              <w:autoSpaceDN w:val="0"/>
              <w:adjustRightInd w:val="0"/>
              <w:spacing w:before="60" w:after="60"/>
              <w:rPr>
                <w:rFonts w:ascii="Arial" w:hAnsi="Arial" w:cs="Arial"/>
                <w:i/>
              </w:rPr>
            </w:pPr>
          </w:p>
        </w:tc>
        <w:tc>
          <w:tcPr>
            <w:tcW w:w="7512" w:type="dxa"/>
          </w:tcPr>
          <w:p w14:paraId="4EBA481E" w14:textId="77777777" w:rsidR="00B15CDD" w:rsidRPr="00601B12" w:rsidRDefault="00B15CDD" w:rsidP="00A660AD">
            <w:pPr>
              <w:pStyle w:val="NumberedParagraph"/>
              <w:tabs>
                <w:tab w:val="clear" w:pos="720"/>
              </w:tabs>
              <w:jc w:val="both"/>
              <w:rPr>
                <w:i/>
              </w:rPr>
            </w:pPr>
            <w:r w:rsidRPr="00601B12">
              <w:rPr>
                <w:i/>
              </w:rPr>
              <w:t xml:space="preserve">As highlighted above, responsibility for day-to-day interaction with companies is delegated, including the escalation of engagement when necessary. </w:t>
            </w:r>
          </w:p>
          <w:p w14:paraId="5B6D8C5A" w14:textId="77777777" w:rsidR="00B15CDD" w:rsidRPr="00601B12" w:rsidRDefault="00B15CDD" w:rsidP="00A660AD">
            <w:pPr>
              <w:pStyle w:val="NumberedParagraph"/>
              <w:tabs>
                <w:tab w:val="clear" w:pos="720"/>
              </w:tabs>
              <w:jc w:val="both"/>
              <w:rPr>
                <w:i/>
              </w:rPr>
            </w:pPr>
          </w:p>
          <w:p w14:paraId="14AE304A" w14:textId="77777777" w:rsidR="00B15CDD" w:rsidRPr="00601B12" w:rsidRDefault="00B15CDD" w:rsidP="00A660AD">
            <w:pPr>
              <w:pStyle w:val="NumberedParagraph"/>
              <w:tabs>
                <w:tab w:val="clear" w:pos="720"/>
              </w:tabs>
              <w:jc w:val="both"/>
              <w:rPr>
                <w:i/>
              </w:rPr>
            </w:pPr>
            <w:r w:rsidRPr="00601B12">
              <w:rPr>
                <w:i/>
              </w:rPr>
              <w:t xml:space="preserve">We expect the approach to engagement on our behalf to be value orientated and focussed on long term profitability. We expect </w:t>
            </w:r>
            <w:proofErr w:type="spellStart"/>
            <w:r w:rsidRPr="00601B12">
              <w:rPr>
                <w:i/>
              </w:rPr>
              <w:t>Kempen</w:t>
            </w:r>
            <w:proofErr w:type="spellEnd"/>
            <w:r w:rsidRPr="00601B12">
              <w:rPr>
                <w:i/>
              </w:rPr>
              <w:t>, Baillie Gifford and UBS to disclose their guidelines for such activities in their own statements of adherence to the Code. Their guidelines for such activities are expected to be disclosed in their own statement of adherence to the Stewardship Code.</w:t>
            </w:r>
          </w:p>
          <w:p w14:paraId="797F4751" w14:textId="77777777" w:rsidR="00B15CDD" w:rsidRPr="00601B12" w:rsidRDefault="00B15CDD" w:rsidP="00A660AD">
            <w:pPr>
              <w:pStyle w:val="NumberedParagraph"/>
              <w:tabs>
                <w:tab w:val="clear" w:pos="720"/>
              </w:tabs>
              <w:jc w:val="both"/>
              <w:rPr>
                <w:i/>
              </w:rPr>
            </w:pPr>
          </w:p>
          <w:p w14:paraId="22DFF6B9" w14:textId="77777777" w:rsidR="00B15CDD" w:rsidRPr="00601B12" w:rsidRDefault="00B15CDD" w:rsidP="00A660AD">
            <w:pPr>
              <w:pStyle w:val="NumberedParagraph"/>
              <w:tabs>
                <w:tab w:val="clear" w:pos="720"/>
              </w:tabs>
              <w:jc w:val="both"/>
              <w:rPr>
                <w:i/>
              </w:rPr>
            </w:pPr>
            <w:r w:rsidRPr="00601B12">
              <w:rPr>
                <w:i/>
              </w:rPr>
              <w:t xml:space="preserve">Consistent with our fiduciary duty to beneficiaries, we also participate in shareholder litigation. We pursue compensation for any losses sustained because of inappropriate actions by company directors </w:t>
            </w:r>
            <w:proofErr w:type="gramStart"/>
            <w:r w:rsidRPr="00601B12">
              <w:rPr>
                <w:i/>
              </w:rPr>
              <w:t>in order to</w:t>
            </w:r>
            <w:proofErr w:type="gramEnd"/>
            <w:r w:rsidRPr="00601B12">
              <w:rPr>
                <w:i/>
              </w:rPr>
              <w:t xml:space="preserve"> encourage improved conduct in the future. </w:t>
            </w:r>
          </w:p>
          <w:p w14:paraId="0508DA46" w14:textId="77777777" w:rsidR="00B15CDD" w:rsidRPr="00601B12" w:rsidRDefault="00B15CDD" w:rsidP="00A660AD">
            <w:pPr>
              <w:pStyle w:val="NumberedParagraph"/>
              <w:tabs>
                <w:tab w:val="clear" w:pos="720"/>
              </w:tabs>
              <w:jc w:val="both"/>
              <w:rPr>
                <w:i/>
                <w:lang w:eastAsia="en-GB"/>
              </w:rPr>
            </w:pPr>
          </w:p>
        </w:tc>
      </w:tr>
      <w:tr w:rsidR="00B15CDD" w:rsidRPr="00601B12" w14:paraId="63D1CADB" w14:textId="77777777" w:rsidTr="00A660AD">
        <w:trPr>
          <w:gridAfter w:val="1"/>
          <w:wAfter w:w="15" w:type="dxa"/>
          <w:cantSplit/>
          <w:trHeight w:val="1942"/>
        </w:trPr>
        <w:tc>
          <w:tcPr>
            <w:tcW w:w="2553" w:type="dxa"/>
          </w:tcPr>
          <w:p w14:paraId="0425EC8A" w14:textId="77777777" w:rsidR="00B15CDD" w:rsidRPr="00601B12" w:rsidRDefault="00B15CDD" w:rsidP="00A660AD">
            <w:pPr>
              <w:autoSpaceDE w:val="0"/>
              <w:autoSpaceDN w:val="0"/>
              <w:adjustRightInd w:val="0"/>
              <w:rPr>
                <w:rFonts w:ascii="Arial" w:hAnsi="Arial" w:cs="Arial"/>
                <w:b/>
                <w:i/>
              </w:rPr>
            </w:pPr>
            <w:r w:rsidRPr="00601B12">
              <w:rPr>
                <w:rFonts w:ascii="Arial" w:hAnsi="Arial" w:cs="Arial"/>
                <w:b/>
                <w:i/>
              </w:rPr>
              <w:t>Principle 5</w:t>
            </w:r>
          </w:p>
          <w:p w14:paraId="3DF01332" w14:textId="77777777" w:rsidR="00B15CDD" w:rsidRPr="00601B12" w:rsidRDefault="00B15CDD" w:rsidP="00A660AD">
            <w:pPr>
              <w:autoSpaceDE w:val="0"/>
              <w:autoSpaceDN w:val="0"/>
              <w:adjustRightInd w:val="0"/>
              <w:rPr>
                <w:rFonts w:ascii="Arial" w:hAnsi="Arial" w:cs="Arial"/>
                <w:i/>
              </w:rPr>
            </w:pPr>
            <w:r w:rsidRPr="00601B12">
              <w:rPr>
                <w:rFonts w:ascii="Arial" w:hAnsi="Arial" w:cs="Arial"/>
                <w:i/>
              </w:rPr>
              <w:t xml:space="preserve">Institutional investors should be willing to act collectively with other investors where </w:t>
            </w:r>
            <w:proofErr w:type="gramStart"/>
            <w:r w:rsidRPr="00601B12">
              <w:rPr>
                <w:rFonts w:ascii="Arial" w:hAnsi="Arial" w:cs="Arial"/>
                <w:i/>
              </w:rPr>
              <w:t>appropriate</w:t>
            </w:r>
            <w:proofErr w:type="gramEnd"/>
          </w:p>
          <w:p w14:paraId="3E1D2D52" w14:textId="77777777" w:rsidR="00B15CDD" w:rsidRPr="00601B12" w:rsidRDefault="00B15CDD" w:rsidP="00A660AD">
            <w:pPr>
              <w:autoSpaceDE w:val="0"/>
              <w:autoSpaceDN w:val="0"/>
              <w:adjustRightInd w:val="0"/>
              <w:spacing w:before="60" w:after="60"/>
              <w:rPr>
                <w:rFonts w:ascii="Arial" w:hAnsi="Arial" w:cs="Arial"/>
                <w:i/>
              </w:rPr>
            </w:pPr>
          </w:p>
        </w:tc>
        <w:tc>
          <w:tcPr>
            <w:tcW w:w="7512" w:type="dxa"/>
            <w:vAlign w:val="center"/>
          </w:tcPr>
          <w:p w14:paraId="0060798F" w14:textId="77777777" w:rsidR="00B15CDD" w:rsidRPr="00601B12" w:rsidRDefault="00B15CDD" w:rsidP="00A660AD">
            <w:pPr>
              <w:autoSpaceDE w:val="0"/>
              <w:autoSpaceDN w:val="0"/>
              <w:adjustRightInd w:val="0"/>
              <w:ind w:right="-20"/>
              <w:rPr>
                <w:rFonts w:ascii="Arial" w:hAnsi="Arial" w:cs="Arial"/>
                <w:i/>
                <w:color w:val="000000"/>
              </w:rPr>
            </w:pPr>
            <w:r w:rsidRPr="00601B12">
              <w:rPr>
                <w:rFonts w:ascii="Arial" w:hAnsi="Arial" w:cs="Arial"/>
                <w:i/>
                <w:color w:val="000000"/>
              </w:rPr>
              <w:t xml:space="preserve">The Fund seeks to work collaboratively with other institutional shareholders </w:t>
            </w:r>
            <w:proofErr w:type="gramStart"/>
            <w:r w:rsidRPr="00601B12">
              <w:rPr>
                <w:rFonts w:ascii="Arial" w:hAnsi="Arial" w:cs="Arial"/>
                <w:i/>
                <w:color w:val="000000"/>
              </w:rPr>
              <w:t>in order to</w:t>
            </w:r>
            <w:proofErr w:type="gramEnd"/>
            <w:r w:rsidRPr="00601B12">
              <w:rPr>
                <w:rFonts w:ascii="Arial" w:hAnsi="Arial" w:cs="Arial"/>
                <w:i/>
                <w:color w:val="000000"/>
              </w:rPr>
              <w:t xml:space="preserve"> maximize the influence that it can have on individual companies. </w:t>
            </w:r>
          </w:p>
          <w:p w14:paraId="10242377" w14:textId="77777777" w:rsidR="00B15CDD" w:rsidRPr="00601B12" w:rsidRDefault="00B15CDD" w:rsidP="00A660AD">
            <w:pPr>
              <w:autoSpaceDE w:val="0"/>
              <w:autoSpaceDN w:val="0"/>
              <w:adjustRightInd w:val="0"/>
              <w:ind w:right="-20"/>
              <w:rPr>
                <w:rFonts w:ascii="Arial" w:hAnsi="Arial" w:cs="Arial"/>
                <w:i/>
                <w:color w:val="000000"/>
              </w:rPr>
            </w:pPr>
          </w:p>
          <w:p w14:paraId="55714EC4" w14:textId="77777777" w:rsidR="00B15CDD" w:rsidRPr="00601B12" w:rsidRDefault="00B15CDD" w:rsidP="00A660AD">
            <w:pPr>
              <w:autoSpaceDE w:val="0"/>
              <w:autoSpaceDN w:val="0"/>
              <w:adjustRightInd w:val="0"/>
              <w:ind w:right="-20"/>
              <w:rPr>
                <w:rFonts w:ascii="Arial" w:hAnsi="Arial" w:cs="Arial"/>
                <w:i/>
                <w:color w:val="000000"/>
              </w:rPr>
            </w:pPr>
            <w:r w:rsidRPr="00601B12">
              <w:rPr>
                <w:rFonts w:ascii="Arial" w:hAnsi="Arial" w:cs="Arial"/>
                <w:i/>
                <w:color w:val="000000"/>
              </w:rPr>
              <w:t>The Fund is a member of the Local Authority Pension Fund Forum (LAPFF) which seeks to promote the highest standards of corporate governance and corporate responsibility amongst investee companies.</w:t>
            </w:r>
          </w:p>
          <w:p w14:paraId="76E7A8CC" w14:textId="77777777" w:rsidR="00B15CDD" w:rsidRPr="00601B12" w:rsidRDefault="00B15CDD" w:rsidP="00A660AD">
            <w:pPr>
              <w:autoSpaceDE w:val="0"/>
              <w:autoSpaceDN w:val="0"/>
              <w:adjustRightInd w:val="0"/>
              <w:ind w:right="-20"/>
              <w:rPr>
                <w:rFonts w:ascii="Arial" w:hAnsi="Arial" w:cs="Arial"/>
                <w:i/>
                <w:color w:val="000000"/>
              </w:rPr>
            </w:pPr>
          </w:p>
          <w:p w14:paraId="3043863B" w14:textId="77777777" w:rsidR="00B15CDD" w:rsidRPr="00601B12" w:rsidRDefault="00B15CDD" w:rsidP="00A660AD">
            <w:pPr>
              <w:autoSpaceDE w:val="0"/>
              <w:autoSpaceDN w:val="0"/>
              <w:adjustRightInd w:val="0"/>
              <w:ind w:right="-20"/>
              <w:rPr>
                <w:rFonts w:ascii="Arial" w:hAnsi="Arial" w:cs="Arial"/>
                <w:i/>
                <w:color w:val="000000"/>
              </w:rPr>
            </w:pPr>
            <w:r w:rsidRPr="00601B12">
              <w:rPr>
                <w:rFonts w:ascii="Arial" w:hAnsi="Arial" w:cs="Arial"/>
                <w:i/>
                <w:color w:val="000000"/>
              </w:rPr>
              <w:t>Where possible, the Fund seeks to exercise its voting rights attaching to its non- UK equity holdings by delegation through Power of Attorneys.</w:t>
            </w:r>
          </w:p>
          <w:p w14:paraId="29816378" w14:textId="77777777" w:rsidR="00B15CDD" w:rsidRPr="00601B12" w:rsidRDefault="00B15CDD" w:rsidP="00A660AD">
            <w:pPr>
              <w:autoSpaceDE w:val="0"/>
              <w:autoSpaceDN w:val="0"/>
              <w:adjustRightInd w:val="0"/>
              <w:ind w:right="-20"/>
              <w:rPr>
                <w:rFonts w:ascii="Arial" w:hAnsi="Arial" w:cs="Arial"/>
                <w:i/>
                <w:color w:val="000000"/>
              </w:rPr>
            </w:pPr>
          </w:p>
        </w:tc>
      </w:tr>
      <w:tr w:rsidR="00B15CDD" w:rsidRPr="00601B12" w14:paraId="1051A3A8" w14:textId="77777777" w:rsidTr="00A660AD">
        <w:trPr>
          <w:gridAfter w:val="1"/>
          <w:wAfter w:w="15" w:type="dxa"/>
          <w:cantSplit/>
        </w:trPr>
        <w:tc>
          <w:tcPr>
            <w:tcW w:w="2553" w:type="dxa"/>
          </w:tcPr>
          <w:p w14:paraId="026032B7" w14:textId="77777777" w:rsidR="00B15CDD" w:rsidRPr="00601B12" w:rsidRDefault="00B15CDD" w:rsidP="00A660AD">
            <w:pPr>
              <w:autoSpaceDE w:val="0"/>
              <w:autoSpaceDN w:val="0"/>
              <w:adjustRightInd w:val="0"/>
              <w:rPr>
                <w:rFonts w:ascii="Arial" w:hAnsi="Arial" w:cs="Arial"/>
                <w:b/>
                <w:i/>
              </w:rPr>
            </w:pPr>
            <w:r w:rsidRPr="00601B12">
              <w:rPr>
                <w:rFonts w:ascii="Arial" w:hAnsi="Arial" w:cs="Arial"/>
                <w:b/>
                <w:i/>
              </w:rPr>
              <w:t>Principle 6</w:t>
            </w:r>
          </w:p>
          <w:p w14:paraId="3F865353" w14:textId="77777777" w:rsidR="00B15CDD" w:rsidRPr="00601B12" w:rsidRDefault="00B15CDD" w:rsidP="00A660AD">
            <w:pPr>
              <w:autoSpaceDE w:val="0"/>
              <w:autoSpaceDN w:val="0"/>
              <w:adjustRightInd w:val="0"/>
              <w:spacing w:before="60" w:after="60"/>
              <w:rPr>
                <w:rFonts w:ascii="Arial" w:hAnsi="Arial" w:cs="Arial"/>
                <w:b/>
                <w:i/>
              </w:rPr>
            </w:pPr>
            <w:r w:rsidRPr="00601B12">
              <w:rPr>
                <w:rFonts w:ascii="Arial" w:hAnsi="Arial" w:cs="Arial"/>
                <w:i/>
              </w:rPr>
              <w:t>Institutional investors should have a clear policy on voting and disclosure of voting activity.</w:t>
            </w:r>
          </w:p>
          <w:p w14:paraId="1F375D84" w14:textId="77777777" w:rsidR="00B15CDD" w:rsidRPr="00601B12" w:rsidRDefault="00B15CDD" w:rsidP="00A660AD">
            <w:pPr>
              <w:autoSpaceDE w:val="0"/>
              <w:autoSpaceDN w:val="0"/>
              <w:adjustRightInd w:val="0"/>
              <w:spacing w:before="60" w:after="60"/>
              <w:rPr>
                <w:rFonts w:ascii="Arial" w:hAnsi="Arial" w:cs="Arial"/>
                <w:b/>
                <w:i/>
              </w:rPr>
            </w:pPr>
          </w:p>
          <w:p w14:paraId="2A0B4A93" w14:textId="77777777" w:rsidR="00B15CDD" w:rsidRPr="00601B12" w:rsidRDefault="00B15CDD" w:rsidP="00A660AD">
            <w:pPr>
              <w:autoSpaceDE w:val="0"/>
              <w:autoSpaceDN w:val="0"/>
              <w:adjustRightInd w:val="0"/>
              <w:spacing w:before="60" w:after="60"/>
              <w:rPr>
                <w:rFonts w:ascii="Arial" w:hAnsi="Arial" w:cs="Arial"/>
                <w:i/>
              </w:rPr>
            </w:pPr>
          </w:p>
        </w:tc>
        <w:tc>
          <w:tcPr>
            <w:tcW w:w="7512" w:type="dxa"/>
            <w:vAlign w:val="center"/>
          </w:tcPr>
          <w:p w14:paraId="0E38B708" w14:textId="77777777" w:rsidR="00B15CDD" w:rsidRPr="00601B12" w:rsidRDefault="00B15CDD" w:rsidP="00A660AD">
            <w:pPr>
              <w:jc w:val="both"/>
              <w:rPr>
                <w:rFonts w:ascii="Arial" w:hAnsi="Arial" w:cs="Arial"/>
                <w:i/>
              </w:rPr>
            </w:pPr>
            <w:r w:rsidRPr="00601B12">
              <w:rPr>
                <w:rFonts w:ascii="Arial" w:hAnsi="Arial" w:cs="Arial"/>
                <w:i/>
              </w:rPr>
              <w:t xml:space="preserve">The emphasis of our voting policy is to promote best practice. </w:t>
            </w:r>
            <w:r w:rsidRPr="00601B12">
              <w:rPr>
                <w:rFonts w:ascii="Arial" w:hAnsi="Arial" w:cs="Arial"/>
                <w:i/>
              </w:rPr>
              <w:br/>
              <w:t>We seek to vote on all shares held.</w:t>
            </w:r>
          </w:p>
          <w:p w14:paraId="30D26847" w14:textId="77777777" w:rsidR="00B15CDD" w:rsidRPr="00601B12" w:rsidRDefault="00B15CDD" w:rsidP="00A660AD">
            <w:pPr>
              <w:jc w:val="both"/>
              <w:rPr>
                <w:rFonts w:ascii="Arial" w:hAnsi="Arial" w:cs="Arial"/>
                <w:i/>
              </w:rPr>
            </w:pPr>
            <w:r w:rsidRPr="00601B12">
              <w:rPr>
                <w:rFonts w:ascii="Arial" w:hAnsi="Arial" w:cs="Arial"/>
                <w:i/>
              </w:rPr>
              <w:br/>
              <w:t>Our preference is for managers to vote on the Funds behalf and for responsible stewardship to be integral to the investment decision making process.</w:t>
            </w:r>
          </w:p>
          <w:p w14:paraId="12F73261" w14:textId="77777777" w:rsidR="00B15CDD" w:rsidRPr="00601B12" w:rsidRDefault="00B15CDD" w:rsidP="00A660AD">
            <w:pPr>
              <w:rPr>
                <w:rFonts w:ascii="Arial" w:hAnsi="Arial" w:cs="Arial"/>
                <w:i/>
              </w:rPr>
            </w:pPr>
          </w:p>
          <w:p w14:paraId="30546AC3" w14:textId="0C36A10B" w:rsidR="00B15CDD" w:rsidRPr="00601B12" w:rsidRDefault="00B15CDD" w:rsidP="00A660AD">
            <w:pPr>
              <w:jc w:val="both"/>
              <w:rPr>
                <w:rFonts w:ascii="Arial" w:hAnsi="Arial" w:cs="Arial"/>
                <w:i/>
              </w:rPr>
            </w:pPr>
            <w:r w:rsidRPr="00601B12">
              <w:rPr>
                <w:rFonts w:ascii="Arial" w:hAnsi="Arial" w:cs="Arial"/>
                <w:i/>
              </w:rPr>
              <w:t xml:space="preserve">We are comfortable with delegation of voting to Baillie Gifford and </w:t>
            </w:r>
            <w:proofErr w:type="spellStart"/>
            <w:r w:rsidRPr="00601B12">
              <w:rPr>
                <w:rFonts w:ascii="Arial" w:hAnsi="Arial" w:cs="Arial"/>
                <w:i/>
              </w:rPr>
              <w:t>Kempen</w:t>
            </w:r>
            <w:proofErr w:type="spellEnd"/>
            <w:r w:rsidRPr="00601B12">
              <w:rPr>
                <w:rFonts w:ascii="Arial" w:hAnsi="Arial" w:cs="Arial"/>
                <w:i/>
              </w:rPr>
              <w:t xml:space="preserve"> for the funds they manage.</w:t>
            </w:r>
            <w:r>
              <w:rPr>
                <w:rFonts w:ascii="Arial" w:hAnsi="Arial" w:cs="Arial"/>
                <w:i/>
              </w:rPr>
              <w:t xml:space="preserve"> </w:t>
            </w:r>
            <w:r w:rsidRPr="00601B12">
              <w:rPr>
                <w:rFonts w:ascii="Arial" w:hAnsi="Arial" w:cs="Arial"/>
                <w:i/>
              </w:rPr>
              <w:t>UBS vote on our behalf because the investment is in a passive pooled fund. The managers’ voting policies can be found at the websites mentioned above.</w:t>
            </w:r>
          </w:p>
          <w:p w14:paraId="3190852B" w14:textId="77777777" w:rsidR="00B15CDD" w:rsidRPr="00601B12" w:rsidRDefault="00B15CDD" w:rsidP="00A660AD">
            <w:pPr>
              <w:autoSpaceDE w:val="0"/>
              <w:autoSpaceDN w:val="0"/>
              <w:adjustRightInd w:val="0"/>
              <w:spacing w:line="201" w:lineRule="atLeast"/>
              <w:jc w:val="both"/>
              <w:rPr>
                <w:rFonts w:ascii="Arial" w:hAnsi="Arial" w:cs="Arial"/>
                <w:i/>
              </w:rPr>
            </w:pPr>
          </w:p>
        </w:tc>
      </w:tr>
      <w:tr w:rsidR="00B15CDD" w:rsidRPr="00601B12" w14:paraId="26CB45B5" w14:textId="77777777" w:rsidTr="00A660AD">
        <w:trPr>
          <w:trHeight w:val="1594"/>
        </w:trPr>
        <w:tc>
          <w:tcPr>
            <w:tcW w:w="2557" w:type="dxa"/>
            <w:vAlign w:val="center"/>
          </w:tcPr>
          <w:p w14:paraId="27002020" w14:textId="77777777" w:rsidR="00B15CDD" w:rsidRPr="00601B12" w:rsidRDefault="00B15CDD" w:rsidP="00A660AD">
            <w:pPr>
              <w:autoSpaceDE w:val="0"/>
              <w:autoSpaceDN w:val="0"/>
              <w:adjustRightInd w:val="0"/>
              <w:rPr>
                <w:rFonts w:ascii="Arial" w:hAnsi="Arial" w:cs="Arial"/>
                <w:b/>
                <w:i/>
              </w:rPr>
            </w:pPr>
            <w:r w:rsidRPr="00E35F96">
              <w:rPr>
                <w:rFonts w:ascii="Arial" w:hAnsi="Arial" w:cs="Arial"/>
              </w:rPr>
              <w:br w:type="page"/>
            </w:r>
            <w:r w:rsidRPr="00601B12">
              <w:rPr>
                <w:rFonts w:ascii="Arial" w:hAnsi="Arial" w:cs="Arial"/>
                <w:b/>
                <w:i/>
              </w:rPr>
              <w:t>Principle 7</w:t>
            </w:r>
          </w:p>
          <w:p w14:paraId="4ADD3907" w14:textId="77777777" w:rsidR="00B15CDD" w:rsidRPr="00601B12" w:rsidRDefault="00B15CDD" w:rsidP="00A660AD">
            <w:pPr>
              <w:autoSpaceDE w:val="0"/>
              <w:autoSpaceDN w:val="0"/>
              <w:adjustRightInd w:val="0"/>
              <w:rPr>
                <w:rFonts w:ascii="Arial" w:hAnsi="Arial" w:cs="Arial"/>
                <w:i/>
              </w:rPr>
            </w:pPr>
            <w:r w:rsidRPr="00601B12">
              <w:rPr>
                <w:rFonts w:ascii="Arial" w:hAnsi="Arial" w:cs="Arial"/>
                <w:i/>
              </w:rPr>
              <w:t>Institutional investors should report periodically on their stewardship and voting activities.</w:t>
            </w:r>
          </w:p>
          <w:p w14:paraId="23E18D5F" w14:textId="77777777" w:rsidR="00B15CDD" w:rsidRPr="00601B12" w:rsidRDefault="00B15CDD" w:rsidP="00A660AD">
            <w:pPr>
              <w:autoSpaceDE w:val="0"/>
              <w:autoSpaceDN w:val="0"/>
              <w:adjustRightInd w:val="0"/>
              <w:spacing w:before="60" w:after="60"/>
              <w:rPr>
                <w:rFonts w:ascii="Arial" w:hAnsi="Arial" w:cs="Arial"/>
                <w:i/>
              </w:rPr>
            </w:pPr>
          </w:p>
        </w:tc>
        <w:tc>
          <w:tcPr>
            <w:tcW w:w="7523" w:type="dxa"/>
            <w:gridSpan w:val="2"/>
          </w:tcPr>
          <w:p w14:paraId="1EF94876" w14:textId="77777777" w:rsidR="00B15CDD" w:rsidRPr="00601B12" w:rsidRDefault="00B15CDD" w:rsidP="00A660AD">
            <w:pPr>
              <w:pStyle w:val="NumberedParagraph"/>
              <w:tabs>
                <w:tab w:val="clear" w:pos="720"/>
              </w:tabs>
              <w:jc w:val="both"/>
              <w:rPr>
                <w:rFonts w:eastAsia="MS Mincho"/>
                <w:i/>
                <w:lang w:eastAsia="ja-JP"/>
              </w:rPr>
            </w:pPr>
            <w:r w:rsidRPr="00601B12">
              <w:rPr>
                <w:rFonts w:eastAsia="MS Mincho"/>
                <w:i/>
                <w:lang w:eastAsia="ja-JP"/>
              </w:rPr>
              <w:t xml:space="preserve">We will seek to report annually on stewardship activity through a specific section in the Funds’ annual report and accounts and on our website. </w:t>
            </w:r>
          </w:p>
          <w:p w14:paraId="5C5D8D44" w14:textId="77777777" w:rsidR="00B15CDD" w:rsidRPr="00601B12" w:rsidRDefault="00B15CDD" w:rsidP="00A660AD">
            <w:pPr>
              <w:autoSpaceDE w:val="0"/>
              <w:autoSpaceDN w:val="0"/>
              <w:adjustRightInd w:val="0"/>
              <w:spacing w:before="60" w:after="60"/>
              <w:jc w:val="both"/>
              <w:rPr>
                <w:rFonts w:ascii="Arial" w:hAnsi="Arial" w:cs="Arial"/>
                <w:i/>
              </w:rPr>
            </w:pPr>
            <w:r w:rsidRPr="00601B12">
              <w:rPr>
                <w:rFonts w:ascii="Arial" w:hAnsi="Arial" w:cs="Arial"/>
                <w:i/>
              </w:rPr>
              <w:t>We also report annually on stewardship issues to the Pension Committee.</w:t>
            </w:r>
          </w:p>
          <w:p w14:paraId="0C013E9A" w14:textId="77777777" w:rsidR="00B15CDD" w:rsidRPr="00601B12" w:rsidRDefault="00B15CDD" w:rsidP="00A660AD">
            <w:pPr>
              <w:spacing w:before="60" w:after="60"/>
              <w:rPr>
                <w:rFonts w:ascii="Arial" w:hAnsi="Arial" w:cs="Arial"/>
                <w:i/>
              </w:rPr>
            </w:pPr>
          </w:p>
        </w:tc>
      </w:tr>
    </w:tbl>
    <w:p w14:paraId="5F3DE73A" w14:textId="77777777" w:rsidR="00B15CDD" w:rsidRPr="00601B12" w:rsidRDefault="00B15CDD" w:rsidP="00B15CDD">
      <w:pPr>
        <w:rPr>
          <w:rFonts w:ascii="Arial" w:hAnsi="Arial" w:cs="Arial"/>
          <w:i/>
        </w:rPr>
      </w:pPr>
    </w:p>
    <w:p w14:paraId="64DC77EE" w14:textId="77777777" w:rsidR="00B15CDD" w:rsidRPr="00601B12" w:rsidRDefault="00B15CDD" w:rsidP="00B15CDD">
      <w:pPr>
        <w:spacing w:after="200" w:line="276" w:lineRule="auto"/>
        <w:rPr>
          <w:rFonts w:ascii="Arial" w:hAnsi="Arial" w:cs="Arial"/>
          <w:b/>
          <w:color w:val="C00000"/>
          <w:sz w:val="22"/>
          <w:szCs w:val="22"/>
        </w:rPr>
      </w:pPr>
    </w:p>
    <w:p w14:paraId="78F1D9D2" w14:textId="77777777" w:rsidR="00B15CDD" w:rsidRDefault="00B15CDD" w:rsidP="00B15CDD"/>
    <w:p w14:paraId="713E50DC" w14:textId="77777777" w:rsidR="00B15CDD" w:rsidRPr="00824A03" w:rsidRDefault="00B15CDD" w:rsidP="00B15CDD"/>
    <w:p w14:paraId="53CB70CC" w14:textId="3EB32F81" w:rsidR="00A904EB" w:rsidRDefault="00A904EB">
      <w:pPr>
        <w:spacing w:after="200" w:line="276" w:lineRule="auto"/>
        <w:rPr>
          <w:rFonts w:ascii="Arial" w:hAnsi="Arial" w:cs="Arial"/>
          <w:b/>
          <w:color w:val="C00000"/>
          <w:sz w:val="28"/>
          <w:szCs w:val="28"/>
        </w:rPr>
      </w:pPr>
    </w:p>
    <w:p w14:paraId="7B324931" w14:textId="532EDB21" w:rsidR="00A904EB" w:rsidRDefault="00A904EB">
      <w:pPr>
        <w:spacing w:after="200" w:line="276" w:lineRule="auto"/>
        <w:rPr>
          <w:rFonts w:ascii="Arial" w:hAnsi="Arial" w:cs="Arial"/>
          <w:b/>
          <w:color w:val="C00000"/>
          <w:sz w:val="28"/>
          <w:szCs w:val="28"/>
        </w:rPr>
      </w:pPr>
    </w:p>
    <w:p w14:paraId="4799646B" w14:textId="77777777" w:rsidR="00A904EB" w:rsidRDefault="00A904EB">
      <w:pPr>
        <w:spacing w:after="200" w:line="276" w:lineRule="auto"/>
        <w:rPr>
          <w:rFonts w:ascii="Arial" w:hAnsi="Arial" w:cs="Arial"/>
          <w:b/>
          <w:color w:val="C00000"/>
          <w:sz w:val="22"/>
          <w:szCs w:val="22"/>
        </w:rPr>
      </w:pPr>
    </w:p>
    <w:p w14:paraId="517C37F9" w14:textId="257C37E1" w:rsidR="0027383C" w:rsidRDefault="0027383C">
      <w:pPr>
        <w:spacing w:after="200" w:line="276" w:lineRule="auto"/>
        <w:rPr>
          <w:rFonts w:ascii="Arial" w:hAnsi="Arial" w:cs="Arial"/>
          <w:b/>
          <w:color w:val="C00000"/>
          <w:sz w:val="22"/>
          <w:szCs w:val="22"/>
        </w:rPr>
      </w:pPr>
    </w:p>
    <w:p w14:paraId="29788636" w14:textId="0FC1866F" w:rsidR="0027383C" w:rsidRDefault="0027383C">
      <w:pPr>
        <w:spacing w:after="200" w:line="276" w:lineRule="auto"/>
        <w:rPr>
          <w:rFonts w:ascii="Arial" w:hAnsi="Arial" w:cs="Arial"/>
          <w:b/>
          <w:color w:val="C00000"/>
          <w:sz w:val="22"/>
          <w:szCs w:val="22"/>
        </w:rPr>
      </w:pPr>
    </w:p>
    <w:p w14:paraId="0E4F0860" w14:textId="77777777" w:rsidR="0027383C" w:rsidRPr="00601B12" w:rsidRDefault="0027383C">
      <w:pPr>
        <w:spacing w:after="200" w:line="276" w:lineRule="auto"/>
        <w:rPr>
          <w:rFonts w:ascii="Arial" w:hAnsi="Arial" w:cs="Arial"/>
          <w:b/>
          <w:color w:val="C00000"/>
          <w:sz w:val="22"/>
          <w:szCs w:val="22"/>
        </w:rPr>
      </w:pPr>
    </w:p>
    <w:p w14:paraId="6D16380C" w14:textId="77777777" w:rsidR="00897436" w:rsidRDefault="00897436">
      <w:pPr>
        <w:spacing w:after="200" w:line="276" w:lineRule="auto"/>
        <w:rPr>
          <w:rFonts w:ascii="Arial" w:hAnsi="Arial" w:cs="Arial"/>
          <w:b/>
          <w:color w:val="C00000"/>
          <w:sz w:val="28"/>
          <w:szCs w:val="28"/>
        </w:rPr>
      </w:pPr>
    </w:p>
    <w:p w14:paraId="703F1D3D" w14:textId="77777777" w:rsidR="004642E4" w:rsidRDefault="004642E4">
      <w:pPr>
        <w:spacing w:after="200" w:line="276" w:lineRule="auto"/>
        <w:rPr>
          <w:rFonts w:ascii="Arial" w:hAnsi="Arial" w:cs="Arial"/>
          <w:b/>
          <w:color w:val="C00000"/>
          <w:sz w:val="28"/>
          <w:szCs w:val="28"/>
        </w:rPr>
      </w:pPr>
    </w:p>
    <w:p w14:paraId="14CE64A4" w14:textId="77777777" w:rsidR="004642E4" w:rsidRDefault="004642E4">
      <w:pPr>
        <w:spacing w:after="200" w:line="276" w:lineRule="auto"/>
        <w:rPr>
          <w:rFonts w:ascii="Arial" w:hAnsi="Arial" w:cs="Arial"/>
          <w:b/>
          <w:color w:val="C00000"/>
          <w:sz w:val="28"/>
          <w:szCs w:val="28"/>
        </w:rPr>
      </w:pPr>
    </w:p>
    <w:p w14:paraId="5388484C" w14:textId="77777777" w:rsidR="004642E4" w:rsidRDefault="004642E4">
      <w:pPr>
        <w:spacing w:after="200" w:line="276" w:lineRule="auto"/>
        <w:rPr>
          <w:rFonts w:ascii="Arial" w:hAnsi="Arial" w:cs="Arial"/>
          <w:b/>
          <w:color w:val="C00000"/>
          <w:sz w:val="28"/>
          <w:szCs w:val="28"/>
        </w:rPr>
      </w:pPr>
    </w:p>
    <w:p w14:paraId="79EE7E3E" w14:textId="77777777" w:rsidR="004642E4" w:rsidRPr="00601B12" w:rsidRDefault="004642E4">
      <w:pPr>
        <w:spacing w:after="200" w:line="276" w:lineRule="auto"/>
        <w:rPr>
          <w:rFonts w:ascii="Arial" w:hAnsi="Arial" w:cs="Arial"/>
          <w:b/>
          <w:color w:val="C00000"/>
          <w:sz w:val="28"/>
          <w:szCs w:val="28"/>
        </w:rPr>
      </w:pPr>
    </w:p>
    <w:p w14:paraId="6D16380D" w14:textId="77777777" w:rsidR="00427FA7" w:rsidRPr="00601B12" w:rsidRDefault="00427FA7" w:rsidP="00427FA7">
      <w:pPr>
        <w:rPr>
          <w:rFonts w:ascii="Arial" w:hAnsi="Arial" w:cs="Arial"/>
          <w:b/>
          <w:bCs/>
          <w:color w:val="C00000"/>
          <w:sz w:val="28"/>
          <w:szCs w:val="28"/>
        </w:rPr>
      </w:pPr>
      <w:r w:rsidRPr="00601B12">
        <w:rPr>
          <w:rFonts w:ascii="Arial" w:hAnsi="Arial" w:cs="Arial"/>
          <w:b/>
          <w:color w:val="C00000"/>
          <w:sz w:val="28"/>
          <w:szCs w:val="28"/>
        </w:rPr>
        <w:t xml:space="preserve">Appendix </w:t>
      </w:r>
      <w:r w:rsidR="00AF17F2" w:rsidRPr="00601B12">
        <w:rPr>
          <w:rFonts w:ascii="Arial" w:hAnsi="Arial" w:cs="Arial"/>
          <w:b/>
          <w:color w:val="C00000"/>
          <w:sz w:val="28"/>
          <w:szCs w:val="28"/>
        </w:rPr>
        <w:t>5</w:t>
      </w:r>
      <w:r w:rsidRPr="00601B12">
        <w:rPr>
          <w:rFonts w:ascii="Arial" w:hAnsi="Arial" w:cs="Arial"/>
          <w:b/>
          <w:color w:val="C00000"/>
          <w:sz w:val="28"/>
          <w:szCs w:val="28"/>
        </w:rPr>
        <w:t xml:space="preserve">: </w:t>
      </w:r>
      <w:r w:rsidRPr="00601B12">
        <w:rPr>
          <w:rFonts w:ascii="Arial" w:hAnsi="Arial" w:cs="Arial"/>
          <w:b/>
          <w:bCs/>
          <w:color w:val="C00000"/>
          <w:sz w:val="28"/>
          <w:szCs w:val="28"/>
        </w:rPr>
        <w:t>Communications Policy Statement</w:t>
      </w:r>
    </w:p>
    <w:p w14:paraId="6D16380E" w14:textId="77777777" w:rsidR="00260EEE" w:rsidRPr="00601B12" w:rsidRDefault="00260EEE" w:rsidP="00427FA7">
      <w:pPr>
        <w:rPr>
          <w:rFonts w:ascii="Arial" w:hAnsi="Arial" w:cs="Arial"/>
          <w:b/>
          <w:color w:val="C00000"/>
          <w:sz w:val="22"/>
          <w:szCs w:val="22"/>
        </w:rPr>
      </w:pPr>
    </w:p>
    <w:p w14:paraId="6D16380F" w14:textId="77777777" w:rsidR="00427FA7" w:rsidRPr="00601B12"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601B12">
        <w:rPr>
          <w:rFonts w:ascii="Arial" w:hAnsi="Arial" w:cs="Arial"/>
          <w:b/>
          <w:bCs/>
          <w:color w:val="000000"/>
        </w:rPr>
        <w:t>1.</w:t>
      </w:r>
      <w:r w:rsidRPr="00601B12">
        <w:rPr>
          <w:rFonts w:ascii="Arial" w:hAnsi="Arial" w:cs="Arial"/>
          <w:b/>
          <w:bCs/>
          <w:color w:val="000000"/>
        </w:rPr>
        <w:tab/>
        <w:t>Introduction</w:t>
      </w:r>
    </w:p>
    <w:p w14:paraId="6D163810" w14:textId="77777777" w:rsidR="00427FA7" w:rsidRPr="00601B12" w:rsidRDefault="00427FA7" w:rsidP="00427FA7">
      <w:pPr>
        <w:autoSpaceDE w:val="0"/>
        <w:autoSpaceDN w:val="0"/>
        <w:adjustRightInd w:val="0"/>
        <w:jc w:val="both"/>
        <w:rPr>
          <w:rFonts w:ascii="Arial" w:hAnsi="Arial" w:cs="Arial"/>
          <w:b/>
          <w:bCs/>
          <w:color w:val="000000"/>
          <w:sz w:val="22"/>
          <w:szCs w:val="22"/>
        </w:rPr>
      </w:pPr>
    </w:p>
    <w:p w14:paraId="6D163811"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This is the Communications Policy Statement of LB of Barking and Dagenham Pension Fund, administered by LB of Barking and Dagenham (the Administering Authority).</w:t>
      </w:r>
    </w:p>
    <w:p w14:paraId="6D163812"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13"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The Fund liaises with over </w:t>
      </w:r>
      <w:r w:rsidR="00A623BA" w:rsidRPr="00601B12">
        <w:rPr>
          <w:rFonts w:ascii="Arial" w:hAnsi="Arial" w:cs="Arial"/>
          <w:color w:val="000000"/>
          <w:sz w:val="22"/>
          <w:szCs w:val="22"/>
        </w:rPr>
        <w:t>30</w:t>
      </w:r>
      <w:r w:rsidRPr="00601B12">
        <w:rPr>
          <w:rFonts w:ascii="Arial" w:hAnsi="Arial" w:cs="Arial"/>
          <w:color w:val="000000"/>
          <w:sz w:val="22"/>
          <w:szCs w:val="22"/>
        </w:rPr>
        <w:t xml:space="preserve"> employers and approximately </w:t>
      </w:r>
      <w:r w:rsidR="00A623BA" w:rsidRPr="00601B12">
        <w:rPr>
          <w:rFonts w:ascii="Arial" w:hAnsi="Arial" w:cs="Arial"/>
          <w:color w:val="000000"/>
          <w:sz w:val="22"/>
          <w:szCs w:val="22"/>
        </w:rPr>
        <w:t>18</w:t>
      </w:r>
      <w:r w:rsidR="00D46B55" w:rsidRPr="00601B12">
        <w:rPr>
          <w:rFonts w:ascii="Arial" w:hAnsi="Arial" w:cs="Arial"/>
          <w:color w:val="000000"/>
          <w:sz w:val="22"/>
          <w:szCs w:val="22"/>
        </w:rPr>
        <w:t>,</w:t>
      </w:r>
      <w:r w:rsidR="00A623BA" w:rsidRPr="00601B12">
        <w:rPr>
          <w:rFonts w:ascii="Arial" w:hAnsi="Arial" w:cs="Arial"/>
          <w:color w:val="000000"/>
          <w:sz w:val="22"/>
          <w:szCs w:val="22"/>
        </w:rPr>
        <w:t>0</w:t>
      </w:r>
      <w:r w:rsidR="00C820DD" w:rsidRPr="00601B12">
        <w:rPr>
          <w:rFonts w:ascii="Arial" w:hAnsi="Arial" w:cs="Arial"/>
          <w:color w:val="000000"/>
          <w:sz w:val="22"/>
          <w:szCs w:val="22"/>
        </w:rPr>
        <w:t>00</w:t>
      </w:r>
      <w:r w:rsidRPr="00601B12">
        <w:rPr>
          <w:rFonts w:ascii="Arial" w:hAnsi="Arial" w:cs="Arial"/>
          <w:color w:val="000000"/>
          <w:sz w:val="22"/>
          <w:szCs w:val="22"/>
        </w:rPr>
        <w:t xml:space="preserve"> scheme members in relation to the Local Government Pension Scheme. The delivery of the benefits involves communication with </w:t>
      </w:r>
      <w:proofErr w:type="gramStart"/>
      <w:r w:rsidRPr="00601B12">
        <w:rPr>
          <w:rFonts w:ascii="Arial" w:hAnsi="Arial" w:cs="Arial"/>
          <w:color w:val="000000"/>
          <w:sz w:val="22"/>
          <w:szCs w:val="22"/>
        </w:rPr>
        <w:t>a number of</w:t>
      </w:r>
      <w:proofErr w:type="gramEnd"/>
      <w:r w:rsidRPr="00601B12">
        <w:rPr>
          <w:rFonts w:ascii="Arial" w:hAnsi="Arial" w:cs="Arial"/>
          <w:color w:val="000000"/>
          <w:sz w:val="22"/>
          <w:szCs w:val="22"/>
        </w:rPr>
        <w:t xml:space="preserve"> other interested parties. This statement provides an overview of how we communicate and how we intend to measure whether our communications are successful.  It is effective from 1 April 20</w:t>
      </w:r>
      <w:r w:rsidR="00C820DD" w:rsidRPr="00601B12">
        <w:rPr>
          <w:rFonts w:ascii="Arial" w:hAnsi="Arial" w:cs="Arial"/>
          <w:color w:val="000000"/>
          <w:sz w:val="22"/>
          <w:szCs w:val="22"/>
        </w:rPr>
        <w:t>1</w:t>
      </w:r>
      <w:r w:rsidR="00A623BA" w:rsidRPr="00601B12">
        <w:rPr>
          <w:rFonts w:ascii="Arial" w:hAnsi="Arial" w:cs="Arial"/>
          <w:color w:val="000000"/>
          <w:sz w:val="22"/>
          <w:szCs w:val="22"/>
        </w:rPr>
        <w:t>7</w:t>
      </w:r>
      <w:r w:rsidRPr="00601B12">
        <w:rPr>
          <w:rFonts w:ascii="Arial" w:hAnsi="Arial" w:cs="Arial"/>
          <w:color w:val="000000"/>
          <w:sz w:val="22"/>
          <w:szCs w:val="22"/>
        </w:rPr>
        <w:t>.</w:t>
      </w:r>
    </w:p>
    <w:p w14:paraId="6D163814" w14:textId="77777777" w:rsidR="00427FA7" w:rsidRPr="00601B12" w:rsidRDefault="00427FA7" w:rsidP="00427FA7">
      <w:pPr>
        <w:autoSpaceDE w:val="0"/>
        <w:autoSpaceDN w:val="0"/>
        <w:adjustRightInd w:val="0"/>
        <w:ind w:left="153"/>
        <w:jc w:val="both"/>
        <w:rPr>
          <w:rFonts w:ascii="Arial" w:hAnsi="Arial" w:cs="Arial"/>
          <w:color w:val="000000"/>
          <w:sz w:val="22"/>
          <w:szCs w:val="22"/>
        </w:rPr>
      </w:pPr>
    </w:p>
    <w:p w14:paraId="6D163815"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This policy statement is required by the provisions of Regulation 67 of the Local Government Pension Scheme (Administration) Regulations 2008 and Regulation 106B of the Local Government Pension Scheme Regulations 1997. The provision requires us to:</w:t>
      </w:r>
    </w:p>
    <w:p w14:paraId="6D163816" w14:textId="77777777" w:rsidR="00427FA7" w:rsidRPr="00601B12" w:rsidRDefault="00427FA7" w:rsidP="00427FA7">
      <w:pPr>
        <w:autoSpaceDE w:val="0"/>
        <w:autoSpaceDN w:val="0"/>
        <w:adjustRightInd w:val="0"/>
        <w:ind w:left="153"/>
        <w:jc w:val="both"/>
        <w:rPr>
          <w:rFonts w:ascii="Arial" w:hAnsi="Arial" w:cs="Arial"/>
          <w:i/>
          <w:iCs/>
          <w:color w:val="000000"/>
          <w:sz w:val="22"/>
          <w:szCs w:val="22"/>
        </w:rPr>
      </w:pPr>
      <w:r w:rsidRPr="00601B12">
        <w:rPr>
          <w:rFonts w:ascii="Arial" w:hAnsi="Arial" w:cs="Arial"/>
          <w:color w:val="000000"/>
          <w:sz w:val="22"/>
          <w:szCs w:val="22"/>
        </w:rPr>
        <w:t>“</w:t>
      </w:r>
      <w:proofErr w:type="gramStart"/>
      <w:r w:rsidRPr="00601B12">
        <w:rPr>
          <w:rFonts w:ascii="Arial" w:hAnsi="Arial" w:cs="Arial"/>
          <w:i/>
          <w:iCs/>
          <w:color w:val="000000"/>
          <w:sz w:val="22"/>
          <w:szCs w:val="22"/>
        </w:rPr>
        <w:t>….prepare</w:t>
      </w:r>
      <w:proofErr w:type="gramEnd"/>
      <w:r w:rsidRPr="00601B12">
        <w:rPr>
          <w:rFonts w:ascii="Arial" w:hAnsi="Arial" w:cs="Arial"/>
          <w:i/>
          <w:iCs/>
          <w:color w:val="000000"/>
          <w:sz w:val="22"/>
          <w:szCs w:val="22"/>
        </w:rPr>
        <w:t>, maintain and publish a written statement setting out their policy concerning communications with:</w:t>
      </w:r>
    </w:p>
    <w:p w14:paraId="6D163817" w14:textId="77777777" w:rsidR="00427FA7" w:rsidRPr="00601B12" w:rsidRDefault="00427FA7" w:rsidP="00427FA7">
      <w:pPr>
        <w:autoSpaceDE w:val="0"/>
        <w:autoSpaceDN w:val="0"/>
        <w:adjustRightInd w:val="0"/>
        <w:ind w:left="153"/>
        <w:jc w:val="both"/>
        <w:rPr>
          <w:rFonts w:ascii="Arial" w:hAnsi="Arial" w:cs="Arial"/>
          <w:i/>
          <w:iCs/>
          <w:color w:val="000000"/>
          <w:sz w:val="22"/>
          <w:szCs w:val="22"/>
        </w:rPr>
      </w:pPr>
    </w:p>
    <w:p w14:paraId="6D163818" w14:textId="77777777" w:rsidR="00427FA7" w:rsidRPr="00601B12" w:rsidRDefault="00427FA7" w:rsidP="00427FA7">
      <w:pPr>
        <w:autoSpaceDE w:val="0"/>
        <w:autoSpaceDN w:val="0"/>
        <w:adjustRightInd w:val="0"/>
        <w:ind w:left="153"/>
        <w:jc w:val="both"/>
        <w:rPr>
          <w:rFonts w:ascii="Arial" w:hAnsi="Arial" w:cs="Arial"/>
          <w:i/>
          <w:iCs/>
          <w:color w:val="000000"/>
          <w:sz w:val="22"/>
          <w:szCs w:val="22"/>
        </w:rPr>
      </w:pPr>
      <w:r w:rsidRPr="00601B12">
        <w:rPr>
          <w:rFonts w:ascii="Arial" w:hAnsi="Arial" w:cs="Arial"/>
          <w:i/>
          <w:iCs/>
          <w:color w:val="000000"/>
          <w:sz w:val="22"/>
          <w:szCs w:val="22"/>
        </w:rPr>
        <w:t>(a) members.</w:t>
      </w:r>
    </w:p>
    <w:p w14:paraId="6D163819" w14:textId="77777777" w:rsidR="00427FA7" w:rsidRPr="00601B12" w:rsidRDefault="00427FA7" w:rsidP="00427FA7">
      <w:pPr>
        <w:autoSpaceDE w:val="0"/>
        <w:autoSpaceDN w:val="0"/>
        <w:adjustRightInd w:val="0"/>
        <w:ind w:left="153"/>
        <w:jc w:val="both"/>
        <w:rPr>
          <w:rFonts w:ascii="Arial" w:hAnsi="Arial" w:cs="Arial"/>
          <w:i/>
          <w:iCs/>
          <w:color w:val="000000"/>
          <w:sz w:val="22"/>
          <w:szCs w:val="22"/>
        </w:rPr>
      </w:pPr>
      <w:r w:rsidRPr="00601B12">
        <w:rPr>
          <w:rFonts w:ascii="Arial" w:hAnsi="Arial" w:cs="Arial"/>
          <w:i/>
          <w:iCs/>
          <w:color w:val="000000"/>
          <w:sz w:val="22"/>
          <w:szCs w:val="22"/>
        </w:rPr>
        <w:t>(b) representatives of members.</w:t>
      </w:r>
    </w:p>
    <w:p w14:paraId="6D16381A" w14:textId="77777777" w:rsidR="00427FA7" w:rsidRPr="00601B12" w:rsidRDefault="00427FA7" w:rsidP="00427FA7">
      <w:pPr>
        <w:autoSpaceDE w:val="0"/>
        <w:autoSpaceDN w:val="0"/>
        <w:adjustRightInd w:val="0"/>
        <w:ind w:left="153"/>
        <w:jc w:val="both"/>
        <w:rPr>
          <w:rFonts w:ascii="Arial" w:hAnsi="Arial" w:cs="Arial"/>
          <w:i/>
          <w:iCs/>
          <w:color w:val="000000"/>
          <w:sz w:val="22"/>
          <w:szCs w:val="22"/>
        </w:rPr>
      </w:pPr>
      <w:r w:rsidRPr="00601B12">
        <w:rPr>
          <w:rFonts w:ascii="Arial" w:hAnsi="Arial" w:cs="Arial"/>
          <w:i/>
          <w:iCs/>
          <w:color w:val="000000"/>
          <w:sz w:val="22"/>
          <w:szCs w:val="22"/>
        </w:rPr>
        <w:t>(c) prospective members.</w:t>
      </w:r>
    </w:p>
    <w:p w14:paraId="6D16381B" w14:textId="77777777" w:rsidR="00427FA7" w:rsidRPr="00601B12" w:rsidRDefault="00427FA7" w:rsidP="00427FA7">
      <w:pPr>
        <w:autoSpaceDE w:val="0"/>
        <w:autoSpaceDN w:val="0"/>
        <w:adjustRightInd w:val="0"/>
        <w:ind w:left="153"/>
        <w:jc w:val="both"/>
        <w:rPr>
          <w:rFonts w:ascii="Arial" w:hAnsi="Arial" w:cs="Arial"/>
          <w:i/>
          <w:iCs/>
          <w:color w:val="000000"/>
          <w:sz w:val="22"/>
          <w:szCs w:val="22"/>
        </w:rPr>
      </w:pPr>
      <w:r w:rsidRPr="00601B12">
        <w:rPr>
          <w:rFonts w:ascii="Arial" w:hAnsi="Arial" w:cs="Arial"/>
          <w:i/>
          <w:iCs/>
          <w:color w:val="000000"/>
          <w:sz w:val="22"/>
          <w:szCs w:val="22"/>
        </w:rPr>
        <w:t>(d) employing authorities.”</w:t>
      </w:r>
    </w:p>
    <w:p w14:paraId="6D16381C" w14:textId="77777777" w:rsidR="00427FA7" w:rsidRPr="00601B12" w:rsidRDefault="00427FA7" w:rsidP="00427FA7">
      <w:pPr>
        <w:autoSpaceDE w:val="0"/>
        <w:autoSpaceDN w:val="0"/>
        <w:adjustRightInd w:val="0"/>
        <w:ind w:left="153"/>
        <w:jc w:val="both"/>
        <w:rPr>
          <w:rFonts w:ascii="Arial" w:hAnsi="Arial" w:cs="Arial"/>
          <w:i/>
          <w:iCs/>
          <w:color w:val="000000"/>
          <w:sz w:val="22"/>
          <w:szCs w:val="22"/>
        </w:rPr>
      </w:pPr>
    </w:p>
    <w:p w14:paraId="6D16381D" w14:textId="77777777" w:rsidR="00427FA7" w:rsidRPr="00601B12" w:rsidRDefault="00427FA7" w:rsidP="00427FA7">
      <w:pPr>
        <w:autoSpaceDE w:val="0"/>
        <w:autoSpaceDN w:val="0"/>
        <w:adjustRightInd w:val="0"/>
        <w:ind w:left="153"/>
        <w:jc w:val="both"/>
        <w:rPr>
          <w:rFonts w:ascii="Arial" w:hAnsi="Arial" w:cs="Arial"/>
          <w:i/>
          <w:iCs/>
          <w:color w:val="000000"/>
          <w:sz w:val="22"/>
          <w:szCs w:val="22"/>
        </w:rPr>
      </w:pPr>
      <w:r w:rsidRPr="00601B12">
        <w:rPr>
          <w:rFonts w:ascii="Arial" w:hAnsi="Arial" w:cs="Arial"/>
          <w:i/>
          <w:iCs/>
          <w:color w:val="000000"/>
          <w:sz w:val="22"/>
          <w:szCs w:val="22"/>
        </w:rPr>
        <w:t xml:space="preserve">In </w:t>
      </w:r>
      <w:proofErr w:type="gramStart"/>
      <w:r w:rsidRPr="00601B12">
        <w:rPr>
          <w:rFonts w:ascii="Arial" w:hAnsi="Arial" w:cs="Arial"/>
          <w:i/>
          <w:iCs/>
          <w:color w:val="000000"/>
          <w:sz w:val="22"/>
          <w:szCs w:val="22"/>
        </w:rPr>
        <w:t>addition</w:t>
      </w:r>
      <w:proofErr w:type="gramEnd"/>
      <w:r w:rsidRPr="00601B12">
        <w:rPr>
          <w:rFonts w:ascii="Arial" w:hAnsi="Arial" w:cs="Arial"/>
          <w:i/>
          <w:iCs/>
          <w:color w:val="000000"/>
          <w:sz w:val="22"/>
          <w:szCs w:val="22"/>
        </w:rPr>
        <w:t xml:space="preserve"> it specifies that the statement must include information relating to:</w:t>
      </w:r>
    </w:p>
    <w:p w14:paraId="6D16381E" w14:textId="77777777" w:rsidR="00427FA7" w:rsidRPr="00601B12" w:rsidRDefault="00427FA7" w:rsidP="00427FA7">
      <w:pPr>
        <w:autoSpaceDE w:val="0"/>
        <w:autoSpaceDN w:val="0"/>
        <w:adjustRightInd w:val="0"/>
        <w:ind w:left="153"/>
        <w:jc w:val="both"/>
        <w:rPr>
          <w:rFonts w:ascii="Arial" w:hAnsi="Arial" w:cs="Arial"/>
          <w:i/>
          <w:iCs/>
          <w:color w:val="000000"/>
          <w:sz w:val="22"/>
          <w:szCs w:val="22"/>
        </w:rPr>
      </w:pPr>
    </w:p>
    <w:p w14:paraId="6D16381F" w14:textId="77777777" w:rsidR="00427FA7" w:rsidRPr="00601B12" w:rsidRDefault="00427FA7" w:rsidP="007D104E">
      <w:pPr>
        <w:autoSpaceDE w:val="0"/>
        <w:autoSpaceDN w:val="0"/>
        <w:adjustRightInd w:val="0"/>
        <w:jc w:val="both"/>
        <w:rPr>
          <w:rFonts w:ascii="Arial" w:hAnsi="Arial" w:cs="Arial"/>
          <w:i/>
          <w:iCs/>
          <w:color w:val="000000"/>
          <w:sz w:val="22"/>
          <w:szCs w:val="22"/>
        </w:rPr>
      </w:pPr>
      <w:r w:rsidRPr="00601B12">
        <w:rPr>
          <w:rFonts w:ascii="Arial" w:hAnsi="Arial" w:cs="Arial"/>
          <w:i/>
          <w:iCs/>
          <w:color w:val="000000"/>
          <w:sz w:val="22"/>
          <w:szCs w:val="22"/>
        </w:rPr>
        <w:t>“(a) the provision of information and publicity about the Scheme to members, representatives of</w:t>
      </w:r>
    </w:p>
    <w:p w14:paraId="6D163820" w14:textId="77777777" w:rsidR="00427FA7" w:rsidRPr="00601B12" w:rsidRDefault="00427FA7" w:rsidP="007D104E">
      <w:pPr>
        <w:autoSpaceDE w:val="0"/>
        <w:autoSpaceDN w:val="0"/>
        <w:adjustRightInd w:val="0"/>
        <w:jc w:val="both"/>
        <w:rPr>
          <w:rFonts w:ascii="Arial" w:hAnsi="Arial" w:cs="Arial"/>
          <w:i/>
          <w:iCs/>
          <w:color w:val="000000"/>
          <w:sz w:val="22"/>
          <w:szCs w:val="22"/>
        </w:rPr>
      </w:pPr>
      <w:r w:rsidRPr="00601B12">
        <w:rPr>
          <w:rFonts w:ascii="Arial" w:hAnsi="Arial" w:cs="Arial"/>
          <w:i/>
          <w:iCs/>
          <w:color w:val="000000"/>
          <w:sz w:val="22"/>
          <w:szCs w:val="22"/>
        </w:rPr>
        <w:t xml:space="preserve">members and employing </w:t>
      </w:r>
      <w:proofErr w:type="gramStart"/>
      <w:r w:rsidRPr="00601B12">
        <w:rPr>
          <w:rFonts w:ascii="Arial" w:hAnsi="Arial" w:cs="Arial"/>
          <w:i/>
          <w:iCs/>
          <w:color w:val="000000"/>
          <w:sz w:val="22"/>
          <w:szCs w:val="22"/>
        </w:rPr>
        <w:t>authorities;</w:t>
      </w:r>
      <w:proofErr w:type="gramEnd"/>
    </w:p>
    <w:p w14:paraId="6D163821" w14:textId="77777777" w:rsidR="00427FA7" w:rsidRPr="00601B12" w:rsidRDefault="00427FA7" w:rsidP="007D104E">
      <w:pPr>
        <w:autoSpaceDE w:val="0"/>
        <w:autoSpaceDN w:val="0"/>
        <w:adjustRightInd w:val="0"/>
        <w:jc w:val="both"/>
        <w:rPr>
          <w:rFonts w:ascii="Arial" w:hAnsi="Arial" w:cs="Arial"/>
          <w:i/>
          <w:iCs/>
          <w:color w:val="000000"/>
          <w:sz w:val="22"/>
          <w:szCs w:val="22"/>
        </w:rPr>
      </w:pPr>
      <w:r w:rsidRPr="00601B12">
        <w:rPr>
          <w:rFonts w:ascii="Arial" w:hAnsi="Arial" w:cs="Arial"/>
          <w:i/>
          <w:iCs/>
          <w:color w:val="000000"/>
          <w:sz w:val="22"/>
          <w:szCs w:val="22"/>
        </w:rPr>
        <w:t xml:space="preserve">(b) the format, </w:t>
      </w:r>
      <w:proofErr w:type="gramStart"/>
      <w:r w:rsidRPr="00601B12">
        <w:rPr>
          <w:rFonts w:ascii="Arial" w:hAnsi="Arial" w:cs="Arial"/>
          <w:i/>
          <w:iCs/>
          <w:color w:val="000000"/>
          <w:sz w:val="22"/>
          <w:szCs w:val="22"/>
        </w:rPr>
        <w:t>frequency</w:t>
      </w:r>
      <w:proofErr w:type="gramEnd"/>
      <w:r w:rsidRPr="00601B12">
        <w:rPr>
          <w:rFonts w:ascii="Arial" w:hAnsi="Arial" w:cs="Arial"/>
          <w:i/>
          <w:iCs/>
          <w:color w:val="000000"/>
          <w:sz w:val="22"/>
          <w:szCs w:val="22"/>
        </w:rPr>
        <w:t xml:space="preserve"> and method of distributing such information or publicity; and</w:t>
      </w:r>
    </w:p>
    <w:p w14:paraId="6D163822" w14:textId="77777777" w:rsidR="00427FA7" w:rsidRPr="00601B12" w:rsidRDefault="00427FA7" w:rsidP="007D104E">
      <w:pPr>
        <w:autoSpaceDE w:val="0"/>
        <w:autoSpaceDN w:val="0"/>
        <w:adjustRightInd w:val="0"/>
        <w:jc w:val="both"/>
        <w:rPr>
          <w:rFonts w:ascii="Arial" w:hAnsi="Arial" w:cs="Arial"/>
          <w:color w:val="000000"/>
          <w:sz w:val="22"/>
          <w:szCs w:val="22"/>
        </w:rPr>
      </w:pPr>
      <w:r w:rsidRPr="00601B12">
        <w:rPr>
          <w:rFonts w:ascii="Arial" w:hAnsi="Arial" w:cs="Arial"/>
          <w:i/>
          <w:iCs/>
          <w:color w:val="000000"/>
          <w:sz w:val="22"/>
          <w:szCs w:val="22"/>
        </w:rPr>
        <w:t>(c) the promotion of the Scheme to prospective members and their employing authorities.</w:t>
      </w:r>
      <w:r w:rsidRPr="00601B12">
        <w:rPr>
          <w:rFonts w:ascii="Arial" w:hAnsi="Arial" w:cs="Arial"/>
          <w:color w:val="000000"/>
          <w:sz w:val="22"/>
          <w:szCs w:val="22"/>
        </w:rPr>
        <w:t>”</w:t>
      </w:r>
    </w:p>
    <w:p w14:paraId="6D163823"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24"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As a provider of an occupational pension scheme, we are already obliged to satisfy the requirements of the Occupational Pension Schemes (Disclosure of information) Regulations and other legislation, for example the Pensions Act 2004. Previously the disclosure requirements have been prescriptive, concentrating on timescales rather than quality. From </w:t>
      </w:r>
      <w:r w:rsidR="00A623BA" w:rsidRPr="00601B12">
        <w:rPr>
          <w:rFonts w:ascii="Arial" w:hAnsi="Arial" w:cs="Arial"/>
          <w:color w:val="000000"/>
          <w:sz w:val="22"/>
          <w:szCs w:val="22"/>
        </w:rPr>
        <w:t>6 April 2006 more,</w:t>
      </w:r>
      <w:r w:rsidRPr="00601B12">
        <w:rPr>
          <w:rFonts w:ascii="Arial" w:hAnsi="Arial" w:cs="Arial"/>
          <w:color w:val="000000"/>
          <w:sz w:val="22"/>
          <w:szCs w:val="22"/>
        </w:rPr>
        <w:t xml:space="preserve"> generalised disclosure requirements are to be introduced, supported by a Code of Practice. </w:t>
      </w:r>
    </w:p>
    <w:p w14:paraId="6D163825"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26"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The type of information that pension schemes are required to disclose will remain very much the same as before, although the prescriptive timescales are being replaced with a more generic requirement to provide information within a </w:t>
      </w:r>
      <w:r w:rsidRPr="00601B12">
        <w:rPr>
          <w:rFonts w:ascii="Arial" w:hAnsi="Arial" w:cs="Arial"/>
          <w:i/>
          <w:iCs/>
          <w:color w:val="000000"/>
          <w:sz w:val="22"/>
          <w:szCs w:val="22"/>
        </w:rPr>
        <w:t>“reasonable period”</w:t>
      </w:r>
      <w:r w:rsidRPr="00601B12">
        <w:rPr>
          <w:rFonts w:ascii="Arial" w:hAnsi="Arial" w:cs="Arial"/>
          <w:color w:val="000000"/>
          <w:sz w:val="22"/>
          <w:szCs w:val="22"/>
        </w:rPr>
        <w:t xml:space="preserve">. The draft Code of Practice1 issued by the Pensions Regulator in September 2005 sets out suggested timescales in which the information should be provided. While the Code itself is not a statement of the law, and no penalties can be levied for failure to comply with it, the Courts or a tribunal must take account of it when determining if any legal requirements have not been met. </w:t>
      </w:r>
    </w:p>
    <w:p w14:paraId="6D163827"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28"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A summary of our expected timescales for meeting the various disclosure of information requirements are set out in the Performance Management section of this document, alongside those proposed by the Pension Regulator in the draft Code of Practice (Code of Practice – Reasonable periods for the purposes of the Occupational Pension Schemes (Disclosure of Information) Regulations 2006 issued September 2005)</w:t>
      </w:r>
    </w:p>
    <w:p w14:paraId="6D163829"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Within the Pension Section the responsibility for communication material is performed by our Pension Manager with the assistance of the Senior Pensions Officer.  Although we write </w:t>
      </w:r>
      <w:r w:rsidR="00A623BA" w:rsidRPr="00601B12">
        <w:rPr>
          <w:rFonts w:ascii="Arial" w:hAnsi="Arial" w:cs="Arial"/>
          <w:color w:val="000000"/>
          <w:sz w:val="22"/>
          <w:szCs w:val="22"/>
        </w:rPr>
        <w:t>most</w:t>
      </w:r>
      <w:r w:rsidRPr="00601B12">
        <w:rPr>
          <w:rFonts w:ascii="Arial" w:hAnsi="Arial" w:cs="Arial"/>
          <w:color w:val="000000"/>
          <w:sz w:val="22"/>
          <w:szCs w:val="22"/>
        </w:rPr>
        <w:t xml:space="preserve"> all communication within the section, including any web based or electronic material, the design work is carried out by the Council’s publications team. We also carry out all the arrangements for forums, workshops and meetings covered within this statement.</w:t>
      </w:r>
    </w:p>
    <w:p w14:paraId="6D16382A"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2B"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Some printing is carried out by an external supplier, which is usually decided based on the most </w:t>
      </w:r>
      <w:r w:rsidR="00A623BA" w:rsidRPr="00601B12">
        <w:rPr>
          <w:rFonts w:ascii="Arial" w:hAnsi="Arial" w:cs="Arial"/>
          <w:color w:val="000000"/>
          <w:sz w:val="22"/>
          <w:szCs w:val="22"/>
        </w:rPr>
        <w:t>economical</w:t>
      </w:r>
      <w:r w:rsidRPr="00601B12">
        <w:rPr>
          <w:rFonts w:ascii="Arial" w:hAnsi="Arial" w:cs="Arial"/>
          <w:color w:val="000000"/>
          <w:sz w:val="22"/>
          <w:szCs w:val="22"/>
        </w:rPr>
        <w:t xml:space="preserve"> of three quotations from suppliers. In exceptional circumstances (either due to lack of skills or inability to meet delivery timescales), we may use external consultants to assist with the preparation or design of communications. Any such circumstances are agreed in advance with the Pensions Manager. The remainder of the printing is carried out internally by the Council’s printing department.</w:t>
      </w:r>
    </w:p>
    <w:p w14:paraId="6D16382C" w14:textId="77777777" w:rsidR="00427FA7" w:rsidRPr="00601B12" w:rsidRDefault="00427FA7" w:rsidP="00427FA7">
      <w:pPr>
        <w:autoSpaceDE w:val="0"/>
        <w:autoSpaceDN w:val="0"/>
        <w:adjustRightInd w:val="0"/>
        <w:jc w:val="both"/>
        <w:rPr>
          <w:rFonts w:ascii="Arial" w:hAnsi="Arial" w:cs="Arial"/>
          <w:b/>
          <w:bCs/>
          <w:color w:val="000000"/>
          <w:sz w:val="22"/>
          <w:szCs w:val="22"/>
        </w:rPr>
      </w:pPr>
    </w:p>
    <w:p w14:paraId="6D16382D" w14:textId="77777777" w:rsidR="00427FA7" w:rsidRPr="00601B12"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601B12">
        <w:rPr>
          <w:rFonts w:ascii="Arial" w:hAnsi="Arial" w:cs="Arial"/>
          <w:b/>
          <w:bCs/>
          <w:color w:val="000000"/>
        </w:rPr>
        <w:t>2.</w:t>
      </w:r>
      <w:r w:rsidRPr="00601B12">
        <w:rPr>
          <w:rFonts w:ascii="Arial" w:hAnsi="Arial" w:cs="Arial"/>
          <w:b/>
          <w:bCs/>
          <w:color w:val="000000"/>
        </w:rPr>
        <w:tab/>
        <w:t>Communication with key audience groups</w:t>
      </w:r>
    </w:p>
    <w:p w14:paraId="6D16382E" w14:textId="77777777" w:rsidR="00427FA7" w:rsidRPr="00601B12" w:rsidRDefault="00427FA7" w:rsidP="00427FA7">
      <w:pPr>
        <w:autoSpaceDE w:val="0"/>
        <w:autoSpaceDN w:val="0"/>
        <w:adjustRightInd w:val="0"/>
        <w:jc w:val="both"/>
        <w:rPr>
          <w:rFonts w:ascii="Arial" w:hAnsi="Arial" w:cs="Arial"/>
          <w:b/>
          <w:bCs/>
          <w:color w:val="000000"/>
          <w:sz w:val="22"/>
          <w:szCs w:val="22"/>
        </w:rPr>
      </w:pPr>
    </w:p>
    <w:p w14:paraId="6D16382F" w14:textId="77777777" w:rsidR="00427FA7" w:rsidRPr="00601B12"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601B12">
        <w:rPr>
          <w:rFonts w:ascii="Arial" w:hAnsi="Arial" w:cs="Arial"/>
          <w:b/>
          <w:bCs/>
          <w:color w:val="000000"/>
        </w:rPr>
        <w:t>2.1</w:t>
      </w:r>
      <w:r w:rsidRPr="00601B12">
        <w:rPr>
          <w:rFonts w:ascii="Arial" w:hAnsi="Arial" w:cs="Arial"/>
          <w:b/>
          <w:bCs/>
          <w:color w:val="000000"/>
        </w:rPr>
        <w:tab/>
        <w:t>Our audience</w:t>
      </w:r>
    </w:p>
    <w:p w14:paraId="6D163830" w14:textId="77777777" w:rsidR="00427FA7" w:rsidRPr="00601B12" w:rsidRDefault="00427FA7" w:rsidP="00427FA7">
      <w:pPr>
        <w:autoSpaceDE w:val="0"/>
        <w:autoSpaceDN w:val="0"/>
        <w:adjustRightInd w:val="0"/>
        <w:jc w:val="both"/>
        <w:rPr>
          <w:rFonts w:ascii="Arial" w:hAnsi="Arial" w:cs="Arial"/>
          <w:b/>
          <w:bCs/>
          <w:color w:val="000000"/>
          <w:sz w:val="22"/>
          <w:szCs w:val="22"/>
        </w:rPr>
      </w:pPr>
    </w:p>
    <w:p w14:paraId="6D163831"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We communicate with </w:t>
      </w:r>
      <w:r w:rsidR="007C1EC6" w:rsidRPr="00601B12">
        <w:rPr>
          <w:rFonts w:ascii="Arial" w:hAnsi="Arial" w:cs="Arial"/>
          <w:color w:val="000000"/>
          <w:sz w:val="22"/>
          <w:szCs w:val="22"/>
        </w:rPr>
        <w:t>most</w:t>
      </w:r>
      <w:r w:rsidRPr="00601B12">
        <w:rPr>
          <w:rFonts w:ascii="Arial" w:hAnsi="Arial" w:cs="Arial"/>
          <w:color w:val="000000"/>
          <w:sz w:val="22"/>
          <w:szCs w:val="22"/>
        </w:rPr>
        <w:t xml:space="preserve"> stakeholders. For the purposes of this communication policy statement, we are considering our communications with the following audience groups:</w:t>
      </w:r>
    </w:p>
    <w:p w14:paraId="6D163832" w14:textId="77777777" w:rsidR="00427FA7" w:rsidRPr="00601B12" w:rsidRDefault="00427FA7" w:rsidP="007D104E">
      <w:pPr>
        <w:autoSpaceDE w:val="0"/>
        <w:autoSpaceDN w:val="0"/>
        <w:adjustRightInd w:val="0"/>
        <w:ind w:left="1134" w:hanging="425"/>
        <w:jc w:val="both"/>
        <w:rPr>
          <w:rFonts w:ascii="Arial" w:hAnsi="Arial" w:cs="Arial"/>
          <w:color w:val="000000"/>
          <w:sz w:val="22"/>
          <w:szCs w:val="22"/>
        </w:rPr>
      </w:pPr>
    </w:p>
    <w:p w14:paraId="6D163833" w14:textId="77777777" w:rsidR="00427FA7" w:rsidRPr="00601B12" w:rsidRDefault="00345EF2" w:rsidP="004C17A4">
      <w:pPr>
        <w:pStyle w:val="ListParagraph"/>
        <w:numPr>
          <w:ilvl w:val="0"/>
          <w:numId w:val="17"/>
        </w:numPr>
        <w:autoSpaceDE w:val="0"/>
        <w:autoSpaceDN w:val="0"/>
        <w:adjustRightInd w:val="0"/>
        <w:spacing w:after="0" w:line="240" w:lineRule="auto"/>
        <w:ind w:left="1134" w:hanging="425"/>
        <w:jc w:val="both"/>
        <w:rPr>
          <w:rFonts w:ascii="Arial" w:hAnsi="Arial" w:cs="Arial"/>
          <w:color w:val="000000"/>
        </w:rPr>
      </w:pPr>
      <w:r w:rsidRPr="00601B12">
        <w:rPr>
          <w:rFonts w:ascii="Arial" w:hAnsi="Arial" w:cs="Arial"/>
          <w:color w:val="000000"/>
        </w:rPr>
        <w:t>active, deferred members, pensioners and p</w:t>
      </w:r>
      <w:r w:rsidR="00427FA7" w:rsidRPr="00601B12">
        <w:rPr>
          <w:rFonts w:ascii="Arial" w:hAnsi="Arial" w:cs="Arial"/>
          <w:color w:val="000000"/>
        </w:rPr>
        <w:t xml:space="preserve">rospective </w:t>
      </w:r>
      <w:proofErr w:type="gramStart"/>
      <w:r w:rsidR="00427FA7" w:rsidRPr="00601B12">
        <w:rPr>
          <w:rFonts w:ascii="Arial" w:hAnsi="Arial" w:cs="Arial"/>
          <w:color w:val="000000"/>
        </w:rPr>
        <w:t>members;</w:t>
      </w:r>
      <w:proofErr w:type="gramEnd"/>
    </w:p>
    <w:p w14:paraId="6D163834" w14:textId="77777777" w:rsidR="00427FA7" w:rsidRPr="00601B12" w:rsidRDefault="00427FA7" w:rsidP="004C17A4">
      <w:pPr>
        <w:pStyle w:val="ListParagraph"/>
        <w:numPr>
          <w:ilvl w:val="0"/>
          <w:numId w:val="17"/>
        </w:numPr>
        <w:autoSpaceDE w:val="0"/>
        <w:autoSpaceDN w:val="0"/>
        <w:adjustRightInd w:val="0"/>
        <w:spacing w:after="0" w:line="240" w:lineRule="auto"/>
        <w:ind w:left="1134" w:hanging="425"/>
        <w:jc w:val="both"/>
        <w:rPr>
          <w:rFonts w:ascii="Arial" w:hAnsi="Arial" w:cs="Arial"/>
          <w:color w:val="000000"/>
        </w:rPr>
      </w:pPr>
      <w:r w:rsidRPr="00601B12">
        <w:rPr>
          <w:rFonts w:ascii="Arial" w:hAnsi="Arial" w:cs="Arial"/>
          <w:color w:val="000000"/>
        </w:rPr>
        <w:t>employing authorities (scheme employers and admission bodies</w:t>
      </w:r>
      <w:proofErr w:type="gramStart"/>
      <w:r w:rsidRPr="00601B12">
        <w:rPr>
          <w:rFonts w:ascii="Arial" w:hAnsi="Arial" w:cs="Arial"/>
          <w:color w:val="000000"/>
        </w:rPr>
        <w:t>);</w:t>
      </w:r>
      <w:proofErr w:type="gramEnd"/>
    </w:p>
    <w:p w14:paraId="6D163835" w14:textId="77777777" w:rsidR="00427FA7" w:rsidRPr="00601B12" w:rsidRDefault="00427FA7" w:rsidP="004C17A4">
      <w:pPr>
        <w:pStyle w:val="ListParagraph"/>
        <w:numPr>
          <w:ilvl w:val="0"/>
          <w:numId w:val="17"/>
        </w:numPr>
        <w:autoSpaceDE w:val="0"/>
        <w:autoSpaceDN w:val="0"/>
        <w:adjustRightInd w:val="0"/>
        <w:spacing w:after="0" w:line="240" w:lineRule="auto"/>
        <w:ind w:left="1134" w:hanging="425"/>
        <w:jc w:val="both"/>
        <w:rPr>
          <w:rFonts w:ascii="Arial" w:hAnsi="Arial" w:cs="Arial"/>
          <w:color w:val="000000"/>
        </w:rPr>
      </w:pPr>
      <w:r w:rsidRPr="00601B12">
        <w:rPr>
          <w:rFonts w:ascii="Arial" w:hAnsi="Arial" w:cs="Arial"/>
          <w:color w:val="000000"/>
        </w:rPr>
        <w:t xml:space="preserve">senior </w:t>
      </w:r>
      <w:proofErr w:type="gramStart"/>
      <w:r w:rsidRPr="00601B12">
        <w:rPr>
          <w:rFonts w:ascii="Arial" w:hAnsi="Arial" w:cs="Arial"/>
          <w:color w:val="000000"/>
        </w:rPr>
        <w:t>managers;</w:t>
      </w:r>
      <w:proofErr w:type="gramEnd"/>
    </w:p>
    <w:p w14:paraId="6D163836" w14:textId="77777777" w:rsidR="00427FA7" w:rsidRPr="00601B12" w:rsidRDefault="00427FA7" w:rsidP="004C17A4">
      <w:pPr>
        <w:pStyle w:val="ListParagraph"/>
        <w:numPr>
          <w:ilvl w:val="0"/>
          <w:numId w:val="17"/>
        </w:numPr>
        <w:autoSpaceDE w:val="0"/>
        <w:autoSpaceDN w:val="0"/>
        <w:adjustRightInd w:val="0"/>
        <w:spacing w:after="0" w:line="240" w:lineRule="auto"/>
        <w:ind w:left="1134" w:hanging="425"/>
        <w:jc w:val="both"/>
        <w:rPr>
          <w:rFonts w:ascii="Arial" w:hAnsi="Arial" w:cs="Arial"/>
          <w:color w:val="000000"/>
        </w:rPr>
      </w:pPr>
      <w:r w:rsidRPr="00601B12">
        <w:rPr>
          <w:rFonts w:ascii="Arial" w:hAnsi="Arial" w:cs="Arial"/>
          <w:color w:val="000000"/>
        </w:rPr>
        <w:t xml:space="preserve">union </w:t>
      </w:r>
      <w:proofErr w:type="gramStart"/>
      <w:r w:rsidRPr="00601B12">
        <w:rPr>
          <w:rFonts w:ascii="Arial" w:hAnsi="Arial" w:cs="Arial"/>
          <w:color w:val="000000"/>
        </w:rPr>
        <w:t>representatives;</w:t>
      </w:r>
      <w:proofErr w:type="gramEnd"/>
    </w:p>
    <w:p w14:paraId="6D163837" w14:textId="77777777" w:rsidR="00427FA7" w:rsidRPr="00601B12" w:rsidRDefault="00427FA7" w:rsidP="004C17A4">
      <w:pPr>
        <w:pStyle w:val="ListParagraph"/>
        <w:numPr>
          <w:ilvl w:val="0"/>
          <w:numId w:val="17"/>
        </w:numPr>
        <w:autoSpaceDE w:val="0"/>
        <w:autoSpaceDN w:val="0"/>
        <w:adjustRightInd w:val="0"/>
        <w:spacing w:after="0" w:line="240" w:lineRule="auto"/>
        <w:ind w:left="1134" w:hanging="425"/>
        <w:jc w:val="both"/>
        <w:rPr>
          <w:rFonts w:ascii="Arial" w:hAnsi="Arial" w:cs="Arial"/>
          <w:color w:val="000000"/>
        </w:rPr>
      </w:pPr>
      <w:r w:rsidRPr="00601B12">
        <w:rPr>
          <w:rFonts w:ascii="Arial" w:hAnsi="Arial" w:cs="Arial"/>
          <w:color w:val="000000"/>
        </w:rPr>
        <w:t xml:space="preserve">elected members/the Pension </w:t>
      </w:r>
      <w:proofErr w:type="gramStart"/>
      <w:r w:rsidR="00D576F8" w:rsidRPr="00601B12">
        <w:rPr>
          <w:rFonts w:ascii="Arial" w:hAnsi="Arial" w:cs="Arial"/>
          <w:color w:val="000000"/>
        </w:rPr>
        <w:t>Committee</w:t>
      </w:r>
      <w:r w:rsidRPr="00601B12">
        <w:rPr>
          <w:rFonts w:ascii="Arial" w:hAnsi="Arial" w:cs="Arial"/>
          <w:color w:val="000000"/>
        </w:rPr>
        <w:t>;</w:t>
      </w:r>
      <w:proofErr w:type="gramEnd"/>
    </w:p>
    <w:p w14:paraId="6D163838" w14:textId="77777777" w:rsidR="00427FA7" w:rsidRPr="00601B12" w:rsidRDefault="00427FA7" w:rsidP="004C17A4">
      <w:pPr>
        <w:pStyle w:val="ListParagraph"/>
        <w:numPr>
          <w:ilvl w:val="0"/>
          <w:numId w:val="17"/>
        </w:numPr>
        <w:autoSpaceDE w:val="0"/>
        <w:autoSpaceDN w:val="0"/>
        <w:adjustRightInd w:val="0"/>
        <w:spacing w:after="0" w:line="240" w:lineRule="auto"/>
        <w:ind w:left="1134" w:hanging="425"/>
        <w:jc w:val="both"/>
        <w:rPr>
          <w:rFonts w:ascii="Arial" w:hAnsi="Arial" w:cs="Arial"/>
          <w:color w:val="000000"/>
        </w:rPr>
      </w:pPr>
      <w:r w:rsidRPr="00601B12">
        <w:rPr>
          <w:rFonts w:ascii="Arial" w:hAnsi="Arial" w:cs="Arial"/>
          <w:color w:val="000000"/>
        </w:rPr>
        <w:t xml:space="preserve">Pension Section </w:t>
      </w:r>
      <w:proofErr w:type="gramStart"/>
      <w:r w:rsidRPr="00601B12">
        <w:rPr>
          <w:rFonts w:ascii="Arial" w:hAnsi="Arial" w:cs="Arial"/>
          <w:color w:val="000000"/>
        </w:rPr>
        <w:t>staff;</w:t>
      </w:r>
      <w:proofErr w:type="gramEnd"/>
    </w:p>
    <w:p w14:paraId="6D163839" w14:textId="77777777" w:rsidR="00427FA7" w:rsidRPr="00601B12" w:rsidRDefault="00427FA7" w:rsidP="004C17A4">
      <w:pPr>
        <w:pStyle w:val="ListParagraph"/>
        <w:numPr>
          <w:ilvl w:val="0"/>
          <w:numId w:val="17"/>
        </w:numPr>
        <w:autoSpaceDE w:val="0"/>
        <w:autoSpaceDN w:val="0"/>
        <w:adjustRightInd w:val="0"/>
        <w:spacing w:after="0" w:line="240" w:lineRule="auto"/>
        <w:ind w:left="1134" w:hanging="425"/>
        <w:jc w:val="both"/>
        <w:rPr>
          <w:rFonts w:ascii="Arial" w:hAnsi="Arial" w:cs="Arial"/>
          <w:color w:val="000000"/>
        </w:rPr>
      </w:pPr>
      <w:proofErr w:type="gramStart"/>
      <w:r w:rsidRPr="00601B12">
        <w:rPr>
          <w:rFonts w:ascii="Arial" w:hAnsi="Arial" w:cs="Arial"/>
          <w:color w:val="000000"/>
        </w:rPr>
        <w:t>Tax</w:t>
      </w:r>
      <w:r w:rsidR="00345EF2" w:rsidRPr="00601B12">
        <w:rPr>
          <w:rFonts w:ascii="Arial" w:hAnsi="Arial" w:cs="Arial"/>
          <w:color w:val="000000"/>
        </w:rPr>
        <w:t xml:space="preserve"> payers</w:t>
      </w:r>
      <w:proofErr w:type="gramEnd"/>
      <w:r w:rsidR="00345EF2" w:rsidRPr="00601B12">
        <w:rPr>
          <w:rFonts w:ascii="Arial" w:hAnsi="Arial" w:cs="Arial"/>
          <w:color w:val="000000"/>
        </w:rPr>
        <w:t>, the media and o</w:t>
      </w:r>
      <w:r w:rsidRPr="00601B12">
        <w:rPr>
          <w:rFonts w:ascii="Arial" w:hAnsi="Arial" w:cs="Arial"/>
          <w:color w:val="000000"/>
        </w:rPr>
        <w:t xml:space="preserve">ther Stakeholders / Interested Parties. </w:t>
      </w:r>
    </w:p>
    <w:p w14:paraId="6D16383A"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3B"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In </w:t>
      </w:r>
      <w:r w:rsidR="00A623BA" w:rsidRPr="00601B12">
        <w:rPr>
          <w:rFonts w:ascii="Arial" w:hAnsi="Arial" w:cs="Arial"/>
          <w:color w:val="000000"/>
          <w:sz w:val="22"/>
          <w:szCs w:val="22"/>
        </w:rPr>
        <w:t>addition,</w:t>
      </w:r>
      <w:r w:rsidRPr="00601B12">
        <w:rPr>
          <w:rFonts w:ascii="Arial" w:hAnsi="Arial" w:cs="Arial"/>
          <w:color w:val="000000"/>
          <w:sz w:val="22"/>
          <w:szCs w:val="22"/>
        </w:rPr>
        <w:t xml:space="preserve"> there are </w:t>
      </w:r>
      <w:r w:rsidR="007C1EC6" w:rsidRPr="00601B12">
        <w:rPr>
          <w:rFonts w:ascii="Arial" w:hAnsi="Arial" w:cs="Arial"/>
          <w:color w:val="000000"/>
          <w:sz w:val="22"/>
          <w:szCs w:val="22"/>
        </w:rPr>
        <w:t>many</w:t>
      </w:r>
      <w:r w:rsidRPr="00601B12">
        <w:rPr>
          <w:rFonts w:ascii="Arial" w:hAnsi="Arial" w:cs="Arial"/>
          <w:color w:val="000000"/>
          <w:sz w:val="22"/>
          <w:szCs w:val="22"/>
        </w:rPr>
        <w:t xml:space="preserve"> other stakeholders with whom we communicate on a regular basis, such as HMRC</w:t>
      </w:r>
      <w:r w:rsidR="007C1EC6" w:rsidRPr="00601B12">
        <w:rPr>
          <w:rFonts w:ascii="Arial" w:hAnsi="Arial" w:cs="Arial"/>
          <w:color w:val="000000"/>
          <w:sz w:val="22"/>
          <w:szCs w:val="22"/>
        </w:rPr>
        <w:t>,</w:t>
      </w:r>
      <w:r w:rsidR="00C820DD" w:rsidRPr="00601B12">
        <w:rPr>
          <w:rFonts w:ascii="Arial" w:hAnsi="Arial" w:cs="Arial"/>
          <w:color w:val="000000"/>
          <w:sz w:val="22"/>
          <w:szCs w:val="22"/>
        </w:rPr>
        <w:t xml:space="preserve"> solicitors</w:t>
      </w:r>
      <w:r w:rsidRPr="00601B12">
        <w:rPr>
          <w:rFonts w:ascii="Arial" w:hAnsi="Arial" w:cs="Arial"/>
          <w:color w:val="000000"/>
          <w:sz w:val="22"/>
          <w:szCs w:val="22"/>
        </w:rPr>
        <w:t>, the Pensions Advisory Service, and other pension providers. We also consider as part of this policy how we communicate with these interested parties.</w:t>
      </w:r>
    </w:p>
    <w:p w14:paraId="6D16383C" w14:textId="77777777" w:rsidR="00C820DD" w:rsidRPr="00601B12" w:rsidRDefault="00C820DD" w:rsidP="00427FA7">
      <w:pPr>
        <w:autoSpaceDE w:val="0"/>
        <w:autoSpaceDN w:val="0"/>
        <w:adjustRightInd w:val="0"/>
        <w:jc w:val="both"/>
        <w:rPr>
          <w:rFonts w:ascii="Arial" w:hAnsi="Arial" w:cs="Arial"/>
          <w:color w:val="000000"/>
          <w:sz w:val="22"/>
          <w:szCs w:val="22"/>
        </w:rPr>
      </w:pPr>
    </w:p>
    <w:p w14:paraId="6D16383D" w14:textId="77777777" w:rsidR="00427FA7" w:rsidRPr="00601B12"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601B12">
        <w:rPr>
          <w:rFonts w:ascii="Arial" w:hAnsi="Arial" w:cs="Arial"/>
          <w:b/>
          <w:bCs/>
          <w:color w:val="000000"/>
        </w:rPr>
        <w:t>2.2</w:t>
      </w:r>
      <w:r w:rsidRPr="00601B12">
        <w:rPr>
          <w:rFonts w:ascii="Arial" w:hAnsi="Arial" w:cs="Arial"/>
          <w:b/>
          <w:bCs/>
          <w:color w:val="000000"/>
        </w:rPr>
        <w:tab/>
        <w:t xml:space="preserve">How we </w:t>
      </w:r>
      <w:proofErr w:type="gramStart"/>
      <w:r w:rsidRPr="00601B12">
        <w:rPr>
          <w:rFonts w:ascii="Arial" w:hAnsi="Arial" w:cs="Arial"/>
          <w:b/>
          <w:bCs/>
          <w:color w:val="000000"/>
        </w:rPr>
        <w:t>communicate</w:t>
      </w:r>
      <w:proofErr w:type="gramEnd"/>
      <w:r w:rsidRPr="00601B12">
        <w:rPr>
          <w:rFonts w:ascii="Arial" w:hAnsi="Arial" w:cs="Arial"/>
          <w:b/>
          <w:bCs/>
          <w:color w:val="000000"/>
        </w:rPr>
        <w:t xml:space="preserve"> </w:t>
      </w:r>
    </w:p>
    <w:p w14:paraId="6D16383E" w14:textId="77777777" w:rsidR="00427FA7" w:rsidRPr="00601B12" w:rsidRDefault="00427FA7" w:rsidP="00427FA7">
      <w:pPr>
        <w:autoSpaceDE w:val="0"/>
        <w:autoSpaceDN w:val="0"/>
        <w:adjustRightInd w:val="0"/>
        <w:jc w:val="both"/>
        <w:rPr>
          <w:rFonts w:ascii="Arial" w:hAnsi="Arial" w:cs="Arial"/>
          <w:b/>
          <w:bCs/>
          <w:color w:val="000000"/>
          <w:sz w:val="22"/>
          <w:szCs w:val="22"/>
        </w:rPr>
      </w:pPr>
    </w:p>
    <w:p w14:paraId="6D16383F" w14:textId="77777777" w:rsidR="00427FA7" w:rsidRPr="00601B12" w:rsidRDefault="00427FA7" w:rsidP="004C17A4">
      <w:pPr>
        <w:pStyle w:val="ListParagraph"/>
        <w:numPr>
          <w:ilvl w:val="0"/>
          <w:numId w:val="18"/>
        </w:numPr>
        <w:autoSpaceDE w:val="0"/>
        <w:autoSpaceDN w:val="0"/>
        <w:adjustRightInd w:val="0"/>
        <w:spacing w:after="0" w:line="240" w:lineRule="auto"/>
        <w:ind w:left="1080"/>
        <w:jc w:val="both"/>
        <w:rPr>
          <w:rFonts w:ascii="Arial" w:hAnsi="Arial" w:cs="Arial"/>
          <w:b/>
          <w:bCs/>
          <w:iCs/>
          <w:color w:val="000000"/>
        </w:rPr>
      </w:pPr>
      <w:r w:rsidRPr="00601B12">
        <w:rPr>
          <w:rFonts w:ascii="Arial" w:hAnsi="Arial" w:cs="Arial"/>
          <w:b/>
          <w:bCs/>
          <w:iCs/>
          <w:color w:val="000000"/>
        </w:rPr>
        <w:t xml:space="preserve">General communication - </w:t>
      </w:r>
      <w:r w:rsidRPr="00601B12">
        <w:rPr>
          <w:rFonts w:ascii="Arial" w:hAnsi="Arial" w:cs="Arial"/>
          <w:color w:val="000000"/>
        </w:rPr>
        <w:t xml:space="preserve">We use </w:t>
      </w:r>
      <w:proofErr w:type="gramStart"/>
      <w:r w:rsidRPr="00601B12">
        <w:rPr>
          <w:rFonts w:ascii="Arial" w:hAnsi="Arial" w:cs="Arial"/>
          <w:color w:val="000000"/>
        </w:rPr>
        <w:t>paper based</w:t>
      </w:r>
      <w:proofErr w:type="gramEnd"/>
      <w:r w:rsidRPr="00601B12">
        <w:rPr>
          <w:rFonts w:ascii="Arial" w:hAnsi="Arial" w:cs="Arial"/>
          <w:color w:val="000000"/>
        </w:rPr>
        <w:t xml:space="preserve"> communication as our main means of communicating, </w:t>
      </w:r>
      <w:r w:rsidR="007C1EC6" w:rsidRPr="00601B12">
        <w:rPr>
          <w:rFonts w:ascii="Arial" w:hAnsi="Arial" w:cs="Arial"/>
          <w:color w:val="000000"/>
        </w:rPr>
        <w:t>i.e.</w:t>
      </w:r>
      <w:r w:rsidRPr="00601B12">
        <w:rPr>
          <w:rFonts w:ascii="Arial" w:hAnsi="Arial" w:cs="Arial"/>
          <w:color w:val="000000"/>
        </w:rPr>
        <w:t xml:space="preserve"> sending letters to our scheme members. However, we will compliment this by use of electronic means. We </w:t>
      </w:r>
      <w:r w:rsidR="007C1EC6" w:rsidRPr="00601B12">
        <w:rPr>
          <w:rFonts w:ascii="Arial" w:hAnsi="Arial" w:cs="Arial"/>
          <w:color w:val="000000"/>
        </w:rPr>
        <w:t>a</w:t>
      </w:r>
      <w:r w:rsidRPr="00601B12">
        <w:rPr>
          <w:rFonts w:ascii="Arial" w:hAnsi="Arial" w:cs="Arial"/>
          <w:color w:val="000000"/>
        </w:rPr>
        <w:t>ccept</w:t>
      </w:r>
      <w:r w:rsidR="007C1EC6" w:rsidRPr="00601B12">
        <w:rPr>
          <w:rFonts w:ascii="Arial" w:hAnsi="Arial" w:cs="Arial"/>
          <w:color w:val="000000"/>
        </w:rPr>
        <w:t xml:space="preserve"> electronic communications, </w:t>
      </w:r>
      <w:proofErr w:type="gramStart"/>
      <w:r w:rsidR="007C1EC6" w:rsidRPr="00601B12">
        <w:rPr>
          <w:rFonts w:ascii="Arial" w:hAnsi="Arial" w:cs="Arial"/>
          <w:color w:val="000000"/>
        </w:rPr>
        <w:t>i.e.</w:t>
      </w:r>
      <w:proofErr w:type="gramEnd"/>
      <w:r w:rsidRPr="00601B12">
        <w:rPr>
          <w:rFonts w:ascii="Arial" w:hAnsi="Arial" w:cs="Arial"/>
          <w:color w:val="000000"/>
        </w:rPr>
        <w:t xml:space="preserve"> e-mail and, where we do so, we will respond electronically where possible.  </w:t>
      </w:r>
      <w:r w:rsidR="007C1EC6" w:rsidRPr="00601B12">
        <w:rPr>
          <w:rFonts w:ascii="Arial" w:hAnsi="Arial" w:cs="Arial"/>
          <w:color w:val="000000"/>
        </w:rPr>
        <w:t>P</w:t>
      </w:r>
      <w:r w:rsidRPr="00601B12">
        <w:rPr>
          <w:rFonts w:ascii="Arial" w:hAnsi="Arial" w:cs="Arial"/>
          <w:color w:val="000000"/>
        </w:rPr>
        <w:t xml:space="preserve">ension staff are responsible for all pension related queries. </w:t>
      </w:r>
      <w:r w:rsidR="007C1EC6" w:rsidRPr="00601B12">
        <w:rPr>
          <w:rFonts w:ascii="Arial" w:hAnsi="Arial" w:cs="Arial"/>
          <w:color w:val="000000"/>
        </w:rPr>
        <w:t>P</w:t>
      </w:r>
      <w:r w:rsidRPr="00601B12">
        <w:rPr>
          <w:rFonts w:ascii="Arial" w:hAnsi="Arial" w:cs="Arial"/>
          <w:color w:val="000000"/>
        </w:rPr>
        <w:t xml:space="preserve">hone calls or visitors </w:t>
      </w:r>
      <w:r w:rsidR="007C1EC6" w:rsidRPr="00601B12">
        <w:rPr>
          <w:rFonts w:ascii="Arial" w:hAnsi="Arial" w:cs="Arial"/>
          <w:color w:val="000000"/>
        </w:rPr>
        <w:t>are passed</w:t>
      </w:r>
      <w:r w:rsidRPr="00601B12">
        <w:rPr>
          <w:rFonts w:ascii="Arial" w:hAnsi="Arial" w:cs="Arial"/>
          <w:color w:val="000000"/>
        </w:rPr>
        <w:t xml:space="preserve"> to the relevant person within the section. Direct line phone numbers are advertised to allow easier access to the correct </w:t>
      </w:r>
      <w:proofErr w:type="gramStart"/>
      <w:r w:rsidRPr="00601B12">
        <w:rPr>
          <w:rFonts w:ascii="Arial" w:hAnsi="Arial" w:cs="Arial"/>
          <w:color w:val="000000"/>
        </w:rPr>
        <w:t>person;</w:t>
      </w:r>
      <w:proofErr w:type="gramEnd"/>
    </w:p>
    <w:p w14:paraId="6D163840" w14:textId="77777777" w:rsidR="00427FA7" w:rsidRPr="00601B12" w:rsidRDefault="00427FA7" w:rsidP="007D104E">
      <w:pPr>
        <w:pStyle w:val="ListParagraph"/>
        <w:autoSpaceDE w:val="0"/>
        <w:autoSpaceDN w:val="0"/>
        <w:adjustRightInd w:val="0"/>
        <w:spacing w:after="0" w:line="240" w:lineRule="auto"/>
        <w:ind w:left="1080"/>
        <w:jc w:val="both"/>
        <w:rPr>
          <w:rFonts w:ascii="Arial" w:hAnsi="Arial" w:cs="Arial"/>
          <w:b/>
          <w:bCs/>
          <w:iCs/>
          <w:color w:val="000000"/>
        </w:rPr>
      </w:pPr>
    </w:p>
    <w:p w14:paraId="6D163841" w14:textId="77777777" w:rsidR="00427FA7" w:rsidRPr="00601B12" w:rsidRDefault="00427FA7" w:rsidP="004C17A4">
      <w:pPr>
        <w:pStyle w:val="ListParagraph"/>
        <w:numPr>
          <w:ilvl w:val="0"/>
          <w:numId w:val="18"/>
        </w:numPr>
        <w:autoSpaceDE w:val="0"/>
        <w:autoSpaceDN w:val="0"/>
        <w:adjustRightInd w:val="0"/>
        <w:spacing w:after="0" w:line="240" w:lineRule="auto"/>
        <w:ind w:left="1080"/>
        <w:jc w:val="both"/>
        <w:rPr>
          <w:rFonts w:ascii="Arial" w:hAnsi="Arial" w:cs="Arial"/>
          <w:b/>
          <w:bCs/>
          <w:iCs/>
          <w:color w:val="000000"/>
        </w:rPr>
      </w:pPr>
      <w:r w:rsidRPr="00601B12">
        <w:rPr>
          <w:rFonts w:ascii="Arial" w:hAnsi="Arial" w:cs="Arial"/>
          <w:b/>
          <w:bCs/>
          <w:iCs/>
          <w:color w:val="000000"/>
        </w:rPr>
        <w:t xml:space="preserve">Branding </w:t>
      </w:r>
      <w:r w:rsidRPr="00601B12">
        <w:rPr>
          <w:rFonts w:ascii="Arial" w:hAnsi="Arial" w:cs="Arial"/>
          <w:bCs/>
          <w:iCs/>
          <w:color w:val="000000"/>
        </w:rPr>
        <w:t>- a</w:t>
      </w:r>
      <w:r w:rsidRPr="00601B12">
        <w:rPr>
          <w:rFonts w:ascii="Arial" w:hAnsi="Arial" w:cs="Arial"/>
          <w:color w:val="000000"/>
        </w:rPr>
        <w:t xml:space="preserve">s the Fund is administered by </w:t>
      </w:r>
      <w:r w:rsidR="007C1EC6" w:rsidRPr="00601B12">
        <w:rPr>
          <w:rFonts w:ascii="Arial" w:hAnsi="Arial" w:cs="Arial"/>
          <w:color w:val="000000"/>
        </w:rPr>
        <w:t>the Administering Authority</w:t>
      </w:r>
      <w:r w:rsidRPr="00601B12">
        <w:rPr>
          <w:rFonts w:ascii="Arial" w:hAnsi="Arial" w:cs="Arial"/>
          <w:color w:val="000000"/>
        </w:rPr>
        <w:t>, all literature and communications will conform with the branding of the Council; and</w:t>
      </w:r>
    </w:p>
    <w:p w14:paraId="6D163842" w14:textId="77777777" w:rsidR="00427FA7" w:rsidRPr="00601B12" w:rsidRDefault="00427FA7" w:rsidP="007D104E">
      <w:pPr>
        <w:pStyle w:val="ListParagraph"/>
        <w:autoSpaceDE w:val="0"/>
        <w:autoSpaceDN w:val="0"/>
        <w:adjustRightInd w:val="0"/>
        <w:spacing w:after="0" w:line="240" w:lineRule="auto"/>
        <w:ind w:left="1080"/>
        <w:jc w:val="both"/>
        <w:rPr>
          <w:rFonts w:ascii="Arial" w:hAnsi="Arial" w:cs="Arial"/>
          <w:b/>
          <w:bCs/>
          <w:iCs/>
          <w:color w:val="000000"/>
        </w:rPr>
      </w:pPr>
    </w:p>
    <w:p w14:paraId="6D163843" w14:textId="77777777" w:rsidR="00427FA7" w:rsidRPr="00601B12" w:rsidRDefault="00427FA7" w:rsidP="004C17A4">
      <w:pPr>
        <w:pStyle w:val="ListParagraph"/>
        <w:numPr>
          <w:ilvl w:val="0"/>
          <w:numId w:val="18"/>
        </w:numPr>
        <w:autoSpaceDE w:val="0"/>
        <w:autoSpaceDN w:val="0"/>
        <w:adjustRightInd w:val="0"/>
        <w:spacing w:after="0" w:line="240" w:lineRule="auto"/>
        <w:ind w:left="1080"/>
        <w:jc w:val="both"/>
        <w:rPr>
          <w:rFonts w:ascii="Arial" w:hAnsi="Arial" w:cs="Arial"/>
          <w:color w:val="000000"/>
        </w:rPr>
      </w:pPr>
      <w:r w:rsidRPr="00601B12">
        <w:rPr>
          <w:rFonts w:ascii="Arial" w:hAnsi="Arial" w:cs="Arial"/>
          <w:b/>
          <w:bCs/>
          <w:iCs/>
          <w:color w:val="000000"/>
        </w:rPr>
        <w:t xml:space="preserve">Accessibility - </w:t>
      </w:r>
      <w:r w:rsidRPr="00601B12">
        <w:rPr>
          <w:rFonts w:ascii="Arial" w:hAnsi="Arial" w:cs="Arial"/>
          <w:bCs/>
          <w:iCs/>
          <w:color w:val="000000"/>
        </w:rPr>
        <w:t>w</w:t>
      </w:r>
      <w:r w:rsidRPr="00601B12">
        <w:rPr>
          <w:rFonts w:ascii="Arial" w:hAnsi="Arial" w:cs="Arial"/>
          <w:color w:val="000000"/>
        </w:rPr>
        <w:t xml:space="preserve">e recognise that individuals may have specific needs in relation to the format of our information or the language in which it is provided. Demand for alternative formats/languages is not high enough to allow us to prepare alternative format/language material </w:t>
      </w:r>
      <w:r w:rsidR="007D104E" w:rsidRPr="00601B12">
        <w:rPr>
          <w:rFonts w:ascii="Arial" w:hAnsi="Arial" w:cs="Arial"/>
          <w:color w:val="000000"/>
        </w:rPr>
        <w:t>automatically;</w:t>
      </w:r>
      <w:r w:rsidRPr="00601B12">
        <w:rPr>
          <w:rFonts w:ascii="Arial" w:hAnsi="Arial" w:cs="Arial"/>
          <w:color w:val="000000"/>
        </w:rPr>
        <w:t xml:space="preserve"> however, these are available on request.</w:t>
      </w:r>
    </w:p>
    <w:p w14:paraId="6D163844" w14:textId="77777777" w:rsidR="00427FA7" w:rsidRPr="00601B12" w:rsidRDefault="00427FA7" w:rsidP="00427FA7">
      <w:pPr>
        <w:pStyle w:val="ListParagraph"/>
        <w:autoSpaceDE w:val="0"/>
        <w:autoSpaceDN w:val="0"/>
        <w:adjustRightInd w:val="0"/>
        <w:spacing w:after="0" w:line="240" w:lineRule="auto"/>
        <w:ind w:left="360"/>
        <w:jc w:val="both"/>
        <w:rPr>
          <w:rFonts w:ascii="Arial" w:hAnsi="Arial" w:cs="Arial"/>
          <w:b/>
          <w:bCs/>
          <w:iCs/>
          <w:color w:val="000000"/>
        </w:rPr>
      </w:pPr>
    </w:p>
    <w:p w14:paraId="6D163845" w14:textId="77777777" w:rsidR="00427FA7" w:rsidRPr="00601B12" w:rsidRDefault="00427FA7" w:rsidP="00427FA7">
      <w:pPr>
        <w:pStyle w:val="ListParagraph"/>
        <w:autoSpaceDE w:val="0"/>
        <w:autoSpaceDN w:val="0"/>
        <w:adjustRightInd w:val="0"/>
        <w:spacing w:after="0" w:line="240" w:lineRule="auto"/>
        <w:ind w:left="0"/>
        <w:jc w:val="both"/>
        <w:rPr>
          <w:rFonts w:ascii="Arial" w:hAnsi="Arial" w:cs="Arial"/>
          <w:color w:val="000000"/>
        </w:rPr>
      </w:pPr>
      <w:r w:rsidRPr="00601B12">
        <w:rPr>
          <w:rFonts w:ascii="Arial" w:hAnsi="Arial" w:cs="Arial"/>
          <w:b/>
          <w:bCs/>
          <w:color w:val="000000"/>
        </w:rPr>
        <w:t>2.3</w:t>
      </w:r>
      <w:r w:rsidRPr="00601B12">
        <w:rPr>
          <w:rFonts w:ascii="Arial" w:hAnsi="Arial" w:cs="Arial"/>
          <w:b/>
          <w:bCs/>
          <w:color w:val="000000"/>
        </w:rPr>
        <w:tab/>
        <w:t>Policy on Communication with Active, Deferred and Pensioner Members</w:t>
      </w:r>
    </w:p>
    <w:p w14:paraId="6D163846" w14:textId="77777777" w:rsidR="00427FA7" w:rsidRPr="00601B12" w:rsidRDefault="00427FA7" w:rsidP="00427FA7">
      <w:pPr>
        <w:autoSpaceDE w:val="0"/>
        <w:autoSpaceDN w:val="0"/>
        <w:adjustRightInd w:val="0"/>
        <w:jc w:val="both"/>
        <w:rPr>
          <w:rFonts w:ascii="Arial" w:hAnsi="Arial" w:cs="Arial"/>
          <w:b/>
          <w:bCs/>
          <w:color w:val="000000"/>
          <w:sz w:val="22"/>
          <w:szCs w:val="22"/>
        </w:rPr>
      </w:pPr>
    </w:p>
    <w:p w14:paraId="6D163847"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Our objectives </w:t>
      </w:r>
      <w:r w:rsidR="00500928" w:rsidRPr="00601B12">
        <w:rPr>
          <w:rFonts w:ascii="Arial" w:hAnsi="Arial" w:cs="Arial"/>
          <w:color w:val="000000"/>
          <w:sz w:val="22"/>
          <w:szCs w:val="22"/>
        </w:rPr>
        <w:t>regarding</w:t>
      </w:r>
      <w:r w:rsidRPr="00601B12">
        <w:rPr>
          <w:rFonts w:ascii="Arial" w:hAnsi="Arial" w:cs="Arial"/>
          <w:color w:val="000000"/>
          <w:sz w:val="22"/>
          <w:szCs w:val="22"/>
        </w:rPr>
        <w:t xml:space="preserve"> communication with members are:</w:t>
      </w:r>
    </w:p>
    <w:p w14:paraId="6D163848"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49" w14:textId="77777777" w:rsidR="00427FA7" w:rsidRPr="00601B12" w:rsidRDefault="00427FA7" w:rsidP="007337FE">
      <w:pPr>
        <w:pStyle w:val="ListParagraph"/>
        <w:numPr>
          <w:ilvl w:val="0"/>
          <w:numId w:val="45"/>
        </w:numPr>
        <w:autoSpaceDE w:val="0"/>
        <w:autoSpaceDN w:val="0"/>
        <w:adjustRightInd w:val="0"/>
        <w:spacing w:after="0" w:line="240" w:lineRule="auto"/>
        <w:jc w:val="both"/>
        <w:rPr>
          <w:rFonts w:ascii="Arial" w:hAnsi="Arial" w:cs="Arial"/>
          <w:color w:val="000000"/>
        </w:rPr>
      </w:pPr>
      <w:r w:rsidRPr="00601B12">
        <w:rPr>
          <w:rFonts w:ascii="Arial" w:hAnsi="Arial" w:cs="Arial"/>
          <w:color w:val="000000"/>
        </w:rPr>
        <w:t xml:space="preserve">for the LGPS to be used as a tool in the attraction and retention of </w:t>
      </w:r>
      <w:proofErr w:type="gramStart"/>
      <w:r w:rsidRPr="00601B12">
        <w:rPr>
          <w:rFonts w:ascii="Arial" w:hAnsi="Arial" w:cs="Arial"/>
          <w:color w:val="000000"/>
        </w:rPr>
        <w:t>employees;</w:t>
      </w:r>
      <w:proofErr w:type="gramEnd"/>
    </w:p>
    <w:p w14:paraId="6D16384A" w14:textId="77777777" w:rsidR="00427FA7" w:rsidRPr="00601B12" w:rsidRDefault="00427FA7" w:rsidP="007337FE">
      <w:pPr>
        <w:pStyle w:val="ListParagraph"/>
        <w:numPr>
          <w:ilvl w:val="0"/>
          <w:numId w:val="45"/>
        </w:numPr>
        <w:autoSpaceDE w:val="0"/>
        <w:autoSpaceDN w:val="0"/>
        <w:adjustRightInd w:val="0"/>
        <w:spacing w:after="0" w:line="240" w:lineRule="auto"/>
        <w:jc w:val="both"/>
        <w:rPr>
          <w:rFonts w:ascii="Arial" w:hAnsi="Arial" w:cs="Arial"/>
          <w:color w:val="000000"/>
        </w:rPr>
      </w:pPr>
      <w:r w:rsidRPr="00601B12">
        <w:rPr>
          <w:rFonts w:ascii="Arial" w:hAnsi="Arial" w:cs="Arial"/>
          <w:color w:val="000000"/>
        </w:rPr>
        <w:t xml:space="preserve">for better education on the benefits of the </w:t>
      </w:r>
      <w:proofErr w:type="gramStart"/>
      <w:r w:rsidRPr="00601B12">
        <w:rPr>
          <w:rFonts w:ascii="Arial" w:hAnsi="Arial" w:cs="Arial"/>
          <w:color w:val="000000"/>
        </w:rPr>
        <w:t>LGPS;</w:t>
      </w:r>
      <w:proofErr w:type="gramEnd"/>
    </w:p>
    <w:p w14:paraId="6D16384B" w14:textId="77777777" w:rsidR="00427FA7" w:rsidRPr="00601B12" w:rsidRDefault="00427FA7" w:rsidP="007337FE">
      <w:pPr>
        <w:pStyle w:val="ListParagraph"/>
        <w:numPr>
          <w:ilvl w:val="0"/>
          <w:numId w:val="45"/>
        </w:numPr>
        <w:autoSpaceDE w:val="0"/>
        <w:autoSpaceDN w:val="0"/>
        <w:adjustRightInd w:val="0"/>
        <w:spacing w:after="0" w:line="240" w:lineRule="auto"/>
        <w:jc w:val="both"/>
        <w:rPr>
          <w:rFonts w:ascii="Arial" w:hAnsi="Arial" w:cs="Arial"/>
          <w:color w:val="000000"/>
        </w:rPr>
      </w:pPr>
      <w:r w:rsidRPr="00601B12">
        <w:rPr>
          <w:rFonts w:ascii="Arial" w:hAnsi="Arial" w:cs="Arial"/>
          <w:color w:val="000000"/>
        </w:rPr>
        <w:t xml:space="preserve">to provide more opportunities for </w:t>
      </w:r>
      <w:proofErr w:type="gramStart"/>
      <w:r w:rsidRPr="00601B12">
        <w:rPr>
          <w:rFonts w:ascii="Arial" w:hAnsi="Arial" w:cs="Arial"/>
          <w:color w:val="000000"/>
        </w:rPr>
        <w:t>face to face</w:t>
      </w:r>
      <w:proofErr w:type="gramEnd"/>
      <w:r w:rsidRPr="00601B12">
        <w:rPr>
          <w:rFonts w:ascii="Arial" w:hAnsi="Arial" w:cs="Arial"/>
          <w:color w:val="000000"/>
        </w:rPr>
        <w:t xml:space="preserve"> communication;</w:t>
      </w:r>
    </w:p>
    <w:p w14:paraId="6D16384C" w14:textId="77777777" w:rsidR="00427FA7" w:rsidRPr="00601B12" w:rsidRDefault="00427FA7" w:rsidP="007337FE">
      <w:pPr>
        <w:pStyle w:val="ListParagraph"/>
        <w:numPr>
          <w:ilvl w:val="0"/>
          <w:numId w:val="45"/>
        </w:numPr>
        <w:autoSpaceDE w:val="0"/>
        <w:autoSpaceDN w:val="0"/>
        <w:adjustRightInd w:val="0"/>
        <w:spacing w:after="0" w:line="240" w:lineRule="auto"/>
        <w:jc w:val="both"/>
        <w:rPr>
          <w:rFonts w:ascii="Arial" w:hAnsi="Arial" w:cs="Arial"/>
          <w:color w:val="000000"/>
        </w:rPr>
      </w:pPr>
      <w:r w:rsidRPr="00601B12">
        <w:rPr>
          <w:rFonts w:ascii="Arial" w:hAnsi="Arial" w:cs="Arial"/>
          <w:color w:val="000000"/>
        </w:rPr>
        <w:t xml:space="preserve">as a result of improved communication, for queries and complaints to be </w:t>
      </w:r>
      <w:proofErr w:type="gramStart"/>
      <w:r w:rsidRPr="00601B12">
        <w:rPr>
          <w:rFonts w:ascii="Arial" w:hAnsi="Arial" w:cs="Arial"/>
          <w:color w:val="000000"/>
        </w:rPr>
        <w:t>reduced;</w:t>
      </w:r>
      <w:proofErr w:type="gramEnd"/>
    </w:p>
    <w:p w14:paraId="6D16384D" w14:textId="77777777" w:rsidR="00427FA7" w:rsidRPr="00601B12" w:rsidRDefault="00427FA7" w:rsidP="007337FE">
      <w:pPr>
        <w:pStyle w:val="ListParagraph"/>
        <w:numPr>
          <w:ilvl w:val="0"/>
          <w:numId w:val="45"/>
        </w:numPr>
        <w:autoSpaceDE w:val="0"/>
        <w:autoSpaceDN w:val="0"/>
        <w:adjustRightInd w:val="0"/>
        <w:spacing w:after="0" w:line="240" w:lineRule="auto"/>
        <w:jc w:val="both"/>
        <w:rPr>
          <w:rFonts w:ascii="Arial" w:hAnsi="Arial" w:cs="Arial"/>
          <w:color w:val="000000"/>
        </w:rPr>
      </w:pPr>
      <w:r w:rsidRPr="00601B12">
        <w:rPr>
          <w:rFonts w:ascii="Arial" w:hAnsi="Arial" w:cs="Arial"/>
          <w:color w:val="000000"/>
        </w:rPr>
        <w:t xml:space="preserve">for our employers to be employers of </w:t>
      </w:r>
      <w:proofErr w:type="gramStart"/>
      <w:r w:rsidRPr="00601B12">
        <w:rPr>
          <w:rFonts w:ascii="Arial" w:hAnsi="Arial" w:cs="Arial"/>
          <w:color w:val="000000"/>
        </w:rPr>
        <w:t>choice;</w:t>
      </w:r>
      <w:proofErr w:type="gramEnd"/>
    </w:p>
    <w:p w14:paraId="6D16384E" w14:textId="77777777" w:rsidR="00427FA7" w:rsidRPr="00601B12" w:rsidRDefault="00427FA7" w:rsidP="007337FE">
      <w:pPr>
        <w:pStyle w:val="ListParagraph"/>
        <w:numPr>
          <w:ilvl w:val="0"/>
          <w:numId w:val="45"/>
        </w:numPr>
        <w:autoSpaceDE w:val="0"/>
        <w:autoSpaceDN w:val="0"/>
        <w:adjustRightInd w:val="0"/>
        <w:spacing w:after="0" w:line="240" w:lineRule="auto"/>
        <w:jc w:val="both"/>
        <w:rPr>
          <w:rFonts w:ascii="Arial" w:hAnsi="Arial" w:cs="Arial"/>
          <w:color w:val="000000"/>
        </w:rPr>
      </w:pPr>
      <w:r w:rsidRPr="00601B12">
        <w:rPr>
          <w:rFonts w:ascii="Arial" w:hAnsi="Arial" w:cs="Arial"/>
          <w:color w:val="000000"/>
        </w:rPr>
        <w:t>to increase take up of the LGPS employees;</w:t>
      </w:r>
      <w:r w:rsidR="007D104E" w:rsidRPr="00601B12">
        <w:rPr>
          <w:rFonts w:ascii="Arial" w:hAnsi="Arial" w:cs="Arial"/>
          <w:color w:val="000000"/>
        </w:rPr>
        <w:t xml:space="preserve"> and</w:t>
      </w:r>
    </w:p>
    <w:p w14:paraId="6D16384F" w14:textId="77777777" w:rsidR="00427FA7" w:rsidRPr="00601B12" w:rsidRDefault="00427FA7" w:rsidP="007337FE">
      <w:pPr>
        <w:pStyle w:val="ListParagraph"/>
        <w:numPr>
          <w:ilvl w:val="0"/>
          <w:numId w:val="45"/>
        </w:numPr>
        <w:autoSpaceDE w:val="0"/>
        <w:autoSpaceDN w:val="0"/>
        <w:adjustRightInd w:val="0"/>
        <w:spacing w:after="0" w:line="240" w:lineRule="auto"/>
        <w:jc w:val="both"/>
        <w:rPr>
          <w:rFonts w:ascii="Arial" w:hAnsi="Arial" w:cs="Arial"/>
          <w:color w:val="000000"/>
        </w:rPr>
      </w:pPr>
      <w:r w:rsidRPr="00601B12">
        <w:rPr>
          <w:rFonts w:ascii="Arial" w:hAnsi="Arial" w:cs="Arial"/>
          <w:color w:val="000000"/>
        </w:rPr>
        <w:t>to reassure stakeholders.</w:t>
      </w:r>
    </w:p>
    <w:p w14:paraId="6D163850"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51" w14:textId="77777777" w:rsidR="00427FA7" w:rsidRPr="00601B12" w:rsidRDefault="00427FA7"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Our objectives will be met by providing the following communications, which are over and above individual communications with members (for example, the notifications of scheme </w:t>
      </w:r>
      <w:r w:rsidR="00500928" w:rsidRPr="00601B12">
        <w:rPr>
          <w:rFonts w:ascii="Arial" w:hAnsi="Arial" w:cs="Arial"/>
          <w:color w:val="000000"/>
          <w:sz w:val="22"/>
          <w:szCs w:val="22"/>
        </w:rPr>
        <w:t>benefit</w:t>
      </w:r>
      <w:r w:rsidRPr="00601B12">
        <w:rPr>
          <w:rFonts w:ascii="Arial" w:hAnsi="Arial" w:cs="Arial"/>
          <w:color w:val="000000"/>
          <w:sz w:val="22"/>
          <w:szCs w:val="22"/>
        </w:rPr>
        <w:t xml:space="preserve"> or responses to individual queries). The communications are explained in more detail </w:t>
      </w:r>
      <w:r w:rsidR="009A4D2C" w:rsidRPr="00601B12">
        <w:rPr>
          <w:rFonts w:ascii="Arial" w:hAnsi="Arial" w:cs="Arial"/>
          <w:color w:val="000000"/>
          <w:sz w:val="22"/>
          <w:szCs w:val="22"/>
        </w:rPr>
        <w:t xml:space="preserve">in the table </w:t>
      </w:r>
      <w:r w:rsidRPr="00601B12">
        <w:rPr>
          <w:rFonts w:ascii="Arial" w:hAnsi="Arial" w:cs="Arial"/>
          <w:color w:val="000000"/>
          <w:sz w:val="22"/>
          <w:szCs w:val="22"/>
        </w:rPr>
        <w:t>below:</w:t>
      </w:r>
    </w:p>
    <w:p w14:paraId="6D163852" w14:textId="77777777" w:rsidR="009A4D2C" w:rsidRPr="00601B12" w:rsidRDefault="009A4D2C" w:rsidP="00427FA7">
      <w:pPr>
        <w:autoSpaceDE w:val="0"/>
        <w:autoSpaceDN w:val="0"/>
        <w:adjustRightInd w:val="0"/>
        <w:jc w:val="both"/>
        <w:rPr>
          <w:rFonts w:ascii="Arial" w:hAnsi="Arial" w:cs="Arial"/>
          <w:color w:val="000000"/>
          <w:sz w:val="22"/>
          <w:szCs w:val="22"/>
        </w:rPr>
      </w:pPr>
    </w:p>
    <w:tbl>
      <w:tblPr>
        <w:tblStyle w:val="TableGrid"/>
        <w:tblW w:w="9932" w:type="dxa"/>
        <w:tblInd w:w="108" w:type="dxa"/>
        <w:tblLook w:val="04A0" w:firstRow="1" w:lastRow="0" w:firstColumn="1" w:lastColumn="0" w:noHBand="0" w:noVBand="1"/>
      </w:tblPr>
      <w:tblGrid>
        <w:gridCol w:w="2043"/>
        <w:gridCol w:w="1514"/>
        <w:gridCol w:w="2434"/>
        <w:gridCol w:w="2179"/>
        <w:gridCol w:w="1762"/>
      </w:tblGrid>
      <w:tr w:rsidR="009A4D2C" w:rsidRPr="00601B12" w14:paraId="6D16385A" w14:textId="77777777" w:rsidTr="00500928">
        <w:trPr>
          <w:trHeight w:val="314"/>
        </w:trPr>
        <w:tc>
          <w:tcPr>
            <w:tcW w:w="2043" w:type="dxa"/>
          </w:tcPr>
          <w:p w14:paraId="6D163853" w14:textId="77777777" w:rsidR="00427FA7" w:rsidRPr="00601B12" w:rsidRDefault="00427FA7" w:rsidP="00427FA7">
            <w:pPr>
              <w:autoSpaceDE w:val="0"/>
              <w:autoSpaceDN w:val="0"/>
              <w:adjustRightInd w:val="0"/>
              <w:jc w:val="center"/>
              <w:rPr>
                <w:rFonts w:ascii="Arial" w:hAnsi="Arial" w:cs="Arial"/>
                <w:b/>
                <w:bCs/>
                <w:iCs/>
                <w:color w:val="000000"/>
                <w:sz w:val="22"/>
                <w:szCs w:val="22"/>
              </w:rPr>
            </w:pPr>
            <w:r w:rsidRPr="00601B12">
              <w:rPr>
                <w:rFonts w:ascii="Arial" w:hAnsi="Arial" w:cs="Arial"/>
                <w:color w:val="000000"/>
                <w:sz w:val="22"/>
                <w:szCs w:val="22"/>
              </w:rPr>
              <w:br w:type="page"/>
            </w:r>
            <w:r w:rsidRPr="00601B12">
              <w:rPr>
                <w:rFonts w:ascii="Arial" w:hAnsi="Arial" w:cs="Arial"/>
                <w:b/>
                <w:bCs/>
                <w:iCs/>
                <w:color w:val="000000"/>
                <w:sz w:val="22"/>
                <w:szCs w:val="22"/>
              </w:rPr>
              <w:t>Method of</w:t>
            </w:r>
          </w:p>
          <w:p w14:paraId="6D163854"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Communication</w:t>
            </w:r>
          </w:p>
        </w:tc>
        <w:tc>
          <w:tcPr>
            <w:tcW w:w="1514" w:type="dxa"/>
          </w:tcPr>
          <w:p w14:paraId="6D163855"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Media</w:t>
            </w:r>
          </w:p>
        </w:tc>
        <w:tc>
          <w:tcPr>
            <w:tcW w:w="2434" w:type="dxa"/>
          </w:tcPr>
          <w:p w14:paraId="6D163856"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Frequency of issue</w:t>
            </w:r>
          </w:p>
        </w:tc>
        <w:tc>
          <w:tcPr>
            <w:tcW w:w="2179" w:type="dxa"/>
          </w:tcPr>
          <w:p w14:paraId="6D163857" w14:textId="77777777" w:rsidR="00427FA7" w:rsidRPr="00601B12" w:rsidRDefault="00427FA7" w:rsidP="00427FA7">
            <w:pPr>
              <w:autoSpaceDE w:val="0"/>
              <w:autoSpaceDN w:val="0"/>
              <w:adjustRightInd w:val="0"/>
              <w:jc w:val="center"/>
              <w:rPr>
                <w:rFonts w:ascii="Arial" w:hAnsi="Arial" w:cs="Arial"/>
                <w:b/>
                <w:bCs/>
                <w:iCs/>
                <w:color w:val="000000"/>
                <w:sz w:val="22"/>
                <w:szCs w:val="22"/>
              </w:rPr>
            </w:pPr>
            <w:r w:rsidRPr="00601B12">
              <w:rPr>
                <w:rFonts w:ascii="Arial" w:hAnsi="Arial" w:cs="Arial"/>
                <w:b/>
                <w:bCs/>
                <w:iCs/>
                <w:color w:val="000000"/>
                <w:sz w:val="22"/>
                <w:szCs w:val="22"/>
              </w:rPr>
              <w:t>Method of</w:t>
            </w:r>
          </w:p>
          <w:p w14:paraId="6D163858"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Distribution</w:t>
            </w:r>
          </w:p>
        </w:tc>
        <w:tc>
          <w:tcPr>
            <w:tcW w:w="1762" w:type="dxa"/>
          </w:tcPr>
          <w:p w14:paraId="6D163859"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Audience Group</w:t>
            </w:r>
          </w:p>
        </w:tc>
      </w:tr>
      <w:tr w:rsidR="009A4D2C" w:rsidRPr="00601B12" w14:paraId="6D163861" w14:textId="77777777" w:rsidTr="00500928">
        <w:trPr>
          <w:trHeight w:val="462"/>
        </w:trPr>
        <w:tc>
          <w:tcPr>
            <w:tcW w:w="2043" w:type="dxa"/>
            <w:vAlign w:val="center"/>
          </w:tcPr>
          <w:p w14:paraId="6D16385B"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Scheme booklet</w:t>
            </w:r>
          </w:p>
        </w:tc>
        <w:tc>
          <w:tcPr>
            <w:tcW w:w="1514" w:type="dxa"/>
            <w:vAlign w:val="center"/>
          </w:tcPr>
          <w:p w14:paraId="6D16385C"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 xml:space="preserve">Paper based </w:t>
            </w:r>
            <w:r w:rsidR="009A4D2C" w:rsidRPr="00601B12">
              <w:rPr>
                <w:rFonts w:ascii="Arial" w:hAnsi="Arial" w:cs="Arial"/>
                <w:color w:val="000000"/>
                <w:sz w:val="22"/>
                <w:szCs w:val="22"/>
              </w:rPr>
              <w:t>/</w:t>
            </w:r>
            <w:r w:rsidRPr="00601B12">
              <w:rPr>
                <w:rFonts w:ascii="Arial" w:hAnsi="Arial" w:cs="Arial"/>
                <w:color w:val="000000"/>
                <w:sz w:val="22"/>
                <w:szCs w:val="22"/>
              </w:rPr>
              <w:t xml:space="preserve"> on website</w:t>
            </w:r>
          </w:p>
        </w:tc>
        <w:tc>
          <w:tcPr>
            <w:tcW w:w="2434" w:type="dxa"/>
            <w:vAlign w:val="center"/>
          </w:tcPr>
          <w:p w14:paraId="6D16385D"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 xml:space="preserve">At joining </w:t>
            </w:r>
            <w:r w:rsidR="009A4D2C" w:rsidRPr="00601B12">
              <w:rPr>
                <w:rFonts w:ascii="Arial" w:hAnsi="Arial" w:cs="Arial"/>
                <w:color w:val="000000"/>
                <w:sz w:val="22"/>
                <w:szCs w:val="22"/>
              </w:rPr>
              <w:t xml:space="preserve">&amp; </w:t>
            </w:r>
            <w:r w:rsidRPr="00601B12">
              <w:rPr>
                <w:rFonts w:ascii="Arial" w:hAnsi="Arial" w:cs="Arial"/>
                <w:color w:val="000000"/>
                <w:sz w:val="22"/>
                <w:szCs w:val="22"/>
              </w:rPr>
              <w:t>major scheme changes</w:t>
            </w:r>
          </w:p>
        </w:tc>
        <w:tc>
          <w:tcPr>
            <w:tcW w:w="2179" w:type="dxa"/>
            <w:vAlign w:val="center"/>
          </w:tcPr>
          <w:p w14:paraId="6D16385E"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Post to home address/via employers</w:t>
            </w:r>
          </w:p>
        </w:tc>
        <w:tc>
          <w:tcPr>
            <w:tcW w:w="1762" w:type="dxa"/>
            <w:vAlign w:val="center"/>
          </w:tcPr>
          <w:p w14:paraId="6D16385F"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Active</w:t>
            </w:r>
          </w:p>
          <w:p w14:paraId="6D163860"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p>
        </w:tc>
      </w:tr>
      <w:tr w:rsidR="009A4D2C" w:rsidRPr="00601B12" w14:paraId="6D163868" w14:textId="77777777" w:rsidTr="00500928">
        <w:trPr>
          <w:trHeight w:val="761"/>
        </w:trPr>
        <w:tc>
          <w:tcPr>
            <w:tcW w:w="2043" w:type="dxa"/>
            <w:vAlign w:val="center"/>
          </w:tcPr>
          <w:p w14:paraId="6D163862"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Newsletters</w:t>
            </w:r>
          </w:p>
        </w:tc>
        <w:tc>
          <w:tcPr>
            <w:tcW w:w="1514" w:type="dxa"/>
            <w:vAlign w:val="center"/>
          </w:tcPr>
          <w:p w14:paraId="6D163863"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Paper based</w:t>
            </w:r>
          </w:p>
        </w:tc>
        <w:tc>
          <w:tcPr>
            <w:tcW w:w="2434" w:type="dxa"/>
            <w:vAlign w:val="center"/>
          </w:tcPr>
          <w:p w14:paraId="6D163864"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As scheme changes necessitate notification</w:t>
            </w:r>
          </w:p>
        </w:tc>
        <w:tc>
          <w:tcPr>
            <w:tcW w:w="2179" w:type="dxa"/>
            <w:vAlign w:val="center"/>
          </w:tcPr>
          <w:p w14:paraId="6D163865"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Via employers / post to home address</w:t>
            </w:r>
          </w:p>
          <w:p w14:paraId="6D163866"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p>
        </w:tc>
        <w:tc>
          <w:tcPr>
            <w:tcW w:w="1762" w:type="dxa"/>
            <w:vAlign w:val="center"/>
          </w:tcPr>
          <w:p w14:paraId="6D163867"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Separately for active / deferred and pensioners</w:t>
            </w:r>
          </w:p>
        </w:tc>
      </w:tr>
      <w:tr w:rsidR="009A4D2C" w:rsidRPr="00601B12" w14:paraId="6D16386E" w14:textId="77777777" w:rsidTr="00500928">
        <w:trPr>
          <w:trHeight w:val="462"/>
        </w:trPr>
        <w:tc>
          <w:tcPr>
            <w:tcW w:w="2043" w:type="dxa"/>
            <w:vAlign w:val="center"/>
          </w:tcPr>
          <w:p w14:paraId="6D163869"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Pension Fund Report and Accounts</w:t>
            </w:r>
          </w:p>
        </w:tc>
        <w:tc>
          <w:tcPr>
            <w:tcW w:w="1514" w:type="dxa"/>
            <w:vAlign w:val="center"/>
          </w:tcPr>
          <w:p w14:paraId="6D16386A"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Paper based and on website</w:t>
            </w:r>
          </w:p>
        </w:tc>
        <w:tc>
          <w:tcPr>
            <w:tcW w:w="2434" w:type="dxa"/>
            <w:vAlign w:val="center"/>
          </w:tcPr>
          <w:p w14:paraId="6D16386B"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Annually</w:t>
            </w:r>
          </w:p>
        </w:tc>
        <w:tc>
          <w:tcPr>
            <w:tcW w:w="2179" w:type="dxa"/>
            <w:vAlign w:val="center"/>
          </w:tcPr>
          <w:p w14:paraId="6D16386C"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On request</w:t>
            </w:r>
          </w:p>
        </w:tc>
        <w:tc>
          <w:tcPr>
            <w:tcW w:w="1762" w:type="dxa"/>
            <w:vAlign w:val="center"/>
          </w:tcPr>
          <w:p w14:paraId="6D16386D"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All</w:t>
            </w:r>
          </w:p>
        </w:tc>
      </w:tr>
      <w:tr w:rsidR="009A4D2C" w:rsidRPr="00601B12" w14:paraId="6D16387A" w14:textId="77777777" w:rsidTr="00500928">
        <w:trPr>
          <w:trHeight w:val="529"/>
        </w:trPr>
        <w:tc>
          <w:tcPr>
            <w:tcW w:w="2043" w:type="dxa"/>
            <w:vAlign w:val="center"/>
          </w:tcPr>
          <w:p w14:paraId="6D16386F"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Pension Fund Accounts</w:t>
            </w:r>
          </w:p>
          <w:p w14:paraId="6D163870"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Summary</w:t>
            </w:r>
          </w:p>
        </w:tc>
        <w:tc>
          <w:tcPr>
            <w:tcW w:w="1514" w:type="dxa"/>
            <w:vAlign w:val="center"/>
          </w:tcPr>
          <w:p w14:paraId="6D163871"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p>
          <w:p w14:paraId="6D163872"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 xml:space="preserve">Paper </w:t>
            </w:r>
            <w:proofErr w:type="gramStart"/>
            <w:r w:rsidRPr="00601B12">
              <w:rPr>
                <w:rFonts w:ascii="Arial" w:hAnsi="Arial" w:cs="Arial"/>
                <w:color w:val="000000"/>
                <w:sz w:val="22"/>
                <w:szCs w:val="22"/>
              </w:rPr>
              <w:t>based</w:t>
            </w:r>
            <w:proofErr w:type="gramEnd"/>
          </w:p>
          <w:p w14:paraId="6D163873"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p>
        </w:tc>
        <w:tc>
          <w:tcPr>
            <w:tcW w:w="2434" w:type="dxa"/>
            <w:vAlign w:val="center"/>
          </w:tcPr>
          <w:p w14:paraId="6D163874"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p>
          <w:p w14:paraId="6D163875"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At valuation</w:t>
            </w:r>
          </w:p>
          <w:p w14:paraId="6D163876"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p>
        </w:tc>
        <w:tc>
          <w:tcPr>
            <w:tcW w:w="2179" w:type="dxa"/>
            <w:vAlign w:val="center"/>
          </w:tcPr>
          <w:p w14:paraId="6D163877"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Via employers</w:t>
            </w:r>
          </w:p>
        </w:tc>
        <w:tc>
          <w:tcPr>
            <w:tcW w:w="1762" w:type="dxa"/>
            <w:vAlign w:val="center"/>
          </w:tcPr>
          <w:p w14:paraId="6D163878"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All</w:t>
            </w:r>
          </w:p>
          <w:p w14:paraId="6D163879"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Actives</w:t>
            </w:r>
          </w:p>
        </w:tc>
      </w:tr>
      <w:tr w:rsidR="009A4D2C" w:rsidRPr="00601B12" w14:paraId="6D163881" w14:textId="77777777" w:rsidTr="00500928">
        <w:trPr>
          <w:trHeight w:val="473"/>
        </w:trPr>
        <w:tc>
          <w:tcPr>
            <w:tcW w:w="2043" w:type="dxa"/>
            <w:vAlign w:val="center"/>
          </w:tcPr>
          <w:p w14:paraId="6D16387B"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Estimated Benefit Statements</w:t>
            </w:r>
          </w:p>
          <w:p w14:paraId="6D16387C"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p>
        </w:tc>
        <w:tc>
          <w:tcPr>
            <w:tcW w:w="1514" w:type="dxa"/>
            <w:vAlign w:val="center"/>
          </w:tcPr>
          <w:p w14:paraId="6D16387D"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Paper based</w:t>
            </w:r>
          </w:p>
        </w:tc>
        <w:tc>
          <w:tcPr>
            <w:tcW w:w="2434" w:type="dxa"/>
            <w:vAlign w:val="center"/>
          </w:tcPr>
          <w:p w14:paraId="6D16387E"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Annually</w:t>
            </w:r>
          </w:p>
        </w:tc>
        <w:tc>
          <w:tcPr>
            <w:tcW w:w="2179" w:type="dxa"/>
            <w:vAlign w:val="center"/>
          </w:tcPr>
          <w:p w14:paraId="6D16387F"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Post to home address</w:t>
            </w:r>
          </w:p>
        </w:tc>
        <w:tc>
          <w:tcPr>
            <w:tcW w:w="1762" w:type="dxa"/>
            <w:vAlign w:val="center"/>
          </w:tcPr>
          <w:p w14:paraId="6D163880"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 xml:space="preserve">active </w:t>
            </w:r>
            <w:r w:rsidR="009A4D2C" w:rsidRPr="00601B12">
              <w:rPr>
                <w:rFonts w:ascii="Arial" w:hAnsi="Arial" w:cs="Arial"/>
                <w:color w:val="000000"/>
                <w:sz w:val="22"/>
                <w:szCs w:val="22"/>
              </w:rPr>
              <w:t>&amp;</w:t>
            </w:r>
            <w:r w:rsidRPr="00601B12">
              <w:rPr>
                <w:rFonts w:ascii="Arial" w:hAnsi="Arial" w:cs="Arial"/>
                <w:color w:val="000000"/>
                <w:sz w:val="22"/>
                <w:szCs w:val="22"/>
              </w:rPr>
              <w:t xml:space="preserve"> deferred members</w:t>
            </w:r>
          </w:p>
        </w:tc>
      </w:tr>
      <w:tr w:rsidR="009A4D2C" w:rsidRPr="00601B12" w14:paraId="6D163888" w14:textId="77777777" w:rsidTr="00500928">
        <w:trPr>
          <w:trHeight w:val="306"/>
        </w:trPr>
        <w:tc>
          <w:tcPr>
            <w:tcW w:w="2043" w:type="dxa"/>
            <w:vAlign w:val="center"/>
          </w:tcPr>
          <w:p w14:paraId="6D163882"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Face to Face education sessions</w:t>
            </w:r>
          </w:p>
        </w:tc>
        <w:tc>
          <w:tcPr>
            <w:tcW w:w="1514" w:type="dxa"/>
            <w:vAlign w:val="center"/>
          </w:tcPr>
          <w:p w14:paraId="6D163883"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Face to Face</w:t>
            </w:r>
          </w:p>
        </w:tc>
        <w:tc>
          <w:tcPr>
            <w:tcW w:w="2434" w:type="dxa"/>
            <w:vAlign w:val="center"/>
          </w:tcPr>
          <w:p w14:paraId="6D163884"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On request</w:t>
            </w:r>
          </w:p>
        </w:tc>
        <w:tc>
          <w:tcPr>
            <w:tcW w:w="2179" w:type="dxa"/>
            <w:vAlign w:val="center"/>
          </w:tcPr>
          <w:p w14:paraId="6D163885"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On request</w:t>
            </w:r>
          </w:p>
        </w:tc>
        <w:tc>
          <w:tcPr>
            <w:tcW w:w="1762" w:type="dxa"/>
            <w:vAlign w:val="center"/>
          </w:tcPr>
          <w:p w14:paraId="6D163886"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All</w:t>
            </w:r>
          </w:p>
          <w:p w14:paraId="6D163887"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p>
        </w:tc>
      </w:tr>
      <w:tr w:rsidR="009A4D2C" w:rsidRPr="00601B12" w14:paraId="6D16388E" w14:textId="77777777" w:rsidTr="00500928">
        <w:trPr>
          <w:trHeight w:val="314"/>
        </w:trPr>
        <w:tc>
          <w:tcPr>
            <w:tcW w:w="2043" w:type="dxa"/>
            <w:vAlign w:val="center"/>
          </w:tcPr>
          <w:p w14:paraId="6D163889"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Joiner Packs</w:t>
            </w:r>
          </w:p>
        </w:tc>
        <w:tc>
          <w:tcPr>
            <w:tcW w:w="1514" w:type="dxa"/>
            <w:vAlign w:val="center"/>
          </w:tcPr>
          <w:p w14:paraId="6D16388A"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Paper based</w:t>
            </w:r>
          </w:p>
        </w:tc>
        <w:tc>
          <w:tcPr>
            <w:tcW w:w="2434" w:type="dxa"/>
            <w:vAlign w:val="center"/>
          </w:tcPr>
          <w:p w14:paraId="6D16388B"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On joining</w:t>
            </w:r>
          </w:p>
        </w:tc>
        <w:tc>
          <w:tcPr>
            <w:tcW w:w="2179" w:type="dxa"/>
            <w:vAlign w:val="center"/>
          </w:tcPr>
          <w:p w14:paraId="6D16388C"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Post to home addresses</w:t>
            </w:r>
          </w:p>
        </w:tc>
        <w:tc>
          <w:tcPr>
            <w:tcW w:w="1762" w:type="dxa"/>
            <w:vAlign w:val="center"/>
          </w:tcPr>
          <w:p w14:paraId="6D16388D" w14:textId="77777777" w:rsidR="00427FA7" w:rsidRPr="00601B12" w:rsidRDefault="00427FA7" w:rsidP="00500928">
            <w:pPr>
              <w:autoSpaceDE w:val="0"/>
              <w:autoSpaceDN w:val="0"/>
              <w:adjustRightInd w:val="0"/>
              <w:ind w:left="-105" w:right="-50"/>
              <w:jc w:val="center"/>
              <w:rPr>
                <w:rFonts w:ascii="Arial" w:hAnsi="Arial" w:cs="Arial"/>
                <w:color w:val="000000"/>
                <w:sz w:val="22"/>
                <w:szCs w:val="22"/>
              </w:rPr>
            </w:pPr>
            <w:r w:rsidRPr="00601B12">
              <w:rPr>
                <w:rFonts w:ascii="Arial" w:hAnsi="Arial" w:cs="Arial"/>
                <w:color w:val="000000"/>
                <w:sz w:val="22"/>
                <w:szCs w:val="22"/>
              </w:rPr>
              <w:t>Active members</w:t>
            </w:r>
          </w:p>
        </w:tc>
      </w:tr>
    </w:tbl>
    <w:p w14:paraId="6D16388F" w14:textId="77777777" w:rsidR="00345EF2" w:rsidRPr="00601B12" w:rsidRDefault="00345EF2" w:rsidP="00427FA7">
      <w:pPr>
        <w:pStyle w:val="ListParagraph"/>
        <w:autoSpaceDE w:val="0"/>
        <w:autoSpaceDN w:val="0"/>
        <w:adjustRightInd w:val="0"/>
        <w:spacing w:after="0" w:line="240" w:lineRule="auto"/>
        <w:ind w:left="142"/>
        <w:jc w:val="both"/>
        <w:rPr>
          <w:rFonts w:ascii="Arial" w:hAnsi="Arial" w:cs="Arial"/>
          <w:color w:val="000000"/>
        </w:rPr>
      </w:pPr>
    </w:p>
    <w:p w14:paraId="6D163890" w14:textId="77777777" w:rsidR="00427FA7" w:rsidRPr="00601B12"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601B12">
        <w:rPr>
          <w:rFonts w:ascii="Arial" w:hAnsi="Arial" w:cs="Arial"/>
          <w:b/>
          <w:color w:val="000000"/>
        </w:rPr>
        <w:t>2.4</w:t>
      </w:r>
      <w:r w:rsidRPr="00601B12">
        <w:rPr>
          <w:rFonts w:ascii="Arial" w:hAnsi="Arial" w:cs="Arial"/>
          <w:b/>
          <w:color w:val="000000"/>
        </w:rPr>
        <w:tab/>
      </w:r>
      <w:r w:rsidRPr="00601B12">
        <w:rPr>
          <w:rFonts w:ascii="Arial" w:hAnsi="Arial" w:cs="Arial"/>
          <w:b/>
          <w:bCs/>
          <w:iCs/>
          <w:color w:val="000000"/>
        </w:rPr>
        <w:t>Explanation of communications</w:t>
      </w:r>
    </w:p>
    <w:p w14:paraId="6D163891" w14:textId="77777777" w:rsidR="00427FA7" w:rsidRPr="00601B12" w:rsidRDefault="00427FA7" w:rsidP="00427FA7">
      <w:pPr>
        <w:autoSpaceDE w:val="0"/>
        <w:autoSpaceDN w:val="0"/>
        <w:adjustRightInd w:val="0"/>
        <w:jc w:val="both"/>
        <w:rPr>
          <w:rFonts w:ascii="Arial" w:hAnsi="Arial" w:cs="Arial"/>
          <w:b/>
          <w:bCs/>
          <w:iCs/>
          <w:color w:val="000000"/>
          <w:sz w:val="22"/>
          <w:szCs w:val="22"/>
        </w:rPr>
      </w:pPr>
    </w:p>
    <w:p w14:paraId="6D163892" w14:textId="77777777" w:rsidR="00427FA7" w:rsidRPr="00601B12" w:rsidRDefault="00427FA7" w:rsidP="004C17A4">
      <w:pPr>
        <w:pStyle w:val="ListParagraph"/>
        <w:numPr>
          <w:ilvl w:val="0"/>
          <w:numId w:val="19"/>
        </w:numPr>
        <w:autoSpaceDE w:val="0"/>
        <w:autoSpaceDN w:val="0"/>
        <w:adjustRightInd w:val="0"/>
        <w:spacing w:after="0" w:line="240" w:lineRule="auto"/>
        <w:ind w:left="1080"/>
        <w:jc w:val="both"/>
        <w:rPr>
          <w:rFonts w:ascii="Arial" w:hAnsi="Arial" w:cs="Arial"/>
          <w:color w:val="000000"/>
        </w:rPr>
      </w:pPr>
      <w:r w:rsidRPr="00601B12">
        <w:rPr>
          <w:rFonts w:ascii="Arial" w:hAnsi="Arial" w:cs="Arial"/>
          <w:b/>
          <w:color w:val="000000"/>
        </w:rPr>
        <w:t>Scheme booklet</w:t>
      </w:r>
      <w:r w:rsidRPr="00601B12">
        <w:rPr>
          <w:rFonts w:ascii="Arial" w:hAnsi="Arial" w:cs="Arial"/>
          <w:color w:val="000000"/>
        </w:rPr>
        <w:t xml:space="preserve"> – A booklet providing a relatively detailed overview of the LGPS, including who can join, how much it costs, the retirement and death benefits and how to increase the value of </w:t>
      </w:r>
      <w:proofErr w:type="gramStart"/>
      <w:r w:rsidRPr="00601B12">
        <w:rPr>
          <w:rFonts w:ascii="Arial" w:hAnsi="Arial" w:cs="Arial"/>
          <w:color w:val="000000"/>
        </w:rPr>
        <w:t>benefits;</w:t>
      </w:r>
      <w:proofErr w:type="gramEnd"/>
      <w:r w:rsidRPr="00601B12">
        <w:rPr>
          <w:rFonts w:ascii="Arial" w:hAnsi="Arial" w:cs="Arial"/>
          <w:color w:val="000000"/>
        </w:rPr>
        <w:t xml:space="preserve"> </w:t>
      </w:r>
    </w:p>
    <w:p w14:paraId="6D163893" w14:textId="77777777" w:rsidR="00427FA7" w:rsidRPr="00601B12" w:rsidRDefault="00427FA7" w:rsidP="00345EF2">
      <w:pPr>
        <w:pStyle w:val="ListParagraph"/>
        <w:autoSpaceDE w:val="0"/>
        <w:autoSpaceDN w:val="0"/>
        <w:adjustRightInd w:val="0"/>
        <w:spacing w:after="0" w:line="240" w:lineRule="auto"/>
        <w:ind w:left="1080"/>
        <w:jc w:val="both"/>
        <w:rPr>
          <w:rFonts w:ascii="Arial" w:hAnsi="Arial" w:cs="Arial"/>
          <w:color w:val="000000"/>
          <w:sz w:val="16"/>
          <w:szCs w:val="16"/>
        </w:rPr>
      </w:pPr>
    </w:p>
    <w:p w14:paraId="6D163894" w14:textId="77777777" w:rsidR="00427FA7" w:rsidRPr="00601B12" w:rsidRDefault="00427FA7" w:rsidP="004C17A4">
      <w:pPr>
        <w:pStyle w:val="ListParagraph"/>
        <w:numPr>
          <w:ilvl w:val="0"/>
          <w:numId w:val="19"/>
        </w:numPr>
        <w:autoSpaceDE w:val="0"/>
        <w:autoSpaceDN w:val="0"/>
        <w:adjustRightInd w:val="0"/>
        <w:spacing w:after="0" w:line="240" w:lineRule="auto"/>
        <w:ind w:left="1080"/>
        <w:jc w:val="both"/>
        <w:rPr>
          <w:rFonts w:ascii="Arial" w:hAnsi="Arial" w:cs="Arial"/>
          <w:color w:val="000000"/>
        </w:rPr>
      </w:pPr>
      <w:r w:rsidRPr="00601B12">
        <w:rPr>
          <w:rFonts w:ascii="Arial" w:hAnsi="Arial" w:cs="Arial"/>
          <w:b/>
          <w:color w:val="000000"/>
        </w:rPr>
        <w:t>Newsletters</w:t>
      </w:r>
      <w:r w:rsidRPr="00601B12">
        <w:rPr>
          <w:rFonts w:ascii="Arial" w:hAnsi="Arial" w:cs="Arial"/>
          <w:color w:val="000000"/>
        </w:rPr>
        <w:t xml:space="preserve"> – An ad hoc newsletter which provides updates in relation to changes to the LGPS as well as other related news, such as national changes to pensions, a summary of the accounts for the year, contact details, </w:t>
      </w:r>
      <w:proofErr w:type="gramStart"/>
      <w:r w:rsidRPr="00601B12">
        <w:rPr>
          <w:rFonts w:ascii="Arial" w:hAnsi="Arial" w:cs="Arial"/>
          <w:color w:val="000000"/>
        </w:rPr>
        <w:t>etc;</w:t>
      </w:r>
      <w:proofErr w:type="gramEnd"/>
    </w:p>
    <w:p w14:paraId="6D163895" w14:textId="77777777" w:rsidR="00427FA7" w:rsidRPr="00601B12" w:rsidRDefault="00427FA7" w:rsidP="00345EF2">
      <w:pPr>
        <w:pStyle w:val="ListParagraph"/>
        <w:autoSpaceDE w:val="0"/>
        <w:autoSpaceDN w:val="0"/>
        <w:adjustRightInd w:val="0"/>
        <w:spacing w:after="0" w:line="240" w:lineRule="auto"/>
        <w:ind w:left="1080"/>
        <w:jc w:val="both"/>
        <w:rPr>
          <w:rFonts w:ascii="Arial" w:hAnsi="Arial" w:cs="Arial"/>
          <w:color w:val="000000"/>
          <w:sz w:val="16"/>
          <w:szCs w:val="16"/>
        </w:rPr>
      </w:pPr>
    </w:p>
    <w:p w14:paraId="6D163896" w14:textId="77777777" w:rsidR="00427FA7" w:rsidRPr="00601B12" w:rsidRDefault="00427FA7" w:rsidP="004C17A4">
      <w:pPr>
        <w:pStyle w:val="ListParagraph"/>
        <w:numPr>
          <w:ilvl w:val="0"/>
          <w:numId w:val="19"/>
        </w:numPr>
        <w:autoSpaceDE w:val="0"/>
        <w:autoSpaceDN w:val="0"/>
        <w:adjustRightInd w:val="0"/>
        <w:spacing w:after="0" w:line="240" w:lineRule="auto"/>
        <w:ind w:left="1080"/>
        <w:jc w:val="both"/>
        <w:rPr>
          <w:rFonts w:ascii="Arial" w:hAnsi="Arial" w:cs="Arial"/>
          <w:color w:val="000000"/>
        </w:rPr>
      </w:pPr>
      <w:r w:rsidRPr="00601B12">
        <w:rPr>
          <w:rFonts w:ascii="Arial" w:hAnsi="Arial" w:cs="Arial"/>
          <w:b/>
          <w:color w:val="000000"/>
        </w:rPr>
        <w:t>Fund Report and Accounts</w:t>
      </w:r>
      <w:r w:rsidRPr="00601B12">
        <w:rPr>
          <w:rFonts w:ascii="Arial" w:hAnsi="Arial" w:cs="Arial"/>
          <w:color w:val="000000"/>
        </w:rPr>
        <w:t xml:space="preserve"> – Details of the value of the Fund during the financial year, </w:t>
      </w:r>
      <w:proofErr w:type="gramStart"/>
      <w:r w:rsidRPr="00601B12">
        <w:rPr>
          <w:rFonts w:ascii="Arial" w:hAnsi="Arial" w:cs="Arial"/>
          <w:color w:val="000000"/>
        </w:rPr>
        <w:t>income</w:t>
      </w:r>
      <w:proofErr w:type="gramEnd"/>
      <w:r w:rsidRPr="00601B12">
        <w:rPr>
          <w:rFonts w:ascii="Arial" w:hAnsi="Arial" w:cs="Arial"/>
          <w:color w:val="000000"/>
        </w:rPr>
        <w:t xml:space="preserve"> and expenditure as well as other related details, for example, the current employing authorities and scheme membership numbers. This is a somewhat detailed and lengthy document and, therefore, it will not be routinely distributed except on request. A summary document, as detailed below, will be </w:t>
      </w:r>
      <w:proofErr w:type="gramStart"/>
      <w:r w:rsidRPr="00601B12">
        <w:rPr>
          <w:rFonts w:ascii="Arial" w:hAnsi="Arial" w:cs="Arial"/>
          <w:color w:val="000000"/>
        </w:rPr>
        <w:t>distributed;</w:t>
      </w:r>
      <w:proofErr w:type="gramEnd"/>
    </w:p>
    <w:p w14:paraId="6D163897" w14:textId="77777777" w:rsidR="00427FA7" w:rsidRPr="00601B12" w:rsidRDefault="00427FA7" w:rsidP="00345EF2">
      <w:pPr>
        <w:pStyle w:val="ListParagraph"/>
        <w:autoSpaceDE w:val="0"/>
        <w:autoSpaceDN w:val="0"/>
        <w:adjustRightInd w:val="0"/>
        <w:spacing w:after="0" w:line="240" w:lineRule="auto"/>
        <w:ind w:left="1080"/>
        <w:jc w:val="both"/>
        <w:rPr>
          <w:rFonts w:ascii="Arial" w:hAnsi="Arial" w:cs="Arial"/>
          <w:color w:val="000000"/>
          <w:sz w:val="16"/>
          <w:szCs w:val="16"/>
        </w:rPr>
      </w:pPr>
    </w:p>
    <w:p w14:paraId="6D163898" w14:textId="77777777" w:rsidR="00427FA7" w:rsidRPr="00601B12" w:rsidRDefault="00427FA7" w:rsidP="004C17A4">
      <w:pPr>
        <w:pStyle w:val="ListParagraph"/>
        <w:numPr>
          <w:ilvl w:val="0"/>
          <w:numId w:val="19"/>
        </w:numPr>
        <w:autoSpaceDE w:val="0"/>
        <w:autoSpaceDN w:val="0"/>
        <w:adjustRightInd w:val="0"/>
        <w:spacing w:after="0" w:line="240" w:lineRule="auto"/>
        <w:ind w:left="1080"/>
        <w:jc w:val="both"/>
        <w:rPr>
          <w:rFonts w:ascii="Arial" w:hAnsi="Arial" w:cs="Arial"/>
          <w:color w:val="000000"/>
        </w:rPr>
      </w:pPr>
      <w:r w:rsidRPr="00601B12">
        <w:rPr>
          <w:rFonts w:ascii="Arial" w:hAnsi="Arial" w:cs="Arial"/>
          <w:b/>
          <w:color w:val="000000"/>
        </w:rPr>
        <w:t>Fund Report and Accounts Summary</w:t>
      </w:r>
      <w:r w:rsidRPr="00601B12">
        <w:rPr>
          <w:rFonts w:ascii="Arial" w:hAnsi="Arial" w:cs="Arial"/>
          <w:color w:val="000000"/>
        </w:rPr>
        <w:t xml:space="preserve"> – provides a handy summary of the position of the Fund during the financial year, income and expenditure as well as other related </w:t>
      </w:r>
      <w:proofErr w:type="gramStart"/>
      <w:r w:rsidRPr="00601B12">
        <w:rPr>
          <w:rFonts w:ascii="Arial" w:hAnsi="Arial" w:cs="Arial"/>
          <w:color w:val="000000"/>
        </w:rPr>
        <w:t>details;</w:t>
      </w:r>
      <w:proofErr w:type="gramEnd"/>
    </w:p>
    <w:p w14:paraId="6D163899" w14:textId="77777777" w:rsidR="00427FA7" w:rsidRPr="00601B12" w:rsidRDefault="00427FA7" w:rsidP="00345EF2">
      <w:pPr>
        <w:pStyle w:val="ListParagraph"/>
        <w:autoSpaceDE w:val="0"/>
        <w:autoSpaceDN w:val="0"/>
        <w:adjustRightInd w:val="0"/>
        <w:spacing w:after="0" w:line="240" w:lineRule="auto"/>
        <w:ind w:left="1080"/>
        <w:jc w:val="both"/>
        <w:rPr>
          <w:rFonts w:ascii="Arial" w:hAnsi="Arial" w:cs="Arial"/>
          <w:color w:val="000000"/>
          <w:sz w:val="16"/>
          <w:szCs w:val="16"/>
        </w:rPr>
      </w:pPr>
    </w:p>
    <w:p w14:paraId="6D16389A" w14:textId="77777777" w:rsidR="00427FA7" w:rsidRPr="00601B12" w:rsidRDefault="00427FA7" w:rsidP="004C17A4">
      <w:pPr>
        <w:pStyle w:val="ListParagraph"/>
        <w:numPr>
          <w:ilvl w:val="0"/>
          <w:numId w:val="19"/>
        </w:numPr>
        <w:autoSpaceDE w:val="0"/>
        <w:autoSpaceDN w:val="0"/>
        <w:adjustRightInd w:val="0"/>
        <w:spacing w:after="0" w:line="240" w:lineRule="auto"/>
        <w:ind w:left="1080"/>
        <w:jc w:val="both"/>
        <w:rPr>
          <w:rFonts w:ascii="Arial" w:hAnsi="Arial" w:cs="Arial"/>
          <w:color w:val="000000"/>
        </w:rPr>
      </w:pPr>
      <w:r w:rsidRPr="00601B12">
        <w:rPr>
          <w:rFonts w:ascii="Arial" w:hAnsi="Arial" w:cs="Arial"/>
          <w:b/>
          <w:color w:val="000000"/>
        </w:rPr>
        <w:t>Estimated Benefit Statements</w:t>
      </w:r>
      <w:r w:rsidRPr="00601B12">
        <w:rPr>
          <w:rFonts w:ascii="Arial" w:hAnsi="Arial" w:cs="Arial"/>
          <w:color w:val="000000"/>
        </w:rPr>
        <w:t xml:space="preserve"> – For active members these include the current value of benefits as well as the projected benefits at age 65. The associated death benefits are also shown as well as details of any individuals the member has nominated to receive the lump sum death grant. State benefits are also included. In relation to deferred members, the benefit statement includes the current value of the deferred benefits and the earliest payment date of the </w:t>
      </w:r>
      <w:proofErr w:type="gramStart"/>
      <w:r w:rsidRPr="00601B12">
        <w:rPr>
          <w:rFonts w:ascii="Arial" w:hAnsi="Arial" w:cs="Arial"/>
          <w:color w:val="000000"/>
        </w:rPr>
        <w:t>benefits;</w:t>
      </w:r>
      <w:proofErr w:type="gramEnd"/>
    </w:p>
    <w:p w14:paraId="6D16389B" w14:textId="77777777" w:rsidR="00427FA7" w:rsidRPr="00601B12" w:rsidRDefault="00427FA7" w:rsidP="00345EF2">
      <w:pPr>
        <w:pStyle w:val="ListParagraph"/>
        <w:autoSpaceDE w:val="0"/>
        <w:autoSpaceDN w:val="0"/>
        <w:adjustRightInd w:val="0"/>
        <w:spacing w:after="0" w:line="240" w:lineRule="auto"/>
        <w:ind w:left="1080"/>
        <w:jc w:val="both"/>
        <w:rPr>
          <w:rFonts w:ascii="Arial" w:hAnsi="Arial" w:cs="Arial"/>
          <w:color w:val="000000"/>
          <w:sz w:val="16"/>
          <w:szCs w:val="16"/>
        </w:rPr>
      </w:pPr>
    </w:p>
    <w:p w14:paraId="6D16389C" w14:textId="77777777" w:rsidR="00427FA7" w:rsidRPr="00601B12" w:rsidRDefault="00427FA7" w:rsidP="004C17A4">
      <w:pPr>
        <w:pStyle w:val="ListParagraph"/>
        <w:numPr>
          <w:ilvl w:val="0"/>
          <w:numId w:val="19"/>
        </w:numPr>
        <w:autoSpaceDE w:val="0"/>
        <w:autoSpaceDN w:val="0"/>
        <w:adjustRightInd w:val="0"/>
        <w:spacing w:after="0" w:line="240" w:lineRule="auto"/>
        <w:ind w:left="1080"/>
        <w:jc w:val="both"/>
        <w:rPr>
          <w:rFonts w:ascii="Arial" w:hAnsi="Arial" w:cs="Arial"/>
          <w:color w:val="000000"/>
        </w:rPr>
      </w:pPr>
      <w:r w:rsidRPr="00601B12">
        <w:rPr>
          <w:rFonts w:ascii="Arial" w:hAnsi="Arial" w:cs="Arial"/>
          <w:b/>
          <w:color w:val="000000"/>
        </w:rPr>
        <w:t>Face to face education sessions</w:t>
      </w:r>
      <w:r w:rsidRPr="00601B12">
        <w:rPr>
          <w:rFonts w:ascii="Arial" w:hAnsi="Arial" w:cs="Arial"/>
          <w:color w:val="000000"/>
        </w:rPr>
        <w:t xml:space="preserve"> – These are education sessions that are available on request for small groups of members. For example, where an employer is going through a restructuring, it may be beneficial for the employees to understand the impact any pay reduction may have on their pension rights; and</w:t>
      </w:r>
    </w:p>
    <w:p w14:paraId="6D16389D" w14:textId="77777777" w:rsidR="00427FA7" w:rsidRPr="00601B12" w:rsidRDefault="00427FA7" w:rsidP="00345EF2">
      <w:pPr>
        <w:pStyle w:val="ListParagraph"/>
        <w:autoSpaceDE w:val="0"/>
        <w:autoSpaceDN w:val="0"/>
        <w:adjustRightInd w:val="0"/>
        <w:spacing w:after="0" w:line="240" w:lineRule="auto"/>
        <w:ind w:left="1080"/>
        <w:jc w:val="both"/>
        <w:rPr>
          <w:rFonts w:ascii="Arial" w:hAnsi="Arial" w:cs="Arial"/>
          <w:color w:val="000000"/>
          <w:sz w:val="16"/>
          <w:szCs w:val="16"/>
        </w:rPr>
      </w:pPr>
    </w:p>
    <w:p w14:paraId="6D16389E" w14:textId="77777777" w:rsidR="00427FA7" w:rsidRPr="00601B12" w:rsidRDefault="00427FA7" w:rsidP="004C17A4">
      <w:pPr>
        <w:pStyle w:val="ListParagraph"/>
        <w:numPr>
          <w:ilvl w:val="0"/>
          <w:numId w:val="19"/>
        </w:numPr>
        <w:autoSpaceDE w:val="0"/>
        <w:autoSpaceDN w:val="0"/>
        <w:adjustRightInd w:val="0"/>
        <w:spacing w:after="0" w:line="240" w:lineRule="auto"/>
        <w:ind w:left="1080"/>
        <w:jc w:val="both"/>
        <w:rPr>
          <w:rFonts w:ascii="Arial" w:hAnsi="Arial" w:cs="Arial"/>
          <w:color w:val="000000"/>
        </w:rPr>
      </w:pPr>
      <w:r w:rsidRPr="00601B12">
        <w:rPr>
          <w:rFonts w:ascii="Arial" w:hAnsi="Arial" w:cs="Arial"/>
          <w:b/>
          <w:color w:val="000000"/>
        </w:rPr>
        <w:t>Joiner packs</w:t>
      </w:r>
      <w:r w:rsidRPr="00601B12">
        <w:rPr>
          <w:rFonts w:ascii="Arial" w:hAnsi="Arial" w:cs="Arial"/>
          <w:color w:val="000000"/>
        </w:rPr>
        <w:t xml:space="preserve"> – These complement the joiner booklet and enclose information on </w:t>
      </w:r>
      <w:proofErr w:type="gramStart"/>
      <w:r w:rsidRPr="00601B12">
        <w:rPr>
          <w:rFonts w:ascii="Arial" w:hAnsi="Arial" w:cs="Arial"/>
          <w:color w:val="000000"/>
        </w:rPr>
        <w:t>AVCs</w:t>
      </w:r>
      <w:proofErr w:type="gramEnd"/>
      <w:r w:rsidRPr="00601B12">
        <w:rPr>
          <w:rFonts w:ascii="Arial" w:hAnsi="Arial" w:cs="Arial"/>
          <w:color w:val="000000"/>
        </w:rPr>
        <w:t xml:space="preserve"> and the paperwork needed to join the scheme.</w:t>
      </w:r>
    </w:p>
    <w:p w14:paraId="6D16389F"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A0" w14:textId="77777777" w:rsidR="00427FA7" w:rsidRPr="00601B12"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601B12">
        <w:rPr>
          <w:rFonts w:ascii="Arial" w:hAnsi="Arial" w:cs="Arial"/>
          <w:b/>
          <w:bCs/>
          <w:color w:val="000000"/>
        </w:rPr>
        <w:t>2.5</w:t>
      </w:r>
      <w:r w:rsidRPr="00601B12">
        <w:rPr>
          <w:rFonts w:ascii="Arial" w:hAnsi="Arial" w:cs="Arial"/>
          <w:b/>
          <w:bCs/>
          <w:color w:val="000000"/>
        </w:rPr>
        <w:tab/>
        <w:t xml:space="preserve">Policy on promotion of the scheme to Prospective Members and their Employing </w:t>
      </w:r>
      <w:r w:rsidR="00345EF2" w:rsidRPr="00601B12">
        <w:rPr>
          <w:rFonts w:ascii="Arial" w:hAnsi="Arial" w:cs="Arial"/>
          <w:b/>
          <w:bCs/>
          <w:color w:val="000000"/>
        </w:rPr>
        <w:tab/>
      </w:r>
      <w:r w:rsidRPr="00601B12">
        <w:rPr>
          <w:rFonts w:ascii="Arial" w:hAnsi="Arial" w:cs="Arial"/>
          <w:b/>
          <w:bCs/>
          <w:color w:val="000000"/>
        </w:rPr>
        <w:t>Authorities</w:t>
      </w:r>
    </w:p>
    <w:p w14:paraId="6D1638A1" w14:textId="77777777" w:rsidR="00427FA7" w:rsidRPr="00601B12" w:rsidRDefault="00427FA7" w:rsidP="00427FA7">
      <w:pPr>
        <w:autoSpaceDE w:val="0"/>
        <w:autoSpaceDN w:val="0"/>
        <w:adjustRightInd w:val="0"/>
        <w:jc w:val="both"/>
        <w:rPr>
          <w:rFonts w:ascii="Arial" w:hAnsi="Arial" w:cs="Arial"/>
          <w:b/>
          <w:bCs/>
          <w:color w:val="000000"/>
          <w:sz w:val="22"/>
          <w:szCs w:val="22"/>
        </w:rPr>
      </w:pPr>
    </w:p>
    <w:p w14:paraId="6D1638A2" w14:textId="77777777" w:rsidR="00427FA7" w:rsidRPr="00601B12" w:rsidRDefault="00345EF2"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ab/>
      </w:r>
      <w:r w:rsidR="00427FA7" w:rsidRPr="00601B12">
        <w:rPr>
          <w:rFonts w:ascii="Arial" w:hAnsi="Arial" w:cs="Arial"/>
          <w:color w:val="000000"/>
          <w:sz w:val="22"/>
          <w:szCs w:val="22"/>
        </w:rPr>
        <w:t xml:space="preserve">Our objectives </w:t>
      </w:r>
      <w:r w:rsidR="00500928" w:rsidRPr="00601B12">
        <w:rPr>
          <w:rFonts w:ascii="Arial" w:hAnsi="Arial" w:cs="Arial"/>
          <w:color w:val="000000"/>
          <w:sz w:val="22"/>
          <w:szCs w:val="22"/>
        </w:rPr>
        <w:t>regarding</w:t>
      </w:r>
      <w:r w:rsidR="00427FA7" w:rsidRPr="00601B12">
        <w:rPr>
          <w:rFonts w:ascii="Arial" w:hAnsi="Arial" w:cs="Arial"/>
          <w:color w:val="000000"/>
          <w:sz w:val="22"/>
          <w:szCs w:val="22"/>
        </w:rPr>
        <w:t xml:space="preserve"> communication with prospective members are:</w:t>
      </w:r>
    </w:p>
    <w:p w14:paraId="6D1638A3"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A4" w14:textId="77777777" w:rsidR="00427FA7" w:rsidRPr="00601B12" w:rsidRDefault="00427FA7" w:rsidP="004C17A4">
      <w:pPr>
        <w:pStyle w:val="ListParagraph"/>
        <w:numPr>
          <w:ilvl w:val="0"/>
          <w:numId w:val="20"/>
        </w:numPr>
        <w:autoSpaceDE w:val="0"/>
        <w:autoSpaceDN w:val="0"/>
        <w:adjustRightInd w:val="0"/>
        <w:spacing w:after="0" w:line="240" w:lineRule="auto"/>
        <w:ind w:left="1134"/>
        <w:jc w:val="both"/>
        <w:rPr>
          <w:rFonts w:ascii="Arial" w:hAnsi="Arial" w:cs="Arial"/>
          <w:color w:val="000000"/>
        </w:rPr>
      </w:pPr>
      <w:r w:rsidRPr="00601B12">
        <w:rPr>
          <w:rFonts w:ascii="Arial" w:hAnsi="Arial" w:cs="Arial"/>
          <w:color w:val="000000"/>
        </w:rPr>
        <w:t xml:space="preserve">to improve take up of the </w:t>
      </w:r>
      <w:proofErr w:type="gramStart"/>
      <w:r w:rsidRPr="00601B12">
        <w:rPr>
          <w:rFonts w:ascii="Arial" w:hAnsi="Arial" w:cs="Arial"/>
          <w:color w:val="000000"/>
        </w:rPr>
        <w:t>LGPS;</w:t>
      </w:r>
      <w:proofErr w:type="gramEnd"/>
    </w:p>
    <w:p w14:paraId="6D1638A5" w14:textId="77777777" w:rsidR="00427FA7" w:rsidRPr="00601B12" w:rsidRDefault="00427FA7" w:rsidP="004C17A4">
      <w:pPr>
        <w:pStyle w:val="ListParagraph"/>
        <w:numPr>
          <w:ilvl w:val="0"/>
          <w:numId w:val="20"/>
        </w:numPr>
        <w:autoSpaceDE w:val="0"/>
        <w:autoSpaceDN w:val="0"/>
        <w:adjustRightInd w:val="0"/>
        <w:spacing w:after="0" w:line="240" w:lineRule="auto"/>
        <w:ind w:left="1134"/>
        <w:jc w:val="both"/>
        <w:rPr>
          <w:rFonts w:ascii="Arial" w:hAnsi="Arial" w:cs="Arial"/>
          <w:color w:val="000000"/>
        </w:rPr>
      </w:pPr>
      <w:r w:rsidRPr="00601B12">
        <w:rPr>
          <w:rFonts w:ascii="Arial" w:hAnsi="Arial" w:cs="Arial"/>
          <w:color w:val="000000"/>
        </w:rPr>
        <w:t>the LGPS to be used as a tool in the attraction of employees;</w:t>
      </w:r>
      <w:r w:rsidR="00345EF2" w:rsidRPr="00601B12">
        <w:rPr>
          <w:rFonts w:ascii="Arial" w:hAnsi="Arial" w:cs="Arial"/>
          <w:color w:val="000000"/>
        </w:rPr>
        <w:t xml:space="preserve"> and</w:t>
      </w:r>
    </w:p>
    <w:p w14:paraId="6D1638A6" w14:textId="77777777" w:rsidR="00427FA7" w:rsidRPr="00601B12" w:rsidRDefault="00427FA7" w:rsidP="004C17A4">
      <w:pPr>
        <w:pStyle w:val="ListParagraph"/>
        <w:numPr>
          <w:ilvl w:val="0"/>
          <w:numId w:val="20"/>
        </w:numPr>
        <w:autoSpaceDE w:val="0"/>
        <w:autoSpaceDN w:val="0"/>
        <w:adjustRightInd w:val="0"/>
        <w:spacing w:after="0" w:line="240" w:lineRule="auto"/>
        <w:ind w:left="1134"/>
        <w:jc w:val="both"/>
        <w:rPr>
          <w:rFonts w:ascii="Arial" w:hAnsi="Arial" w:cs="Arial"/>
          <w:color w:val="000000"/>
        </w:rPr>
      </w:pPr>
      <w:r w:rsidRPr="00601B12">
        <w:rPr>
          <w:rFonts w:ascii="Arial" w:hAnsi="Arial" w:cs="Arial"/>
          <w:color w:val="000000"/>
        </w:rPr>
        <w:t xml:space="preserve">our employers to be employers of choice. </w:t>
      </w:r>
    </w:p>
    <w:p w14:paraId="6D1638A7" w14:textId="77777777" w:rsidR="00427FA7" w:rsidRPr="00601B12" w:rsidRDefault="00427FA7" w:rsidP="00427FA7">
      <w:pPr>
        <w:autoSpaceDE w:val="0"/>
        <w:autoSpaceDN w:val="0"/>
        <w:adjustRightInd w:val="0"/>
        <w:jc w:val="both"/>
        <w:rPr>
          <w:rFonts w:ascii="Arial" w:hAnsi="Arial" w:cs="Arial"/>
          <w:color w:val="000000"/>
          <w:sz w:val="22"/>
          <w:szCs w:val="22"/>
        </w:rPr>
      </w:pPr>
    </w:p>
    <w:p w14:paraId="6D1638A8" w14:textId="77777777" w:rsidR="00427FA7" w:rsidRPr="00601B12" w:rsidRDefault="00345EF2" w:rsidP="00427FA7">
      <w:pPr>
        <w:autoSpaceDE w:val="0"/>
        <w:autoSpaceDN w:val="0"/>
        <w:adjustRightInd w:val="0"/>
        <w:jc w:val="both"/>
        <w:rPr>
          <w:rFonts w:ascii="Arial" w:hAnsi="Arial" w:cs="Arial"/>
          <w:color w:val="000000"/>
          <w:sz w:val="22"/>
          <w:szCs w:val="22"/>
        </w:rPr>
      </w:pPr>
      <w:r w:rsidRPr="00601B12">
        <w:rPr>
          <w:rFonts w:ascii="Arial" w:hAnsi="Arial" w:cs="Arial"/>
          <w:color w:val="000000"/>
          <w:sz w:val="22"/>
          <w:szCs w:val="22"/>
        </w:rPr>
        <w:t xml:space="preserve">The </w:t>
      </w:r>
      <w:r w:rsidR="00427FA7" w:rsidRPr="00601B12">
        <w:rPr>
          <w:rFonts w:ascii="Arial" w:hAnsi="Arial" w:cs="Arial"/>
          <w:color w:val="000000"/>
          <w:sz w:val="22"/>
          <w:szCs w:val="22"/>
        </w:rPr>
        <w:t xml:space="preserve">Pension </w:t>
      </w:r>
      <w:r w:rsidRPr="00601B12">
        <w:rPr>
          <w:rFonts w:ascii="Arial" w:hAnsi="Arial" w:cs="Arial"/>
          <w:color w:val="000000"/>
          <w:sz w:val="22"/>
          <w:szCs w:val="22"/>
        </w:rPr>
        <w:t xml:space="preserve">Administration Section </w:t>
      </w:r>
      <w:r w:rsidR="00427FA7" w:rsidRPr="00601B12">
        <w:rPr>
          <w:rFonts w:ascii="Arial" w:hAnsi="Arial" w:cs="Arial"/>
          <w:color w:val="000000"/>
          <w:sz w:val="22"/>
          <w:szCs w:val="22"/>
        </w:rPr>
        <w:t>do</w:t>
      </w:r>
      <w:r w:rsidRPr="00601B12">
        <w:rPr>
          <w:rFonts w:ascii="Arial" w:hAnsi="Arial" w:cs="Arial"/>
          <w:color w:val="000000"/>
          <w:sz w:val="22"/>
          <w:szCs w:val="22"/>
        </w:rPr>
        <w:t>es</w:t>
      </w:r>
      <w:r w:rsidR="00427FA7" w:rsidRPr="00601B12">
        <w:rPr>
          <w:rFonts w:ascii="Arial" w:hAnsi="Arial" w:cs="Arial"/>
          <w:color w:val="000000"/>
          <w:sz w:val="22"/>
          <w:szCs w:val="22"/>
        </w:rPr>
        <w:t xml:space="preserve"> not have direct access to prospective members</w:t>
      </w:r>
      <w:r w:rsidRPr="00601B12">
        <w:rPr>
          <w:rFonts w:ascii="Arial" w:hAnsi="Arial" w:cs="Arial"/>
          <w:color w:val="000000"/>
          <w:sz w:val="22"/>
          <w:szCs w:val="22"/>
        </w:rPr>
        <w:t xml:space="preserve"> which necessitates working with the </w:t>
      </w:r>
      <w:r w:rsidR="00427FA7" w:rsidRPr="00601B12">
        <w:rPr>
          <w:rFonts w:ascii="Arial" w:hAnsi="Arial" w:cs="Arial"/>
          <w:color w:val="000000"/>
          <w:sz w:val="22"/>
          <w:szCs w:val="22"/>
        </w:rPr>
        <w:t>employing authorities in the Fund to meet these objectives</w:t>
      </w:r>
      <w:r w:rsidRPr="00601B12">
        <w:rPr>
          <w:rFonts w:ascii="Arial" w:hAnsi="Arial" w:cs="Arial"/>
          <w:color w:val="000000"/>
          <w:sz w:val="22"/>
          <w:szCs w:val="22"/>
        </w:rPr>
        <w:t xml:space="preserve"> </w:t>
      </w:r>
      <w:r w:rsidR="00427FA7" w:rsidRPr="00601B12">
        <w:rPr>
          <w:rFonts w:ascii="Arial" w:hAnsi="Arial" w:cs="Arial"/>
          <w:color w:val="000000"/>
          <w:sz w:val="22"/>
          <w:szCs w:val="22"/>
        </w:rPr>
        <w:t>by providing the following communications:</w:t>
      </w:r>
    </w:p>
    <w:p w14:paraId="6D1638A9" w14:textId="77777777" w:rsidR="00427FA7" w:rsidRPr="00965ADA" w:rsidRDefault="00427FA7" w:rsidP="00427FA7">
      <w:pPr>
        <w:autoSpaceDE w:val="0"/>
        <w:autoSpaceDN w:val="0"/>
        <w:adjustRightInd w:val="0"/>
        <w:jc w:val="both"/>
        <w:rPr>
          <w:rFonts w:ascii="Arial" w:hAnsi="Arial" w:cs="Arial"/>
          <w:color w:val="000000"/>
          <w:sz w:val="22"/>
          <w:szCs w:val="22"/>
        </w:rPr>
      </w:pPr>
    </w:p>
    <w:tbl>
      <w:tblPr>
        <w:tblStyle w:val="TableGrid"/>
        <w:tblW w:w="9764" w:type="dxa"/>
        <w:tblInd w:w="108" w:type="dxa"/>
        <w:tblLook w:val="04A0" w:firstRow="1" w:lastRow="0" w:firstColumn="1" w:lastColumn="0" w:noHBand="0" w:noVBand="1"/>
      </w:tblPr>
      <w:tblGrid>
        <w:gridCol w:w="2315"/>
        <w:gridCol w:w="1684"/>
        <w:gridCol w:w="1960"/>
        <w:gridCol w:w="1967"/>
        <w:gridCol w:w="1838"/>
      </w:tblGrid>
      <w:tr w:rsidR="00427FA7" w:rsidRPr="00601B12" w14:paraId="6D1638B1" w14:textId="77777777" w:rsidTr="00345EF2">
        <w:trPr>
          <w:trHeight w:val="239"/>
        </w:trPr>
        <w:tc>
          <w:tcPr>
            <w:tcW w:w="2315" w:type="dxa"/>
            <w:vAlign w:val="center"/>
          </w:tcPr>
          <w:p w14:paraId="6D1638AA" w14:textId="77777777" w:rsidR="00427FA7" w:rsidRPr="00601B12" w:rsidRDefault="00427FA7" w:rsidP="00427FA7">
            <w:pPr>
              <w:autoSpaceDE w:val="0"/>
              <w:autoSpaceDN w:val="0"/>
              <w:adjustRightInd w:val="0"/>
              <w:jc w:val="center"/>
              <w:rPr>
                <w:rFonts w:ascii="Arial" w:hAnsi="Arial" w:cs="Arial"/>
                <w:b/>
                <w:bCs/>
                <w:iCs/>
                <w:color w:val="000000"/>
                <w:sz w:val="22"/>
                <w:szCs w:val="22"/>
              </w:rPr>
            </w:pPr>
            <w:r w:rsidRPr="00601B12">
              <w:rPr>
                <w:rFonts w:ascii="Arial" w:hAnsi="Arial" w:cs="Arial"/>
                <w:b/>
                <w:bCs/>
                <w:iCs/>
                <w:color w:val="000000"/>
                <w:sz w:val="22"/>
                <w:szCs w:val="22"/>
              </w:rPr>
              <w:t>Method of</w:t>
            </w:r>
          </w:p>
          <w:p w14:paraId="6D1638AB"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Communication</w:t>
            </w:r>
          </w:p>
        </w:tc>
        <w:tc>
          <w:tcPr>
            <w:tcW w:w="1684" w:type="dxa"/>
            <w:vAlign w:val="center"/>
          </w:tcPr>
          <w:p w14:paraId="6D1638AC"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Media</w:t>
            </w:r>
          </w:p>
        </w:tc>
        <w:tc>
          <w:tcPr>
            <w:tcW w:w="1960" w:type="dxa"/>
            <w:vAlign w:val="center"/>
          </w:tcPr>
          <w:p w14:paraId="6D1638AD"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Frequency of Issue</w:t>
            </w:r>
          </w:p>
        </w:tc>
        <w:tc>
          <w:tcPr>
            <w:tcW w:w="1967" w:type="dxa"/>
            <w:vAlign w:val="center"/>
          </w:tcPr>
          <w:p w14:paraId="6D1638AE" w14:textId="77777777" w:rsidR="00427FA7" w:rsidRPr="00601B12" w:rsidRDefault="00427FA7" w:rsidP="00427FA7">
            <w:pPr>
              <w:autoSpaceDE w:val="0"/>
              <w:autoSpaceDN w:val="0"/>
              <w:adjustRightInd w:val="0"/>
              <w:jc w:val="center"/>
              <w:rPr>
                <w:rFonts w:ascii="Arial" w:hAnsi="Arial" w:cs="Arial"/>
                <w:b/>
                <w:bCs/>
                <w:iCs/>
                <w:color w:val="000000"/>
                <w:sz w:val="22"/>
                <w:szCs w:val="22"/>
              </w:rPr>
            </w:pPr>
            <w:r w:rsidRPr="00601B12">
              <w:rPr>
                <w:rFonts w:ascii="Arial" w:hAnsi="Arial" w:cs="Arial"/>
                <w:b/>
                <w:bCs/>
                <w:iCs/>
                <w:color w:val="000000"/>
                <w:sz w:val="22"/>
                <w:szCs w:val="22"/>
              </w:rPr>
              <w:t>Method of</w:t>
            </w:r>
          </w:p>
          <w:p w14:paraId="6D1638AF"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Distribution</w:t>
            </w:r>
          </w:p>
        </w:tc>
        <w:tc>
          <w:tcPr>
            <w:tcW w:w="1838" w:type="dxa"/>
            <w:vAlign w:val="center"/>
          </w:tcPr>
          <w:p w14:paraId="6D1638B0"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b/>
                <w:bCs/>
                <w:iCs/>
                <w:color w:val="000000"/>
                <w:sz w:val="22"/>
                <w:szCs w:val="22"/>
              </w:rPr>
              <w:t>Audience Group</w:t>
            </w:r>
          </w:p>
        </w:tc>
      </w:tr>
      <w:tr w:rsidR="00427FA7" w:rsidRPr="00601B12" w14:paraId="6D1638B8" w14:textId="77777777" w:rsidTr="00345EF2">
        <w:trPr>
          <w:trHeight w:val="486"/>
        </w:trPr>
        <w:tc>
          <w:tcPr>
            <w:tcW w:w="2315" w:type="dxa"/>
            <w:vAlign w:val="center"/>
          </w:tcPr>
          <w:p w14:paraId="6D1638B2"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Overview of the LGPS leaflet</w:t>
            </w:r>
          </w:p>
        </w:tc>
        <w:tc>
          <w:tcPr>
            <w:tcW w:w="1684" w:type="dxa"/>
            <w:vAlign w:val="center"/>
          </w:tcPr>
          <w:p w14:paraId="6D1638B3"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Paper based</w:t>
            </w:r>
          </w:p>
        </w:tc>
        <w:tc>
          <w:tcPr>
            <w:tcW w:w="1960" w:type="dxa"/>
            <w:vAlign w:val="center"/>
          </w:tcPr>
          <w:p w14:paraId="6D1638B4"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On commencing employment</w:t>
            </w:r>
          </w:p>
        </w:tc>
        <w:tc>
          <w:tcPr>
            <w:tcW w:w="1967" w:type="dxa"/>
            <w:vAlign w:val="center"/>
          </w:tcPr>
          <w:p w14:paraId="6D1638B5"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Via employers</w:t>
            </w:r>
          </w:p>
        </w:tc>
        <w:tc>
          <w:tcPr>
            <w:tcW w:w="1838" w:type="dxa"/>
            <w:vAlign w:val="center"/>
          </w:tcPr>
          <w:p w14:paraId="6D1638B6"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New employees</w:t>
            </w:r>
          </w:p>
          <w:p w14:paraId="6D1638B7" w14:textId="77777777" w:rsidR="00427FA7" w:rsidRPr="00601B12" w:rsidRDefault="00427FA7" w:rsidP="00427FA7">
            <w:pPr>
              <w:autoSpaceDE w:val="0"/>
              <w:autoSpaceDN w:val="0"/>
              <w:adjustRightInd w:val="0"/>
              <w:jc w:val="center"/>
              <w:rPr>
                <w:rFonts w:ascii="Arial" w:hAnsi="Arial" w:cs="Arial"/>
                <w:color w:val="000000"/>
                <w:sz w:val="22"/>
                <w:szCs w:val="22"/>
              </w:rPr>
            </w:pPr>
          </w:p>
        </w:tc>
      </w:tr>
      <w:tr w:rsidR="00427FA7" w:rsidRPr="00601B12" w14:paraId="6D1638BF" w14:textId="77777777" w:rsidTr="00345EF2">
        <w:trPr>
          <w:trHeight w:val="486"/>
        </w:trPr>
        <w:tc>
          <w:tcPr>
            <w:tcW w:w="2315" w:type="dxa"/>
            <w:vAlign w:val="center"/>
          </w:tcPr>
          <w:p w14:paraId="6D1638B9"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Educational Sessions</w:t>
            </w:r>
          </w:p>
        </w:tc>
        <w:tc>
          <w:tcPr>
            <w:tcW w:w="1684" w:type="dxa"/>
            <w:vAlign w:val="center"/>
          </w:tcPr>
          <w:p w14:paraId="6D1638BA"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As part of induction workshops</w:t>
            </w:r>
          </w:p>
        </w:tc>
        <w:tc>
          <w:tcPr>
            <w:tcW w:w="1960" w:type="dxa"/>
            <w:vAlign w:val="center"/>
          </w:tcPr>
          <w:p w14:paraId="6D1638BB"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On commencing employment</w:t>
            </w:r>
          </w:p>
          <w:p w14:paraId="6D1638BC" w14:textId="77777777" w:rsidR="00427FA7" w:rsidRPr="00601B12" w:rsidRDefault="00427FA7" w:rsidP="00427FA7">
            <w:pPr>
              <w:autoSpaceDE w:val="0"/>
              <w:autoSpaceDN w:val="0"/>
              <w:adjustRightInd w:val="0"/>
              <w:jc w:val="center"/>
              <w:rPr>
                <w:rFonts w:ascii="Arial" w:hAnsi="Arial" w:cs="Arial"/>
                <w:color w:val="000000"/>
                <w:sz w:val="22"/>
                <w:szCs w:val="22"/>
              </w:rPr>
            </w:pPr>
          </w:p>
        </w:tc>
        <w:tc>
          <w:tcPr>
            <w:tcW w:w="1967" w:type="dxa"/>
            <w:vAlign w:val="center"/>
          </w:tcPr>
          <w:p w14:paraId="6D1638BD"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Face to face</w:t>
            </w:r>
          </w:p>
        </w:tc>
        <w:tc>
          <w:tcPr>
            <w:tcW w:w="1838" w:type="dxa"/>
            <w:vAlign w:val="center"/>
          </w:tcPr>
          <w:p w14:paraId="6D1638BE"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New employees</w:t>
            </w:r>
          </w:p>
        </w:tc>
      </w:tr>
      <w:tr w:rsidR="00427FA7" w:rsidRPr="00601B12" w14:paraId="6D1638C5" w14:textId="77777777" w:rsidTr="00345EF2">
        <w:trPr>
          <w:trHeight w:val="371"/>
        </w:trPr>
        <w:tc>
          <w:tcPr>
            <w:tcW w:w="2315" w:type="dxa"/>
            <w:vAlign w:val="center"/>
          </w:tcPr>
          <w:p w14:paraId="6D1638C0"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Promotional newsletters/flyers</w:t>
            </w:r>
          </w:p>
        </w:tc>
        <w:tc>
          <w:tcPr>
            <w:tcW w:w="1684" w:type="dxa"/>
            <w:vAlign w:val="center"/>
          </w:tcPr>
          <w:p w14:paraId="6D1638C1"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Paper based</w:t>
            </w:r>
          </w:p>
        </w:tc>
        <w:tc>
          <w:tcPr>
            <w:tcW w:w="1960" w:type="dxa"/>
            <w:vAlign w:val="center"/>
          </w:tcPr>
          <w:p w14:paraId="6D1638C2"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Ad Hoc</w:t>
            </w:r>
          </w:p>
        </w:tc>
        <w:tc>
          <w:tcPr>
            <w:tcW w:w="1967" w:type="dxa"/>
            <w:vAlign w:val="center"/>
          </w:tcPr>
          <w:p w14:paraId="6D1638C3"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Via employers</w:t>
            </w:r>
          </w:p>
        </w:tc>
        <w:tc>
          <w:tcPr>
            <w:tcW w:w="1838" w:type="dxa"/>
            <w:vAlign w:val="center"/>
          </w:tcPr>
          <w:p w14:paraId="6D1638C4" w14:textId="77777777" w:rsidR="00427FA7" w:rsidRPr="00601B12" w:rsidRDefault="00427FA7" w:rsidP="00427FA7">
            <w:pPr>
              <w:autoSpaceDE w:val="0"/>
              <w:autoSpaceDN w:val="0"/>
              <w:adjustRightInd w:val="0"/>
              <w:jc w:val="center"/>
              <w:rPr>
                <w:rFonts w:ascii="Arial" w:hAnsi="Arial" w:cs="Arial"/>
                <w:color w:val="000000"/>
                <w:sz w:val="22"/>
                <w:szCs w:val="22"/>
              </w:rPr>
            </w:pPr>
            <w:r w:rsidRPr="00601B12">
              <w:rPr>
                <w:rFonts w:ascii="Arial" w:hAnsi="Arial" w:cs="Arial"/>
                <w:color w:val="000000"/>
                <w:sz w:val="22"/>
                <w:szCs w:val="22"/>
              </w:rPr>
              <w:t>Existing employees</w:t>
            </w:r>
          </w:p>
        </w:tc>
      </w:tr>
    </w:tbl>
    <w:p w14:paraId="6D1638C6" w14:textId="77777777" w:rsidR="00427FA7" w:rsidRPr="00227E88" w:rsidRDefault="00427FA7" w:rsidP="00427FA7">
      <w:pPr>
        <w:pStyle w:val="ListParagraph"/>
        <w:autoSpaceDE w:val="0"/>
        <w:autoSpaceDN w:val="0"/>
        <w:adjustRightInd w:val="0"/>
        <w:spacing w:after="0" w:line="240" w:lineRule="auto"/>
        <w:ind w:left="142"/>
        <w:jc w:val="both"/>
        <w:rPr>
          <w:rFonts w:ascii="Arial" w:hAnsi="Arial" w:cs="Arial"/>
          <w:color w:val="000000"/>
        </w:rPr>
      </w:pPr>
    </w:p>
    <w:p w14:paraId="6D1638C7"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227E88">
        <w:rPr>
          <w:rFonts w:ascii="Arial" w:hAnsi="Arial" w:cs="Arial"/>
          <w:b/>
          <w:color w:val="000000"/>
        </w:rPr>
        <w:t>2.6</w:t>
      </w:r>
      <w:r w:rsidRPr="00227E88">
        <w:rPr>
          <w:rFonts w:ascii="Arial" w:hAnsi="Arial" w:cs="Arial"/>
          <w:b/>
          <w:color w:val="000000"/>
        </w:rPr>
        <w:tab/>
      </w:r>
      <w:r w:rsidRPr="00227E88">
        <w:rPr>
          <w:rFonts w:ascii="Arial" w:hAnsi="Arial" w:cs="Arial"/>
          <w:b/>
          <w:bCs/>
          <w:iCs/>
          <w:color w:val="000000"/>
        </w:rPr>
        <w:t>Explanation of communications</w:t>
      </w:r>
    </w:p>
    <w:p w14:paraId="6D1638C8" w14:textId="77777777" w:rsidR="00427FA7" w:rsidRPr="00227E88" w:rsidRDefault="00427FA7" w:rsidP="00427FA7">
      <w:pPr>
        <w:autoSpaceDE w:val="0"/>
        <w:autoSpaceDN w:val="0"/>
        <w:adjustRightInd w:val="0"/>
        <w:jc w:val="both"/>
        <w:rPr>
          <w:rFonts w:ascii="Arial" w:hAnsi="Arial" w:cs="Arial"/>
          <w:b/>
          <w:bCs/>
          <w:iCs/>
          <w:color w:val="000000"/>
          <w:sz w:val="22"/>
          <w:szCs w:val="22"/>
        </w:rPr>
      </w:pPr>
    </w:p>
    <w:p w14:paraId="6D1638C9" w14:textId="77777777" w:rsidR="00427FA7" w:rsidRPr="00227E88" w:rsidRDefault="00427FA7" w:rsidP="004C17A4">
      <w:pPr>
        <w:pStyle w:val="ListParagraph"/>
        <w:numPr>
          <w:ilvl w:val="0"/>
          <w:numId w:val="21"/>
        </w:numPr>
        <w:autoSpaceDE w:val="0"/>
        <w:autoSpaceDN w:val="0"/>
        <w:adjustRightInd w:val="0"/>
        <w:spacing w:after="0" w:line="240" w:lineRule="auto"/>
        <w:ind w:left="709" w:hanging="283"/>
        <w:jc w:val="both"/>
        <w:rPr>
          <w:rFonts w:ascii="Arial" w:hAnsi="Arial" w:cs="Arial"/>
          <w:color w:val="000000"/>
        </w:rPr>
      </w:pPr>
      <w:r w:rsidRPr="00227E88">
        <w:rPr>
          <w:rFonts w:ascii="Arial" w:hAnsi="Arial" w:cs="Arial"/>
          <w:b/>
          <w:color w:val="000000"/>
        </w:rPr>
        <w:t>Overview of the LGPS leaflet</w:t>
      </w:r>
      <w:r w:rsidRPr="00227E88">
        <w:rPr>
          <w:rFonts w:ascii="Arial" w:hAnsi="Arial" w:cs="Arial"/>
          <w:color w:val="000000"/>
        </w:rPr>
        <w:t xml:space="preserve"> – A short leaflet that summaries the costs of joining the LGPS and the benefits of doing </w:t>
      </w:r>
      <w:proofErr w:type="gramStart"/>
      <w:r w:rsidRPr="00227E88">
        <w:rPr>
          <w:rFonts w:ascii="Arial" w:hAnsi="Arial" w:cs="Arial"/>
          <w:color w:val="000000"/>
        </w:rPr>
        <w:t>so;</w:t>
      </w:r>
      <w:proofErr w:type="gramEnd"/>
    </w:p>
    <w:p w14:paraId="6D1638CA" w14:textId="77777777" w:rsidR="00427FA7" w:rsidRPr="00227E88" w:rsidRDefault="00427FA7" w:rsidP="004C17A4">
      <w:pPr>
        <w:pStyle w:val="ListParagraph"/>
        <w:numPr>
          <w:ilvl w:val="0"/>
          <w:numId w:val="21"/>
        </w:numPr>
        <w:autoSpaceDE w:val="0"/>
        <w:autoSpaceDN w:val="0"/>
        <w:adjustRightInd w:val="0"/>
        <w:spacing w:after="0" w:line="240" w:lineRule="auto"/>
        <w:ind w:left="709" w:hanging="283"/>
        <w:jc w:val="both"/>
        <w:rPr>
          <w:rFonts w:ascii="Arial" w:hAnsi="Arial" w:cs="Arial"/>
          <w:color w:val="000000"/>
        </w:rPr>
      </w:pPr>
      <w:r w:rsidRPr="00227E88">
        <w:rPr>
          <w:rFonts w:ascii="Arial" w:hAnsi="Arial" w:cs="Arial"/>
          <w:b/>
          <w:color w:val="000000"/>
        </w:rPr>
        <w:t>Educational sessions</w:t>
      </w:r>
      <w:r w:rsidRPr="00227E88">
        <w:rPr>
          <w:rFonts w:ascii="Arial" w:hAnsi="Arial" w:cs="Arial"/>
          <w:color w:val="000000"/>
        </w:rPr>
        <w:t xml:space="preserve"> – An opportunity to talk to individuals to provide an overview of the benefits of joining the </w:t>
      </w:r>
      <w:proofErr w:type="gramStart"/>
      <w:r w:rsidRPr="00227E88">
        <w:rPr>
          <w:rFonts w:ascii="Arial" w:hAnsi="Arial" w:cs="Arial"/>
          <w:color w:val="000000"/>
        </w:rPr>
        <w:t>LGPS;</w:t>
      </w:r>
      <w:proofErr w:type="gramEnd"/>
    </w:p>
    <w:p w14:paraId="6D1638CB" w14:textId="77777777" w:rsidR="00427FA7" w:rsidRPr="00227E88" w:rsidRDefault="00427FA7" w:rsidP="004C17A4">
      <w:pPr>
        <w:pStyle w:val="ListParagraph"/>
        <w:numPr>
          <w:ilvl w:val="0"/>
          <w:numId w:val="21"/>
        </w:numPr>
        <w:autoSpaceDE w:val="0"/>
        <w:autoSpaceDN w:val="0"/>
        <w:adjustRightInd w:val="0"/>
        <w:spacing w:after="0" w:line="240" w:lineRule="auto"/>
        <w:ind w:left="709" w:hanging="283"/>
        <w:jc w:val="both"/>
        <w:rPr>
          <w:rFonts w:ascii="Arial" w:hAnsi="Arial" w:cs="Arial"/>
          <w:color w:val="000000"/>
        </w:rPr>
      </w:pPr>
      <w:r w:rsidRPr="00227E88">
        <w:rPr>
          <w:rFonts w:ascii="Arial" w:hAnsi="Arial" w:cs="Arial"/>
          <w:b/>
          <w:color w:val="000000"/>
        </w:rPr>
        <w:t>Promotional newsletter/flyers</w:t>
      </w:r>
      <w:r w:rsidRPr="00227E88">
        <w:rPr>
          <w:rFonts w:ascii="Arial" w:hAnsi="Arial" w:cs="Arial"/>
          <w:color w:val="000000"/>
        </w:rPr>
        <w:t xml:space="preserve"> – These will be designed to help those who are not in the LGPS to understand the benefits of participating in the scheme and provide guidance on how to join the scheme.</w:t>
      </w:r>
    </w:p>
    <w:p w14:paraId="6D1638CC"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8CD"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8CE"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color w:val="000000"/>
        </w:rPr>
      </w:pPr>
      <w:r w:rsidRPr="00227E88">
        <w:rPr>
          <w:rFonts w:ascii="Arial" w:hAnsi="Arial" w:cs="Arial"/>
          <w:b/>
          <w:bCs/>
          <w:color w:val="000000"/>
        </w:rPr>
        <w:t>2.7</w:t>
      </w:r>
      <w:r w:rsidRPr="00227E88">
        <w:rPr>
          <w:rFonts w:ascii="Arial" w:hAnsi="Arial" w:cs="Arial"/>
          <w:b/>
          <w:bCs/>
          <w:color w:val="000000"/>
        </w:rPr>
        <w:tab/>
        <w:t>Policy on promotion of the scheme with Employing Authorities</w:t>
      </w:r>
    </w:p>
    <w:p w14:paraId="6D1638CF" w14:textId="77777777" w:rsidR="00427FA7" w:rsidRPr="00227E88" w:rsidRDefault="00427FA7" w:rsidP="00427FA7">
      <w:pPr>
        <w:autoSpaceDE w:val="0"/>
        <w:autoSpaceDN w:val="0"/>
        <w:adjustRightInd w:val="0"/>
        <w:jc w:val="both"/>
        <w:rPr>
          <w:rFonts w:ascii="Arial" w:hAnsi="Arial" w:cs="Arial"/>
          <w:b/>
          <w:color w:val="000000"/>
          <w:sz w:val="22"/>
          <w:szCs w:val="22"/>
        </w:rPr>
      </w:pPr>
    </w:p>
    <w:p w14:paraId="6D1638D0"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 xml:space="preserve">Our objectives </w:t>
      </w:r>
      <w:r w:rsidR="009C2223" w:rsidRPr="00227E88">
        <w:rPr>
          <w:rFonts w:ascii="Arial" w:hAnsi="Arial" w:cs="Arial"/>
          <w:color w:val="000000"/>
          <w:sz w:val="22"/>
          <w:szCs w:val="22"/>
        </w:rPr>
        <w:t>regarding</w:t>
      </w:r>
      <w:r w:rsidRPr="00227E88">
        <w:rPr>
          <w:rFonts w:ascii="Arial" w:hAnsi="Arial" w:cs="Arial"/>
          <w:color w:val="000000"/>
          <w:sz w:val="22"/>
          <w:szCs w:val="22"/>
        </w:rPr>
        <w:t xml:space="preserve"> communication with employers are to:</w:t>
      </w:r>
    </w:p>
    <w:p w14:paraId="6D1638D1"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8D2" w14:textId="77777777" w:rsidR="00427FA7" w:rsidRPr="00227E88" w:rsidRDefault="00427FA7" w:rsidP="007337FE">
      <w:pPr>
        <w:pStyle w:val="ListParagraph"/>
        <w:numPr>
          <w:ilvl w:val="0"/>
          <w:numId w:val="46"/>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 xml:space="preserve">improve </w:t>
      </w:r>
      <w:proofErr w:type="gramStart"/>
      <w:r w:rsidRPr="00227E88">
        <w:rPr>
          <w:rFonts w:ascii="Arial" w:hAnsi="Arial" w:cs="Arial"/>
          <w:color w:val="000000"/>
        </w:rPr>
        <w:t>relationships;</w:t>
      </w:r>
      <w:proofErr w:type="gramEnd"/>
    </w:p>
    <w:p w14:paraId="6D1638D3" w14:textId="77777777" w:rsidR="00427FA7" w:rsidRPr="00227E88" w:rsidRDefault="00427FA7" w:rsidP="007337FE">
      <w:pPr>
        <w:pStyle w:val="ListParagraph"/>
        <w:numPr>
          <w:ilvl w:val="0"/>
          <w:numId w:val="46"/>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 xml:space="preserve">assist them in understanding costs/funding </w:t>
      </w:r>
      <w:proofErr w:type="gramStart"/>
      <w:r w:rsidRPr="00227E88">
        <w:rPr>
          <w:rFonts w:ascii="Arial" w:hAnsi="Arial" w:cs="Arial"/>
          <w:color w:val="000000"/>
        </w:rPr>
        <w:t>issues;</w:t>
      </w:r>
      <w:proofErr w:type="gramEnd"/>
    </w:p>
    <w:p w14:paraId="6D1638D4" w14:textId="77777777" w:rsidR="00427FA7" w:rsidRPr="00227E88" w:rsidRDefault="00427FA7" w:rsidP="007337FE">
      <w:pPr>
        <w:pStyle w:val="ListParagraph"/>
        <w:numPr>
          <w:ilvl w:val="0"/>
          <w:numId w:val="46"/>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 xml:space="preserve">work together to maintain accurate </w:t>
      </w:r>
      <w:proofErr w:type="gramStart"/>
      <w:r w:rsidRPr="00227E88">
        <w:rPr>
          <w:rFonts w:ascii="Arial" w:hAnsi="Arial" w:cs="Arial"/>
          <w:color w:val="000000"/>
        </w:rPr>
        <w:t>data;</w:t>
      </w:r>
      <w:proofErr w:type="gramEnd"/>
    </w:p>
    <w:p w14:paraId="6D1638D5" w14:textId="77777777" w:rsidR="00427FA7" w:rsidRPr="00227E88" w:rsidRDefault="00427FA7" w:rsidP="007337FE">
      <w:pPr>
        <w:pStyle w:val="ListParagraph"/>
        <w:numPr>
          <w:ilvl w:val="0"/>
          <w:numId w:val="46"/>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 xml:space="preserve">ensure smooth transfers of </w:t>
      </w:r>
      <w:proofErr w:type="gramStart"/>
      <w:r w:rsidRPr="00227E88">
        <w:rPr>
          <w:rFonts w:ascii="Arial" w:hAnsi="Arial" w:cs="Arial"/>
          <w:color w:val="000000"/>
        </w:rPr>
        <w:t>staff;</w:t>
      </w:r>
      <w:proofErr w:type="gramEnd"/>
    </w:p>
    <w:p w14:paraId="6D1638D6" w14:textId="77777777" w:rsidR="00427FA7" w:rsidRPr="00227E88" w:rsidRDefault="00427FA7" w:rsidP="007337FE">
      <w:pPr>
        <w:pStyle w:val="ListParagraph"/>
        <w:numPr>
          <w:ilvl w:val="0"/>
          <w:numId w:val="46"/>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 xml:space="preserve">ensure they understand the benefits of being an LGPS </w:t>
      </w:r>
      <w:proofErr w:type="gramStart"/>
      <w:r w:rsidRPr="00227E88">
        <w:rPr>
          <w:rFonts w:ascii="Arial" w:hAnsi="Arial" w:cs="Arial"/>
          <w:color w:val="000000"/>
        </w:rPr>
        <w:t>employer;</w:t>
      </w:r>
      <w:proofErr w:type="gramEnd"/>
    </w:p>
    <w:p w14:paraId="6D1638D7" w14:textId="77777777" w:rsidR="00427FA7" w:rsidRPr="00227E88" w:rsidRDefault="00427FA7" w:rsidP="007337FE">
      <w:pPr>
        <w:pStyle w:val="ListParagraph"/>
        <w:numPr>
          <w:ilvl w:val="0"/>
          <w:numId w:val="46"/>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assist them in making the most of the discretionary areas within the LGPS.</w:t>
      </w:r>
    </w:p>
    <w:p w14:paraId="6D1638D8"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8D9"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Our objectives will be met by providing the following communications:</w:t>
      </w:r>
    </w:p>
    <w:p w14:paraId="6D1638DA" w14:textId="77777777" w:rsidR="00427FA7" w:rsidRPr="00227E88" w:rsidRDefault="00427FA7" w:rsidP="00427FA7">
      <w:pPr>
        <w:autoSpaceDE w:val="0"/>
        <w:autoSpaceDN w:val="0"/>
        <w:adjustRightInd w:val="0"/>
        <w:jc w:val="both"/>
        <w:rPr>
          <w:rFonts w:ascii="Arial" w:hAnsi="Arial" w:cs="Arial"/>
          <w:color w:val="000000"/>
          <w:sz w:val="22"/>
          <w:szCs w:val="22"/>
        </w:rPr>
      </w:pPr>
    </w:p>
    <w:tbl>
      <w:tblPr>
        <w:tblStyle w:val="TableGrid"/>
        <w:tblW w:w="0" w:type="auto"/>
        <w:tblInd w:w="534" w:type="dxa"/>
        <w:tblLook w:val="04A0" w:firstRow="1" w:lastRow="0" w:firstColumn="1" w:lastColumn="0" w:noHBand="0" w:noVBand="1"/>
      </w:tblPr>
      <w:tblGrid>
        <w:gridCol w:w="2076"/>
        <w:gridCol w:w="1607"/>
        <w:gridCol w:w="1757"/>
        <w:gridCol w:w="1765"/>
        <w:gridCol w:w="1611"/>
      </w:tblGrid>
      <w:tr w:rsidR="00427FA7" w:rsidRPr="00227E88" w14:paraId="6D1638E3" w14:textId="77777777" w:rsidTr="00500928">
        <w:trPr>
          <w:trHeight w:val="433"/>
        </w:trPr>
        <w:tc>
          <w:tcPr>
            <w:tcW w:w="2094" w:type="dxa"/>
            <w:vAlign w:val="center"/>
          </w:tcPr>
          <w:p w14:paraId="6D1638DB"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8DC"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Communication</w:t>
            </w:r>
          </w:p>
        </w:tc>
        <w:tc>
          <w:tcPr>
            <w:tcW w:w="1646" w:type="dxa"/>
            <w:vAlign w:val="center"/>
          </w:tcPr>
          <w:p w14:paraId="6D1638DD"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Media</w:t>
            </w:r>
          </w:p>
        </w:tc>
        <w:tc>
          <w:tcPr>
            <w:tcW w:w="1794" w:type="dxa"/>
            <w:vAlign w:val="center"/>
          </w:tcPr>
          <w:p w14:paraId="6D1638DE"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 xml:space="preserve">Frequency </w:t>
            </w:r>
          </w:p>
          <w:p w14:paraId="6D1638DF"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of issue</w:t>
            </w:r>
          </w:p>
        </w:tc>
        <w:tc>
          <w:tcPr>
            <w:tcW w:w="1794" w:type="dxa"/>
            <w:vAlign w:val="center"/>
          </w:tcPr>
          <w:p w14:paraId="6D1638E0"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8E1"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Distribution</w:t>
            </w:r>
          </w:p>
        </w:tc>
        <w:tc>
          <w:tcPr>
            <w:tcW w:w="1646" w:type="dxa"/>
            <w:vAlign w:val="center"/>
          </w:tcPr>
          <w:p w14:paraId="6D1638E2"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Audience Group</w:t>
            </w:r>
          </w:p>
        </w:tc>
      </w:tr>
      <w:tr w:rsidR="00427FA7" w:rsidRPr="00227E88" w14:paraId="6D1638E9" w14:textId="77777777" w:rsidTr="00500928">
        <w:trPr>
          <w:trHeight w:val="656"/>
        </w:trPr>
        <w:tc>
          <w:tcPr>
            <w:tcW w:w="2094" w:type="dxa"/>
            <w:vAlign w:val="center"/>
          </w:tcPr>
          <w:p w14:paraId="6D1638E4"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Employers’ Guide</w:t>
            </w:r>
          </w:p>
        </w:tc>
        <w:tc>
          <w:tcPr>
            <w:tcW w:w="1646" w:type="dxa"/>
            <w:vAlign w:val="center"/>
          </w:tcPr>
          <w:p w14:paraId="6D1638E5"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Paper based</w:t>
            </w:r>
          </w:p>
        </w:tc>
        <w:tc>
          <w:tcPr>
            <w:tcW w:w="1794" w:type="dxa"/>
            <w:vAlign w:val="center"/>
          </w:tcPr>
          <w:p w14:paraId="6D1638E6"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At joining and updated as necessary</w:t>
            </w:r>
          </w:p>
        </w:tc>
        <w:tc>
          <w:tcPr>
            <w:tcW w:w="1794" w:type="dxa"/>
            <w:vAlign w:val="center"/>
          </w:tcPr>
          <w:p w14:paraId="6D1638E7"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Post or via email</w:t>
            </w:r>
          </w:p>
        </w:tc>
        <w:tc>
          <w:tcPr>
            <w:tcW w:w="1646" w:type="dxa"/>
            <w:vAlign w:val="center"/>
          </w:tcPr>
          <w:p w14:paraId="6D1638E8"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Main contact for all employers</w:t>
            </w:r>
          </w:p>
        </w:tc>
      </w:tr>
      <w:tr w:rsidR="00427FA7" w:rsidRPr="00227E88" w14:paraId="6D1638EF" w14:textId="77777777" w:rsidTr="00500928">
        <w:trPr>
          <w:trHeight w:val="669"/>
        </w:trPr>
        <w:tc>
          <w:tcPr>
            <w:tcW w:w="2094" w:type="dxa"/>
            <w:vAlign w:val="center"/>
          </w:tcPr>
          <w:p w14:paraId="6D1638EA"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Newsletters</w:t>
            </w:r>
          </w:p>
        </w:tc>
        <w:tc>
          <w:tcPr>
            <w:tcW w:w="1646" w:type="dxa"/>
            <w:vAlign w:val="center"/>
          </w:tcPr>
          <w:p w14:paraId="6D1638EB"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Electronic (e-mail) and paper based</w:t>
            </w:r>
          </w:p>
        </w:tc>
        <w:tc>
          <w:tcPr>
            <w:tcW w:w="1794" w:type="dxa"/>
            <w:vAlign w:val="center"/>
          </w:tcPr>
          <w:p w14:paraId="6D1638EC"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As required</w:t>
            </w:r>
          </w:p>
        </w:tc>
        <w:tc>
          <w:tcPr>
            <w:tcW w:w="1794" w:type="dxa"/>
            <w:vAlign w:val="center"/>
          </w:tcPr>
          <w:p w14:paraId="6D1638ED"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Post or via email</w:t>
            </w:r>
          </w:p>
        </w:tc>
        <w:tc>
          <w:tcPr>
            <w:tcW w:w="1646" w:type="dxa"/>
            <w:vAlign w:val="center"/>
          </w:tcPr>
          <w:p w14:paraId="6D1638EE"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All contacts for all employers</w:t>
            </w:r>
          </w:p>
        </w:tc>
      </w:tr>
      <w:tr w:rsidR="00427FA7" w:rsidRPr="00227E88" w14:paraId="6D1638F6" w14:textId="77777777" w:rsidTr="00500928">
        <w:trPr>
          <w:trHeight w:val="879"/>
        </w:trPr>
        <w:tc>
          <w:tcPr>
            <w:tcW w:w="2094" w:type="dxa"/>
            <w:vAlign w:val="center"/>
          </w:tcPr>
          <w:p w14:paraId="6D1638F0"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Employers meeting</w:t>
            </w:r>
          </w:p>
        </w:tc>
        <w:tc>
          <w:tcPr>
            <w:tcW w:w="1646" w:type="dxa"/>
            <w:vAlign w:val="center"/>
          </w:tcPr>
          <w:p w14:paraId="6D1638F1"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Face to face</w:t>
            </w:r>
          </w:p>
        </w:tc>
        <w:tc>
          <w:tcPr>
            <w:tcW w:w="1794" w:type="dxa"/>
            <w:vAlign w:val="center"/>
          </w:tcPr>
          <w:p w14:paraId="6D1638F2"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As required / when contribution rate dictates</w:t>
            </w:r>
          </w:p>
        </w:tc>
        <w:tc>
          <w:tcPr>
            <w:tcW w:w="1794" w:type="dxa"/>
            <w:vAlign w:val="center"/>
          </w:tcPr>
          <w:p w14:paraId="6D1638F3"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Invitations by email</w:t>
            </w:r>
          </w:p>
          <w:p w14:paraId="6D1638F4"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p>
        </w:tc>
        <w:tc>
          <w:tcPr>
            <w:tcW w:w="1646" w:type="dxa"/>
            <w:vAlign w:val="center"/>
          </w:tcPr>
          <w:p w14:paraId="6D1638F5"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All contacts for all employers</w:t>
            </w:r>
          </w:p>
        </w:tc>
      </w:tr>
      <w:tr w:rsidR="00427FA7" w:rsidRPr="00227E88" w14:paraId="6D1638FC" w14:textId="77777777" w:rsidTr="00500928">
        <w:trPr>
          <w:trHeight w:val="669"/>
        </w:trPr>
        <w:tc>
          <w:tcPr>
            <w:tcW w:w="2094" w:type="dxa"/>
            <w:vAlign w:val="center"/>
          </w:tcPr>
          <w:p w14:paraId="6D1638F7"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Pension Fund Report and Accounts</w:t>
            </w:r>
          </w:p>
        </w:tc>
        <w:tc>
          <w:tcPr>
            <w:tcW w:w="1646" w:type="dxa"/>
            <w:vAlign w:val="center"/>
          </w:tcPr>
          <w:p w14:paraId="6D1638F8"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Paper based and employer website</w:t>
            </w:r>
          </w:p>
        </w:tc>
        <w:tc>
          <w:tcPr>
            <w:tcW w:w="1794" w:type="dxa"/>
            <w:vAlign w:val="center"/>
          </w:tcPr>
          <w:p w14:paraId="6D1638F9"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Annually</w:t>
            </w:r>
          </w:p>
        </w:tc>
        <w:tc>
          <w:tcPr>
            <w:tcW w:w="1794" w:type="dxa"/>
            <w:vAlign w:val="center"/>
          </w:tcPr>
          <w:p w14:paraId="6D1638FA"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Post</w:t>
            </w:r>
          </w:p>
        </w:tc>
        <w:tc>
          <w:tcPr>
            <w:tcW w:w="1646" w:type="dxa"/>
            <w:vAlign w:val="center"/>
          </w:tcPr>
          <w:p w14:paraId="6D1638FB"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color w:val="000000"/>
                <w:sz w:val="22"/>
                <w:szCs w:val="22"/>
              </w:rPr>
              <w:t>Main contact for employers</w:t>
            </w:r>
          </w:p>
        </w:tc>
      </w:tr>
    </w:tbl>
    <w:p w14:paraId="6D1638FD"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
          <w:iCs/>
          <w:color w:val="000000"/>
        </w:rPr>
      </w:pPr>
    </w:p>
    <w:p w14:paraId="6D1638FE"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227E88">
        <w:rPr>
          <w:rFonts w:ascii="Arial" w:hAnsi="Arial" w:cs="Arial"/>
          <w:b/>
          <w:bCs/>
          <w:i/>
          <w:iCs/>
          <w:color w:val="000000"/>
        </w:rPr>
        <w:t>2.8</w:t>
      </w:r>
      <w:r w:rsidRPr="00227E88">
        <w:rPr>
          <w:rFonts w:ascii="Arial" w:hAnsi="Arial" w:cs="Arial"/>
          <w:b/>
          <w:bCs/>
          <w:i/>
          <w:iCs/>
          <w:color w:val="000000"/>
        </w:rPr>
        <w:tab/>
      </w:r>
      <w:r w:rsidRPr="00227E88">
        <w:rPr>
          <w:rFonts w:ascii="Arial" w:hAnsi="Arial" w:cs="Arial"/>
          <w:b/>
          <w:bCs/>
          <w:iCs/>
          <w:color w:val="000000"/>
        </w:rPr>
        <w:t>Explanation of communications</w:t>
      </w:r>
    </w:p>
    <w:p w14:paraId="6D1638FF" w14:textId="77777777" w:rsidR="00427FA7" w:rsidRPr="00227E88" w:rsidRDefault="00427FA7" w:rsidP="00427FA7">
      <w:pPr>
        <w:autoSpaceDE w:val="0"/>
        <w:autoSpaceDN w:val="0"/>
        <w:adjustRightInd w:val="0"/>
        <w:jc w:val="both"/>
        <w:rPr>
          <w:rFonts w:ascii="Arial" w:hAnsi="Arial" w:cs="Arial"/>
          <w:b/>
          <w:bCs/>
          <w:iCs/>
          <w:color w:val="000000"/>
          <w:sz w:val="22"/>
          <w:szCs w:val="22"/>
        </w:rPr>
      </w:pPr>
    </w:p>
    <w:p w14:paraId="6D163900" w14:textId="77777777" w:rsidR="00427FA7" w:rsidRPr="00227E88" w:rsidRDefault="00427FA7" w:rsidP="004C17A4">
      <w:pPr>
        <w:pStyle w:val="ListParagraph"/>
        <w:numPr>
          <w:ilvl w:val="0"/>
          <w:numId w:val="22"/>
        </w:numPr>
        <w:autoSpaceDE w:val="0"/>
        <w:autoSpaceDN w:val="0"/>
        <w:adjustRightInd w:val="0"/>
        <w:spacing w:after="0" w:line="240" w:lineRule="auto"/>
        <w:ind w:left="1134" w:hanging="283"/>
        <w:jc w:val="both"/>
        <w:rPr>
          <w:rFonts w:ascii="Arial" w:hAnsi="Arial" w:cs="Arial"/>
          <w:color w:val="000000"/>
        </w:rPr>
      </w:pPr>
      <w:r w:rsidRPr="00227E88">
        <w:rPr>
          <w:rFonts w:ascii="Arial" w:hAnsi="Arial" w:cs="Arial"/>
          <w:b/>
          <w:color w:val="000000"/>
        </w:rPr>
        <w:t>Employers’ Guide</w:t>
      </w:r>
      <w:r w:rsidRPr="00227E88">
        <w:rPr>
          <w:rFonts w:ascii="Arial" w:hAnsi="Arial" w:cs="Arial"/>
          <w:color w:val="000000"/>
        </w:rPr>
        <w:t xml:space="preserve"> – a detailed guide that provides guidance on the employer responsibilities including the forms and other necessary communications with the Pension Section and scheme </w:t>
      </w:r>
      <w:proofErr w:type="gramStart"/>
      <w:r w:rsidRPr="00227E88">
        <w:rPr>
          <w:rFonts w:ascii="Arial" w:hAnsi="Arial" w:cs="Arial"/>
          <w:color w:val="000000"/>
        </w:rPr>
        <w:t>members;</w:t>
      </w:r>
      <w:proofErr w:type="gramEnd"/>
    </w:p>
    <w:p w14:paraId="6D163901" w14:textId="77777777" w:rsidR="00427FA7" w:rsidRPr="00227E88" w:rsidRDefault="00427FA7" w:rsidP="004C17A4">
      <w:pPr>
        <w:pStyle w:val="ListParagraph"/>
        <w:numPr>
          <w:ilvl w:val="0"/>
          <w:numId w:val="22"/>
        </w:numPr>
        <w:autoSpaceDE w:val="0"/>
        <w:autoSpaceDN w:val="0"/>
        <w:adjustRightInd w:val="0"/>
        <w:spacing w:after="0" w:line="240" w:lineRule="auto"/>
        <w:ind w:left="1134" w:hanging="283"/>
        <w:jc w:val="both"/>
        <w:rPr>
          <w:rFonts w:ascii="Arial" w:hAnsi="Arial" w:cs="Arial"/>
          <w:color w:val="000000"/>
        </w:rPr>
      </w:pPr>
      <w:r w:rsidRPr="00227E88">
        <w:rPr>
          <w:rFonts w:ascii="Arial" w:hAnsi="Arial" w:cs="Arial"/>
          <w:b/>
          <w:color w:val="000000"/>
        </w:rPr>
        <w:t>Newsletters</w:t>
      </w:r>
      <w:r w:rsidRPr="00227E88">
        <w:rPr>
          <w:rFonts w:ascii="Arial" w:hAnsi="Arial" w:cs="Arial"/>
          <w:color w:val="000000"/>
        </w:rPr>
        <w:t xml:space="preserve"> – a technical briefing newsletter that will include recent changes to the scheme, the way the Pension Section is run and other relevant information so as to keep employers fully up to </w:t>
      </w:r>
      <w:proofErr w:type="gramStart"/>
      <w:r w:rsidRPr="00227E88">
        <w:rPr>
          <w:rFonts w:ascii="Arial" w:hAnsi="Arial" w:cs="Arial"/>
          <w:color w:val="000000"/>
        </w:rPr>
        <w:t>date;</w:t>
      </w:r>
      <w:proofErr w:type="gramEnd"/>
    </w:p>
    <w:p w14:paraId="6D163902" w14:textId="77777777" w:rsidR="00427FA7" w:rsidRPr="00227E88" w:rsidRDefault="00427FA7" w:rsidP="004C17A4">
      <w:pPr>
        <w:pStyle w:val="ListParagraph"/>
        <w:numPr>
          <w:ilvl w:val="0"/>
          <w:numId w:val="22"/>
        </w:numPr>
        <w:autoSpaceDE w:val="0"/>
        <w:autoSpaceDN w:val="0"/>
        <w:adjustRightInd w:val="0"/>
        <w:spacing w:after="0" w:line="240" w:lineRule="auto"/>
        <w:ind w:left="1134" w:hanging="283"/>
        <w:jc w:val="both"/>
        <w:rPr>
          <w:rFonts w:ascii="Arial" w:hAnsi="Arial" w:cs="Arial"/>
          <w:color w:val="000000"/>
        </w:rPr>
      </w:pPr>
      <w:r w:rsidRPr="00227E88">
        <w:rPr>
          <w:rFonts w:ascii="Arial" w:hAnsi="Arial" w:cs="Arial"/>
          <w:b/>
          <w:color w:val="000000"/>
        </w:rPr>
        <w:t>Employers meeting</w:t>
      </w:r>
      <w:r w:rsidRPr="00227E88">
        <w:rPr>
          <w:rFonts w:ascii="Arial" w:hAnsi="Arial" w:cs="Arial"/>
          <w:color w:val="000000"/>
        </w:rPr>
        <w:t xml:space="preserve"> – a formal seminar style event covering topical LGPS </w:t>
      </w:r>
      <w:proofErr w:type="gramStart"/>
      <w:r w:rsidRPr="00227E88">
        <w:rPr>
          <w:rFonts w:ascii="Arial" w:hAnsi="Arial" w:cs="Arial"/>
          <w:color w:val="000000"/>
        </w:rPr>
        <w:t>issues;</w:t>
      </w:r>
      <w:proofErr w:type="gramEnd"/>
    </w:p>
    <w:p w14:paraId="6D163903" w14:textId="77777777" w:rsidR="00427FA7" w:rsidRPr="00227E88" w:rsidRDefault="00427FA7" w:rsidP="004C17A4">
      <w:pPr>
        <w:pStyle w:val="ListParagraph"/>
        <w:numPr>
          <w:ilvl w:val="0"/>
          <w:numId w:val="22"/>
        </w:numPr>
        <w:autoSpaceDE w:val="0"/>
        <w:autoSpaceDN w:val="0"/>
        <w:adjustRightInd w:val="0"/>
        <w:spacing w:after="0" w:line="240" w:lineRule="auto"/>
        <w:ind w:left="1134" w:hanging="283"/>
        <w:jc w:val="both"/>
        <w:rPr>
          <w:rFonts w:ascii="Arial" w:hAnsi="Arial" w:cs="Arial"/>
          <w:color w:val="000000"/>
        </w:rPr>
      </w:pPr>
      <w:r w:rsidRPr="00227E88">
        <w:rPr>
          <w:rFonts w:ascii="Arial" w:hAnsi="Arial" w:cs="Arial"/>
          <w:b/>
          <w:color w:val="000000"/>
        </w:rPr>
        <w:t>Pension Fund Report and Accounts</w:t>
      </w:r>
      <w:r w:rsidRPr="00227E88">
        <w:rPr>
          <w:rFonts w:ascii="Arial" w:hAnsi="Arial" w:cs="Arial"/>
          <w:color w:val="000000"/>
        </w:rPr>
        <w:t xml:space="preserve"> – details of the value of the Fund during the financial year, </w:t>
      </w:r>
      <w:proofErr w:type="gramStart"/>
      <w:r w:rsidRPr="00227E88">
        <w:rPr>
          <w:rFonts w:ascii="Arial" w:hAnsi="Arial" w:cs="Arial"/>
          <w:color w:val="000000"/>
        </w:rPr>
        <w:t>income</w:t>
      </w:r>
      <w:proofErr w:type="gramEnd"/>
      <w:r w:rsidRPr="00227E88">
        <w:rPr>
          <w:rFonts w:ascii="Arial" w:hAnsi="Arial" w:cs="Arial"/>
          <w:color w:val="000000"/>
        </w:rPr>
        <w:t xml:space="preserve"> and expenditure as well as other related details, for example, the current employing authorities and scheme membership numbers.</w:t>
      </w:r>
    </w:p>
    <w:p w14:paraId="6D163904"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05"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227E88">
        <w:rPr>
          <w:rFonts w:ascii="Arial" w:hAnsi="Arial" w:cs="Arial"/>
          <w:b/>
          <w:bCs/>
          <w:color w:val="000000"/>
        </w:rPr>
        <w:t>2.9</w:t>
      </w:r>
      <w:r w:rsidRPr="00227E88">
        <w:rPr>
          <w:rFonts w:ascii="Arial" w:hAnsi="Arial" w:cs="Arial"/>
          <w:b/>
          <w:bCs/>
          <w:color w:val="000000"/>
        </w:rPr>
        <w:tab/>
        <w:t>Policy on communication with Senior Managers</w:t>
      </w:r>
    </w:p>
    <w:p w14:paraId="6D163906" w14:textId="77777777" w:rsidR="00427FA7" w:rsidRPr="00227E88" w:rsidRDefault="00427FA7" w:rsidP="00427FA7">
      <w:pPr>
        <w:autoSpaceDE w:val="0"/>
        <w:autoSpaceDN w:val="0"/>
        <w:adjustRightInd w:val="0"/>
        <w:jc w:val="both"/>
        <w:rPr>
          <w:rFonts w:ascii="Arial" w:hAnsi="Arial" w:cs="Arial"/>
          <w:b/>
          <w:bCs/>
          <w:color w:val="000000"/>
          <w:sz w:val="22"/>
          <w:szCs w:val="22"/>
        </w:rPr>
      </w:pPr>
    </w:p>
    <w:p w14:paraId="6D163907"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 xml:space="preserve">Our objectives </w:t>
      </w:r>
      <w:r w:rsidR="007C1EC6" w:rsidRPr="00227E88">
        <w:rPr>
          <w:rFonts w:ascii="Arial" w:hAnsi="Arial" w:cs="Arial"/>
          <w:color w:val="000000"/>
          <w:sz w:val="22"/>
          <w:szCs w:val="22"/>
        </w:rPr>
        <w:t>regarding</w:t>
      </w:r>
      <w:r w:rsidRPr="00227E88">
        <w:rPr>
          <w:rFonts w:ascii="Arial" w:hAnsi="Arial" w:cs="Arial"/>
          <w:color w:val="000000"/>
          <w:sz w:val="22"/>
          <w:szCs w:val="22"/>
        </w:rPr>
        <w:t xml:space="preserve"> communication with senior managers are to:</w:t>
      </w:r>
    </w:p>
    <w:p w14:paraId="6D163908"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09" w14:textId="77777777" w:rsidR="00427FA7" w:rsidRPr="00227E88" w:rsidRDefault="00427FA7" w:rsidP="004C17A4">
      <w:pPr>
        <w:pStyle w:val="ListParagraph"/>
        <w:numPr>
          <w:ilvl w:val="0"/>
          <w:numId w:val="23"/>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ensure they are fully aware of developments within the </w:t>
      </w:r>
      <w:proofErr w:type="gramStart"/>
      <w:r w:rsidRPr="00227E88">
        <w:rPr>
          <w:rFonts w:ascii="Arial" w:hAnsi="Arial" w:cs="Arial"/>
          <w:color w:val="000000"/>
        </w:rPr>
        <w:t>LGPS;</w:t>
      </w:r>
      <w:proofErr w:type="gramEnd"/>
    </w:p>
    <w:p w14:paraId="6D16390A" w14:textId="77777777" w:rsidR="00427FA7" w:rsidRPr="00227E88" w:rsidRDefault="00427FA7" w:rsidP="004C17A4">
      <w:pPr>
        <w:pStyle w:val="ListParagraph"/>
        <w:numPr>
          <w:ilvl w:val="0"/>
          <w:numId w:val="23"/>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ensure that they understand costs/funding </w:t>
      </w:r>
      <w:proofErr w:type="gramStart"/>
      <w:r w:rsidRPr="00227E88">
        <w:rPr>
          <w:rFonts w:ascii="Arial" w:hAnsi="Arial" w:cs="Arial"/>
          <w:color w:val="000000"/>
        </w:rPr>
        <w:t>issues;</w:t>
      </w:r>
      <w:proofErr w:type="gramEnd"/>
    </w:p>
    <w:p w14:paraId="6D16390B" w14:textId="77777777" w:rsidR="00427FA7" w:rsidRPr="00227E88" w:rsidRDefault="00427FA7" w:rsidP="004C17A4">
      <w:pPr>
        <w:pStyle w:val="ListParagraph"/>
        <w:numPr>
          <w:ilvl w:val="0"/>
          <w:numId w:val="23"/>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promote the benefits of the scheme as a recruitment/retention tool.</w:t>
      </w:r>
    </w:p>
    <w:p w14:paraId="6D16390C"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0D"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Our objectives will be met by providing the following communications:</w:t>
      </w:r>
    </w:p>
    <w:p w14:paraId="6D16390E" w14:textId="77777777" w:rsidR="00427FA7" w:rsidRPr="00227E88" w:rsidRDefault="00427FA7" w:rsidP="00427FA7">
      <w:pPr>
        <w:autoSpaceDE w:val="0"/>
        <w:autoSpaceDN w:val="0"/>
        <w:adjustRightInd w:val="0"/>
        <w:jc w:val="both"/>
        <w:rPr>
          <w:rFonts w:ascii="Arial" w:hAnsi="Arial" w:cs="Arial"/>
          <w:color w:val="000000"/>
          <w:sz w:val="22"/>
          <w:szCs w:val="22"/>
        </w:rPr>
      </w:pPr>
    </w:p>
    <w:tbl>
      <w:tblPr>
        <w:tblStyle w:val="TableGrid"/>
        <w:tblW w:w="0" w:type="auto"/>
        <w:tblInd w:w="108" w:type="dxa"/>
        <w:tblLook w:val="04A0" w:firstRow="1" w:lastRow="0" w:firstColumn="1" w:lastColumn="0" w:noHBand="0" w:noVBand="1"/>
      </w:tblPr>
      <w:tblGrid>
        <w:gridCol w:w="2164"/>
        <w:gridCol w:w="1619"/>
        <w:gridCol w:w="1841"/>
        <w:gridCol w:w="1897"/>
        <w:gridCol w:w="1721"/>
      </w:tblGrid>
      <w:tr w:rsidR="00427FA7" w:rsidRPr="00227E88" w14:paraId="6D163916" w14:textId="77777777" w:rsidTr="00345EF2">
        <w:trPr>
          <w:trHeight w:val="272"/>
        </w:trPr>
        <w:tc>
          <w:tcPr>
            <w:tcW w:w="2174" w:type="dxa"/>
            <w:vAlign w:val="center"/>
          </w:tcPr>
          <w:p w14:paraId="6D16390F"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10"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communication</w:t>
            </w:r>
          </w:p>
        </w:tc>
        <w:tc>
          <w:tcPr>
            <w:tcW w:w="1634" w:type="dxa"/>
            <w:vAlign w:val="center"/>
          </w:tcPr>
          <w:p w14:paraId="6D163911"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Media</w:t>
            </w:r>
          </w:p>
        </w:tc>
        <w:tc>
          <w:tcPr>
            <w:tcW w:w="1857" w:type="dxa"/>
            <w:vAlign w:val="center"/>
          </w:tcPr>
          <w:p w14:paraId="6D163912"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Frequency of Issue</w:t>
            </w:r>
          </w:p>
        </w:tc>
        <w:tc>
          <w:tcPr>
            <w:tcW w:w="1911" w:type="dxa"/>
            <w:vAlign w:val="center"/>
          </w:tcPr>
          <w:p w14:paraId="6D163913"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14"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Distribution</w:t>
            </w:r>
          </w:p>
        </w:tc>
        <w:tc>
          <w:tcPr>
            <w:tcW w:w="1737" w:type="dxa"/>
            <w:vAlign w:val="center"/>
          </w:tcPr>
          <w:p w14:paraId="6D163915"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Audience Group</w:t>
            </w:r>
          </w:p>
        </w:tc>
      </w:tr>
      <w:tr w:rsidR="00427FA7" w:rsidRPr="00227E88" w14:paraId="6D16391C" w14:textId="77777777" w:rsidTr="00345EF2">
        <w:trPr>
          <w:trHeight w:val="422"/>
        </w:trPr>
        <w:tc>
          <w:tcPr>
            <w:tcW w:w="2174" w:type="dxa"/>
            <w:vAlign w:val="center"/>
          </w:tcPr>
          <w:p w14:paraId="6D163917"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Briefing papers</w:t>
            </w:r>
          </w:p>
        </w:tc>
        <w:tc>
          <w:tcPr>
            <w:tcW w:w="1634" w:type="dxa"/>
            <w:vAlign w:val="center"/>
          </w:tcPr>
          <w:p w14:paraId="6D16391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Paper based and electronic</w:t>
            </w:r>
          </w:p>
        </w:tc>
        <w:tc>
          <w:tcPr>
            <w:tcW w:w="1857" w:type="dxa"/>
            <w:vAlign w:val="center"/>
          </w:tcPr>
          <w:p w14:paraId="6D163919"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and when required</w:t>
            </w:r>
          </w:p>
        </w:tc>
        <w:tc>
          <w:tcPr>
            <w:tcW w:w="1911" w:type="dxa"/>
            <w:vAlign w:val="center"/>
          </w:tcPr>
          <w:p w14:paraId="6D16391A"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Email or hard copy</w:t>
            </w:r>
          </w:p>
        </w:tc>
        <w:tc>
          <w:tcPr>
            <w:tcW w:w="1737" w:type="dxa"/>
            <w:vAlign w:val="center"/>
          </w:tcPr>
          <w:p w14:paraId="6D16391B"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tc>
      </w:tr>
      <w:tr w:rsidR="00427FA7" w:rsidRPr="00227E88" w14:paraId="6D163922" w14:textId="77777777" w:rsidTr="00345EF2">
        <w:trPr>
          <w:trHeight w:val="422"/>
        </w:trPr>
        <w:tc>
          <w:tcPr>
            <w:tcW w:w="2174" w:type="dxa"/>
            <w:vAlign w:val="center"/>
          </w:tcPr>
          <w:p w14:paraId="6D16391D" w14:textId="77777777" w:rsidR="00427FA7" w:rsidRPr="00227E88" w:rsidRDefault="00D576F8"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Committee</w:t>
            </w:r>
            <w:r w:rsidR="00427FA7" w:rsidRPr="00227E88">
              <w:rPr>
                <w:rFonts w:ascii="Arial" w:hAnsi="Arial" w:cs="Arial"/>
                <w:color w:val="000000"/>
                <w:sz w:val="22"/>
                <w:szCs w:val="22"/>
              </w:rPr>
              <w:t xml:space="preserve"> papers</w:t>
            </w:r>
          </w:p>
        </w:tc>
        <w:tc>
          <w:tcPr>
            <w:tcW w:w="1634" w:type="dxa"/>
            <w:vAlign w:val="center"/>
          </w:tcPr>
          <w:p w14:paraId="6D16391E"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Paper based and electronic</w:t>
            </w:r>
          </w:p>
        </w:tc>
        <w:tc>
          <w:tcPr>
            <w:tcW w:w="1857" w:type="dxa"/>
            <w:vAlign w:val="center"/>
          </w:tcPr>
          <w:p w14:paraId="6D16391F" w14:textId="77777777" w:rsidR="00427FA7" w:rsidRPr="00227E88" w:rsidRDefault="00427FA7" w:rsidP="00345EF2">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 xml:space="preserve">In advance of Pension </w:t>
            </w:r>
            <w:r w:rsidR="00D576F8" w:rsidRPr="00227E88">
              <w:rPr>
                <w:rFonts w:ascii="Arial" w:hAnsi="Arial" w:cs="Arial"/>
                <w:color w:val="000000"/>
                <w:sz w:val="22"/>
                <w:szCs w:val="22"/>
              </w:rPr>
              <w:t>Committee</w:t>
            </w:r>
          </w:p>
        </w:tc>
        <w:tc>
          <w:tcPr>
            <w:tcW w:w="1911" w:type="dxa"/>
            <w:vAlign w:val="center"/>
          </w:tcPr>
          <w:p w14:paraId="6D163920"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Email or hard copy</w:t>
            </w:r>
          </w:p>
        </w:tc>
        <w:tc>
          <w:tcPr>
            <w:tcW w:w="1737" w:type="dxa"/>
            <w:vAlign w:val="center"/>
          </w:tcPr>
          <w:p w14:paraId="6D163921"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tc>
      </w:tr>
    </w:tbl>
    <w:p w14:paraId="6D163923"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color w:val="000000"/>
        </w:rPr>
      </w:pPr>
    </w:p>
    <w:p w14:paraId="6D163924"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227E88">
        <w:rPr>
          <w:rFonts w:ascii="Arial" w:hAnsi="Arial" w:cs="Arial"/>
          <w:b/>
          <w:color w:val="000000"/>
        </w:rPr>
        <w:t>2.10</w:t>
      </w:r>
      <w:r w:rsidRPr="00227E88">
        <w:rPr>
          <w:rFonts w:ascii="Arial" w:hAnsi="Arial" w:cs="Arial"/>
          <w:b/>
          <w:color w:val="000000"/>
        </w:rPr>
        <w:tab/>
      </w:r>
      <w:r w:rsidRPr="00227E88">
        <w:rPr>
          <w:rFonts w:ascii="Arial" w:hAnsi="Arial" w:cs="Arial"/>
          <w:b/>
          <w:bCs/>
          <w:iCs/>
          <w:color w:val="000000"/>
        </w:rPr>
        <w:t>Explanation of communications</w:t>
      </w:r>
    </w:p>
    <w:p w14:paraId="6D163925" w14:textId="77777777" w:rsidR="00427FA7" w:rsidRPr="00227E88" w:rsidRDefault="00427FA7" w:rsidP="00427FA7">
      <w:pPr>
        <w:autoSpaceDE w:val="0"/>
        <w:autoSpaceDN w:val="0"/>
        <w:adjustRightInd w:val="0"/>
        <w:jc w:val="both"/>
        <w:rPr>
          <w:rFonts w:ascii="Arial" w:hAnsi="Arial" w:cs="Arial"/>
          <w:b/>
          <w:bCs/>
          <w:iCs/>
          <w:color w:val="000000"/>
          <w:sz w:val="22"/>
          <w:szCs w:val="22"/>
        </w:rPr>
      </w:pPr>
    </w:p>
    <w:p w14:paraId="6D163926" w14:textId="77777777" w:rsidR="00427FA7" w:rsidRPr="00227E88" w:rsidRDefault="00427FA7" w:rsidP="004C17A4">
      <w:pPr>
        <w:pStyle w:val="ListParagraph"/>
        <w:numPr>
          <w:ilvl w:val="0"/>
          <w:numId w:val="24"/>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b/>
          <w:color w:val="000000"/>
        </w:rPr>
        <w:t>Briefing papers</w:t>
      </w:r>
      <w:r w:rsidRPr="00227E88">
        <w:rPr>
          <w:rFonts w:ascii="Arial" w:hAnsi="Arial" w:cs="Arial"/>
          <w:color w:val="000000"/>
        </w:rPr>
        <w:t xml:space="preserve"> – a briefing that highlights key issues or developments relating to the LGPS and the Fund which can be used by senior managers when attending </w:t>
      </w:r>
      <w:proofErr w:type="gramStart"/>
      <w:r w:rsidRPr="00227E88">
        <w:rPr>
          <w:rFonts w:ascii="Arial" w:hAnsi="Arial" w:cs="Arial"/>
          <w:color w:val="000000"/>
        </w:rPr>
        <w:t>meetings;</w:t>
      </w:r>
      <w:proofErr w:type="gramEnd"/>
    </w:p>
    <w:p w14:paraId="6D163927" w14:textId="77777777" w:rsidR="00427FA7" w:rsidRPr="00227E88" w:rsidRDefault="00427FA7" w:rsidP="004C17A4">
      <w:pPr>
        <w:pStyle w:val="ListParagraph"/>
        <w:numPr>
          <w:ilvl w:val="0"/>
          <w:numId w:val="24"/>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b/>
          <w:color w:val="000000"/>
        </w:rPr>
        <w:t>Committee paper</w:t>
      </w:r>
      <w:r w:rsidRPr="00227E88">
        <w:rPr>
          <w:rFonts w:ascii="Arial" w:hAnsi="Arial" w:cs="Arial"/>
          <w:color w:val="000000"/>
        </w:rPr>
        <w:t xml:space="preserve"> – a formal document setting out relevant issues in respect of the LGPS, in many cases seeking specific decisions or directions from elected members.</w:t>
      </w:r>
    </w:p>
    <w:p w14:paraId="6D163928"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29"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227E88">
        <w:rPr>
          <w:rFonts w:ascii="Arial" w:hAnsi="Arial" w:cs="Arial"/>
          <w:b/>
          <w:bCs/>
          <w:color w:val="000000"/>
        </w:rPr>
        <w:t>2.11</w:t>
      </w:r>
      <w:r w:rsidRPr="00227E88">
        <w:rPr>
          <w:rFonts w:ascii="Arial" w:hAnsi="Arial" w:cs="Arial"/>
          <w:b/>
          <w:bCs/>
          <w:color w:val="000000"/>
        </w:rPr>
        <w:tab/>
        <w:t>Policy on communication with union representatives</w:t>
      </w:r>
    </w:p>
    <w:p w14:paraId="6D16392A" w14:textId="77777777" w:rsidR="00427FA7" w:rsidRPr="00227E88" w:rsidRDefault="00427FA7" w:rsidP="00427FA7">
      <w:pPr>
        <w:autoSpaceDE w:val="0"/>
        <w:autoSpaceDN w:val="0"/>
        <w:adjustRightInd w:val="0"/>
        <w:jc w:val="both"/>
        <w:rPr>
          <w:rFonts w:ascii="Arial" w:hAnsi="Arial" w:cs="Arial"/>
          <w:b/>
          <w:bCs/>
          <w:color w:val="000000"/>
          <w:sz w:val="22"/>
          <w:szCs w:val="22"/>
        </w:rPr>
      </w:pPr>
    </w:p>
    <w:p w14:paraId="6D16392B"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 xml:space="preserve">Our objectives </w:t>
      </w:r>
      <w:r w:rsidR="007C1EC6" w:rsidRPr="00227E88">
        <w:rPr>
          <w:rFonts w:ascii="Arial" w:hAnsi="Arial" w:cs="Arial"/>
          <w:color w:val="000000"/>
          <w:sz w:val="22"/>
          <w:szCs w:val="22"/>
        </w:rPr>
        <w:t>regarding</w:t>
      </w:r>
      <w:r w:rsidRPr="00227E88">
        <w:rPr>
          <w:rFonts w:ascii="Arial" w:hAnsi="Arial" w:cs="Arial"/>
          <w:color w:val="000000"/>
          <w:sz w:val="22"/>
          <w:szCs w:val="22"/>
        </w:rPr>
        <w:t xml:space="preserve"> communication with union representatives are to:</w:t>
      </w:r>
    </w:p>
    <w:p w14:paraId="6D16392C"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2D" w14:textId="77777777" w:rsidR="00427FA7" w:rsidRPr="00227E88" w:rsidRDefault="00427FA7" w:rsidP="004C17A4">
      <w:pPr>
        <w:pStyle w:val="ListParagraph"/>
        <w:numPr>
          <w:ilvl w:val="0"/>
          <w:numId w:val="25"/>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foster close working relationships in communicating the benefits of the scheme to their </w:t>
      </w:r>
      <w:proofErr w:type="gramStart"/>
      <w:r w:rsidRPr="00227E88">
        <w:rPr>
          <w:rFonts w:ascii="Arial" w:hAnsi="Arial" w:cs="Arial"/>
          <w:color w:val="000000"/>
        </w:rPr>
        <w:t>members;</w:t>
      </w:r>
      <w:proofErr w:type="gramEnd"/>
    </w:p>
    <w:p w14:paraId="6D16392E" w14:textId="77777777" w:rsidR="00427FA7" w:rsidRPr="00227E88" w:rsidRDefault="00427FA7" w:rsidP="004C17A4">
      <w:pPr>
        <w:pStyle w:val="ListParagraph"/>
        <w:numPr>
          <w:ilvl w:val="0"/>
          <w:numId w:val="25"/>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ensure they are aware of the Fund’s policy in relation to any decisions that need to be taken concerning the </w:t>
      </w:r>
      <w:proofErr w:type="gramStart"/>
      <w:r w:rsidRPr="00227E88">
        <w:rPr>
          <w:rFonts w:ascii="Arial" w:hAnsi="Arial" w:cs="Arial"/>
          <w:color w:val="000000"/>
        </w:rPr>
        <w:t>scheme;</w:t>
      </w:r>
      <w:proofErr w:type="gramEnd"/>
    </w:p>
    <w:p w14:paraId="6D16392F" w14:textId="77777777" w:rsidR="00427FA7" w:rsidRPr="00227E88" w:rsidRDefault="00427FA7" w:rsidP="004C17A4">
      <w:pPr>
        <w:pStyle w:val="ListParagraph"/>
        <w:numPr>
          <w:ilvl w:val="0"/>
          <w:numId w:val="25"/>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engage in discussions over the future of the </w:t>
      </w:r>
      <w:proofErr w:type="gramStart"/>
      <w:r w:rsidRPr="00227E88">
        <w:rPr>
          <w:rFonts w:ascii="Arial" w:hAnsi="Arial" w:cs="Arial"/>
          <w:color w:val="000000"/>
        </w:rPr>
        <w:t>scheme;</w:t>
      </w:r>
      <w:proofErr w:type="gramEnd"/>
    </w:p>
    <w:p w14:paraId="6D163930" w14:textId="77777777" w:rsidR="00427FA7" w:rsidRPr="00227E88" w:rsidRDefault="00427FA7" w:rsidP="004C17A4">
      <w:pPr>
        <w:pStyle w:val="ListParagraph"/>
        <w:numPr>
          <w:ilvl w:val="0"/>
          <w:numId w:val="25"/>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provide opportunities to educate union representatives on the provisions of the scheme.</w:t>
      </w:r>
    </w:p>
    <w:p w14:paraId="6D163931"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32"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Our objectives will be met by providing the following communications:</w:t>
      </w:r>
    </w:p>
    <w:p w14:paraId="6D163933" w14:textId="77777777" w:rsidR="00427FA7" w:rsidRPr="00227E88" w:rsidRDefault="00427FA7" w:rsidP="00427FA7">
      <w:pPr>
        <w:autoSpaceDE w:val="0"/>
        <w:autoSpaceDN w:val="0"/>
        <w:adjustRightInd w:val="0"/>
        <w:jc w:val="both"/>
        <w:rPr>
          <w:rFonts w:ascii="Arial" w:hAnsi="Arial" w:cs="Arial"/>
          <w:color w:val="000000"/>
          <w:sz w:val="22"/>
          <w:szCs w:val="22"/>
        </w:rPr>
      </w:pPr>
    </w:p>
    <w:tbl>
      <w:tblPr>
        <w:tblStyle w:val="TableGrid"/>
        <w:tblW w:w="9493" w:type="dxa"/>
        <w:tblInd w:w="108" w:type="dxa"/>
        <w:tblLook w:val="04A0" w:firstRow="1" w:lastRow="0" w:firstColumn="1" w:lastColumn="0" w:noHBand="0" w:noVBand="1"/>
      </w:tblPr>
      <w:tblGrid>
        <w:gridCol w:w="2199"/>
        <w:gridCol w:w="1728"/>
        <w:gridCol w:w="1728"/>
        <w:gridCol w:w="2042"/>
        <w:gridCol w:w="1796"/>
      </w:tblGrid>
      <w:tr w:rsidR="00427FA7" w:rsidRPr="00227E88" w14:paraId="6D16393C" w14:textId="77777777" w:rsidTr="00345EF2">
        <w:trPr>
          <w:trHeight w:val="233"/>
        </w:trPr>
        <w:tc>
          <w:tcPr>
            <w:tcW w:w="2199" w:type="dxa"/>
            <w:vAlign w:val="center"/>
          </w:tcPr>
          <w:p w14:paraId="6D163934"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35"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communication</w:t>
            </w:r>
          </w:p>
        </w:tc>
        <w:tc>
          <w:tcPr>
            <w:tcW w:w="1728" w:type="dxa"/>
            <w:vAlign w:val="center"/>
          </w:tcPr>
          <w:p w14:paraId="6D163936"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Media</w:t>
            </w:r>
          </w:p>
        </w:tc>
        <w:tc>
          <w:tcPr>
            <w:tcW w:w="1728" w:type="dxa"/>
            <w:vAlign w:val="center"/>
          </w:tcPr>
          <w:p w14:paraId="6D163937"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Frequency</w:t>
            </w:r>
          </w:p>
          <w:p w14:paraId="6D16393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 xml:space="preserve"> of Issue</w:t>
            </w:r>
          </w:p>
        </w:tc>
        <w:tc>
          <w:tcPr>
            <w:tcW w:w="2042" w:type="dxa"/>
            <w:vAlign w:val="center"/>
          </w:tcPr>
          <w:p w14:paraId="6D163939"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3A"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Distribution</w:t>
            </w:r>
          </w:p>
        </w:tc>
        <w:tc>
          <w:tcPr>
            <w:tcW w:w="1796" w:type="dxa"/>
            <w:vAlign w:val="center"/>
          </w:tcPr>
          <w:p w14:paraId="6D16393B"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Audience Group</w:t>
            </w:r>
          </w:p>
        </w:tc>
      </w:tr>
      <w:tr w:rsidR="00427FA7" w:rsidRPr="00227E88" w14:paraId="6D163943" w14:textId="77777777" w:rsidTr="00345EF2">
        <w:trPr>
          <w:trHeight w:val="345"/>
        </w:trPr>
        <w:tc>
          <w:tcPr>
            <w:tcW w:w="2199" w:type="dxa"/>
            <w:vAlign w:val="center"/>
          </w:tcPr>
          <w:p w14:paraId="6D16393D"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Briefing papers</w:t>
            </w:r>
          </w:p>
        </w:tc>
        <w:tc>
          <w:tcPr>
            <w:tcW w:w="1728" w:type="dxa"/>
            <w:vAlign w:val="center"/>
          </w:tcPr>
          <w:p w14:paraId="6D16393E"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Paper based and electronic</w:t>
            </w:r>
          </w:p>
        </w:tc>
        <w:tc>
          <w:tcPr>
            <w:tcW w:w="1728" w:type="dxa"/>
            <w:vAlign w:val="center"/>
          </w:tcPr>
          <w:p w14:paraId="6D16393F"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and when required</w:t>
            </w:r>
          </w:p>
        </w:tc>
        <w:tc>
          <w:tcPr>
            <w:tcW w:w="2042" w:type="dxa"/>
            <w:vAlign w:val="center"/>
          </w:tcPr>
          <w:p w14:paraId="6D163940"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Email or hard copy</w:t>
            </w:r>
          </w:p>
        </w:tc>
        <w:tc>
          <w:tcPr>
            <w:tcW w:w="1796" w:type="dxa"/>
            <w:vAlign w:val="center"/>
          </w:tcPr>
          <w:p w14:paraId="6D163941"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p w14:paraId="6D163942" w14:textId="77777777" w:rsidR="00427FA7" w:rsidRPr="00227E88" w:rsidRDefault="00427FA7" w:rsidP="00427FA7">
            <w:pPr>
              <w:autoSpaceDE w:val="0"/>
              <w:autoSpaceDN w:val="0"/>
              <w:adjustRightInd w:val="0"/>
              <w:jc w:val="center"/>
              <w:rPr>
                <w:rFonts w:ascii="Arial" w:hAnsi="Arial" w:cs="Arial"/>
                <w:color w:val="000000"/>
                <w:sz w:val="22"/>
                <w:szCs w:val="22"/>
              </w:rPr>
            </w:pPr>
          </w:p>
        </w:tc>
      </w:tr>
      <w:tr w:rsidR="00427FA7" w:rsidRPr="00227E88" w14:paraId="6D16394A" w14:textId="77777777" w:rsidTr="00345EF2">
        <w:trPr>
          <w:trHeight w:val="350"/>
        </w:trPr>
        <w:tc>
          <w:tcPr>
            <w:tcW w:w="2199" w:type="dxa"/>
            <w:vAlign w:val="center"/>
          </w:tcPr>
          <w:p w14:paraId="6D163944"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Face to face education sessions</w:t>
            </w:r>
          </w:p>
        </w:tc>
        <w:tc>
          <w:tcPr>
            <w:tcW w:w="1728" w:type="dxa"/>
            <w:vAlign w:val="center"/>
          </w:tcPr>
          <w:p w14:paraId="6D163945"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Face to face</w:t>
            </w:r>
          </w:p>
        </w:tc>
        <w:tc>
          <w:tcPr>
            <w:tcW w:w="1728" w:type="dxa"/>
            <w:vAlign w:val="center"/>
          </w:tcPr>
          <w:p w14:paraId="6D163946"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On request</w:t>
            </w:r>
          </w:p>
        </w:tc>
        <w:tc>
          <w:tcPr>
            <w:tcW w:w="2042" w:type="dxa"/>
            <w:vAlign w:val="center"/>
          </w:tcPr>
          <w:p w14:paraId="6D163947"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On request</w:t>
            </w:r>
          </w:p>
        </w:tc>
        <w:tc>
          <w:tcPr>
            <w:tcW w:w="1796" w:type="dxa"/>
            <w:vAlign w:val="center"/>
          </w:tcPr>
          <w:p w14:paraId="6D16394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p w14:paraId="6D163949" w14:textId="77777777" w:rsidR="00427FA7" w:rsidRPr="00227E88" w:rsidRDefault="00427FA7" w:rsidP="00427FA7">
            <w:pPr>
              <w:autoSpaceDE w:val="0"/>
              <w:autoSpaceDN w:val="0"/>
              <w:adjustRightInd w:val="0"/>
              <w:jc w:val="center"/>
              <w:rPr>
                <w:rFonts w:ascii="Arial" w:hAnsi="Arial" w:cs="Arial"/>
                <w:color w:val="000000"/>
                <w:sz w:val="22"/>
                <w:szCs w:val="22"/>
              </w:rPr>
            </w:pPr>
          </w:p>
        </w:tc>
      </w:tr>
      <w:tr w:rsidR="00427FA7" w:rsidRPr="00227E88" w14:paraId="6D163951" w14:textId="77777777" w:rsidTr="00345EF2">
        <w:trPr>
          <w:trHeight w:val="350"/>
        </w:trPr>
        <w:tc>
          <w:tcPr>
            <w:tcW w:w="2199" w:type="dxa"/>
            <w:vAlign w:val="center"/>
          </w:tcPr>
          <w:p w14:paraId="6D16394B"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 xml:space="preserve">Pension </w:t>
            </w:r>
            <w:r w:rsidR="00D576F8" w:rsidRPr="00227E88">
              <w:rPr>
                <w:rFonts w:ascii="Arial" w:hAnsi="Arial" w:cs="Arial"/>
                <w:color w:val="000000"/>
                <w:sz w:val="22"/>
                <w:szCs w:val="22"/>
              </w:rPr>
              <w:t>Committee</w:t>
            </w:r>
            <w:r w:rsidRPr="00227E88">
              <w:rPr>
                <w:rFonts w:ascii="Arial" w:hAnsi="Arial" w:cs="Arial"/>
                <w:color w:val="000000"/>
                <w:sz w:val="22"/>
                <w:szCs w:val="22"/>
              </w:rPr>
              <w:t xml:space="preserve"> meetings</w:t>
            </w:r>
          </w:p>
        </w:tc>
        <w:tc>
          <w:tcPr>
            <w:tcW w:w="1728" w:type="dxa"/>
            <w:vAlign w:val="center"/>
          </w:tcPr>
          <w:p w14:paraId="6D16394C"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Meeting</w:t>
            </w:r>
          </w:p>
        </w:tc>
        <w:tc>
          <w:tcPr>
            <w:tcW w:w="1728" w:type="dxa"/>
            <w:vAlign w:val="center"/>
          </w:tcPr>
          <w:p w14:paraId="6D16394D"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and when required</w:t>
            </w:r>
          </w:p>
        </w:tc>
        <w:tc>
          <w:tcPr>
            <w:tcW w:w="2042" w:type="dxa"/>
            <w:vAlign w:val="center"/>
          </w:tcPr>
          <w:p w14:paraId="6D16394E"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Via invitation when appropriate</w:t>
            </w:r>
          </w:p>
        </w:tc>
        <w:tc>
          <w:tcPr>
            <w:tcW w:w="1796" w:type="dxa"/>
            <w:vAlign w:val="center"/>
          </w:tcPr>
          <w:p w14:paraId="6D16394F"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p w14:paraId="6D163950" w14:textId="77777777" w:rsidR="00427FA7" w:rsidRPr="00227E88" w:rsidRDefault="00427FA7" w:rsidP="00427FA7">
            <w:pPr>
              <w:autoSpaceDE w:val="0"/>
              <w:autoSpaceDN w:val="0"/>
              <w:adjustRightInd w:val="0"/>
              <w:jc w:val="center"/>
              <w:rPr>
                <w:rFonts w:ascii="Arial" w:hAnsi="Arial" w:cs="Arial"/>
                <w:color w:val="000000"/>
                <w:sz w:val="22"/>
                <w:szCs w:val="22"/>
              </w:rPr>
            </w:pPr>
          </w:p>
        </w:tc>
      </w:tr>
    </w:tbl>
    <w:p w14:paraId="6D163952" w14:textId="77777777" w:rsidR="00427FA7" w:rsidRPr="00227E88" w:rsidRDefault="00427FA7" w:rsidP="00427FA7">
      <w:pPr>
        <w:pStyle w:val="ListParagraph"/>
        <w:autoSpaceDE w:val="0"/>
        <w:autoSpaceDN w:val="0"/>
        <w:adjustRightInd w:val="0"/>
        <w:spacing w:after="0" w:line="240" w:lineRule="auto"/>
        <w:ind w:left="142"/>
        <w:jc w:val="both"/>
        <w:rPr>
          <w:rFonts w:ascii="Arial" w:hAnsi="Arial" w:cs="Arial"/>
          <w:color w:val="000000"/>
        </w:rPr>
      </w:pPr>
    </w:p>
    <w:p w14:paraId="6D163953"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227E88">
        <w:rPr>
          <w:rFonts w:ascii="Arial" w:hAnsi="Arial" w:cs="Arial"/>
          <w:b/>
          <w:color w:val="000000"/>
        </w:rPr>
        <w:t>2.12</w:t>
      </w:r>
      <w:r w:rsidRPr="00227E88">
        <w:rPr>
          <w:rFonts w:ascii="Arial" w:hAnsi="Arial" w:cs="Arial"/>
          <w:b/>
          <w:color w:val="000000"/>
        </w:rPr>
        <w:tab/>
      </w:r>
      <w:r w:rsidRPr="00227E88">
        <w:rPr>
          <w:rFonts w:ascii="Arial" w:hAnsi="Arial" w:cs="Arial"/>
          <w:b/>
          <w:bCs/>
          <w:iCs/>
          <w:color w:val="000000"/>
        </w:rPr>
        <w:t>Explanation of communications</w:t>
      </w:r>
    </w:p>
    <w:p w14:paraId="6D163954" w14:textId="77777777" w:rsidR="00427FA7" w:rsidRPr="00227E88" w:rsidRDefault="00427FA7" w:rsidP="00427FA7">
      <w:pPr>
        <w:autoSpaceDE w:val="0"/>
        <w:autoSpaceDN w:val="0"/>
        <w:adjustRightInd w:val="0"/>
        <w:jc w:val="both"/>
        <w:rPr>
          <w:rFonts w:ascii="Arial" w:hAnsi="Arial" w:cs="Arial"/>
          <w:b/>
          <w:bCs/>
          <w:iCs/>
          <w:color w:val="000000"/>
          <w:sz w:val="22"/>
          <w:szCs w:val="22"/>
        </w:rPr>
      </w:pPr>
    </w:p>
    <w:p w14:paraId="6D163955" w14:textId="77777777" w:rsidR="00427FA7" w:rsidRPr="00227E88" w:rsidRDefault="00427FA7" w:rsidP="004C17A4">
      <w:pPr>
        <w:pStyle w:val="ListParagraph"/>
        <w:numPr>
          <w:ilvl w:val="0"/>
          <w:numId w:val="26"/>
        </w:numPr>
        <w:autoSpaceDE w:val="0"/>
        <w:autoSpaceDN w:val="0"/>
        <w:adjustRightInd w:val="0"/>
        <w:spacing w:after="0" w:line="240" w:lineRule="auto"/>
        <w:ind w:left="360"/>
        <w:jc w:val="both"/>
        <w:rPr>
          <w:rFonts w:ascii="Arial" w:hAnsi="Arial" w:cs="Arial"/>
          <w:color w:val="000000"/>
        </w:rPr>
      </w:pPr>
      <w:r w:rsidRPr="00227E88">
        <w:rPr>
          <w:rFonts w:ascii="Arial" w:hAnsi="Arial" w:cs="Arial"/>
          <w:b/>
          <w:color w:val="000000"/>
        </w:rPr>
        <w:t>Briefing papers</w:t>
      </w:r>
      <w:r w:rsidRPr="00227E88">
        <w:rPr>
          <w:rFonts w:ascii="Arial" w:hAnsi="Arial" w:cs="Arial"/>
          <w:color w:val="000000"/>
        </w:rPr>
        <w:t xml:space="preserve"> – a briefing that highlights key issues and developments relating to the LGPS and the </w:t>
      </w:r>
      <w:proofErr w:type="gramStart"/>
      <w:r w:rsidRPr="00227E88">
        <w:rPr>
          <w:rFonts w:ascii="Arial" w:hAnsi="Arial" w:cs="Arial"/>
          <w:color w:val="000000"/>
        </w:rPr>
        <w:t>Fund;</w:t>
      </w:r>
      <w:proofErr w:type="gramEnd"/>
    </w:p>
    <w:p w14:paraId="6D163956" w14:textId="77777777" w:rsidR="00427FA7" w:rsidRPr="00227E88" w:rsidRDefault="00427FA7" w:rsidP="004C17A4">
      <w:pPr>
        <w:pStyle w:val="ListParagraph"/>
        <w:numPr>
          <w:ilvl w:val="0"/>
          <w:numId w:val="26"/>
        </w:numPr>
        <w:autoSpaceDE w:val="0"/>
        <w:autoSpaceDN w:val="0"/>
        <w:adjustRightInd w:val="0"/>
        <w:spacing w:after="0" w:line="240" w:lineRule="auto"/>
        <w:ind w:left="360"/>
        <w:jc w:val="both"/>
        <w:rPr>
          <w:rFonts w:ascii="Arial" w:hAnsi="Arial" w:cs="Arial"/>
          <w:color w:val="000000"/>
        </w:rPr>
      </w:pPr>
      <w:r w:rsidRPr="00227E88">
        <w:rPr>
          <w:rFonts w:ascii="Arial" w:hAnsi="Arial" w:cs="Arial"/>
          <w:b/>
          <w:color w:val="000000"/>
        </w:rPr>
        <w:t>Face to face education sessions</w:t>
      </w:r>
      <w:r w:rsidRPr="00227E88">
        <w:rPr>
          <w:rFonts w:ascii="Arial" w:hAnsi="Arial" w:cs="Arial"/>
          <w:color w:val="000000"/>
        </w:rPr>
        <w:t xml:space="preserve"> – these are education sessions that are available on request for union representatives and activists, for example to improve their understanding of the basic principles of the scheme, or to explain possible changes to </w:t>
      </w:r>
      <w:proofErr w:type="gramStart"/>
      <w:r w:rsidRPr="00227E88">
        <w:rPr>
          <w:rFonts w:ascii="Arial" w:hAnsi="Arial" w:cs="Arial"/>
          <w:color w:val="000000"/>
        </w:rPr>
        <w:t>policies;</w:t>
      </w:r>
      <w:proofErr w:type="gramEnd"/>
    </w:p>
    <w:p w14:paraId="6D163957" w14:textId="77777777" w:rsidR="00427FA7" w:rsidRPr="00227E88" w:rsidRDefault="00427FA7" w:rsidP="004C17A4">
      <w:pPr>
        <w:pStyle w:val="ListParagraph"/>
        <w:numPr>
          <w:ilvl w:val="0"/>
          <w:numId w:val="26"/>
        </w:numPr>
        <w:autoSpaceDE w:val="0"/>
        <w:autoSpaceDN w:val="0"/>
        <w:adjustRightInd w:val="0"/>
        <w:spacing w:after="0" w:line="240" w:lineRule="auto"/>
        <w:ind w:left="360"/>
        <w:jc w:val="both"/>
        <w:rPr>
          <w:rFonts w:ascii="Arial" w:hAnsi="Arial" w:cs="Arial"/>
          <w:color w:val="000000"/>
        </w:rPr>
      </w:pPr>
      <w:r w:rsidRPr="00227E88">
        <w:rPr>
          <w:rFonts w:ascii="Arial" w:hAnsi="Arial" w:cs="Arial"/>
          <w:b/>
          <w:color w:val="000000"/>
        </w:rPr>
        <w:t xml:space="preserve">Pension </w:t>
      </w:r>
      <w:r w:rsidR="00D576F8" w:rsidRPr="00227E88">
        <w:rPr>
          <w:rFonts w:ascii="Arial" w:hAnsi="Arial" w:cs="Arial"/>
          <w:b/>
          <w:color w:val="000000"/>
        </w:rPr>
        <w:t>Committee</w:t>
      </w:r>
      <w:r w:rsidRPr="00227E88">
        <w:rPr>
          <w:rFonts w:ascii="Arial" w:hAnsi="Arial" w:cs="Arial"/>
          <w:b/>
          <w:color w:val="000000"/>
        </w:rPr>
        <w:t xml:space="preserve"> meetings</w:t>
      </w:r>
      <w:r w:rsidRPr="00227E88">
        <w:rPr>
          <w:rFonts w:ascii="Arial" w:hAnsi="Arial" w:cs="Arial"/>
          <w:color w:val="000000"/>
        </w:rPr>
        <w:t xml:space="preserve"> – a formal meeting of elected members, attended by senior managers, at which local decisions in relation to the scheme (policies, etc) are taken.</w:t>
      </w:r>
    </w:p>
    <w:p w14:paraId="6D163958"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59"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227E88">
        <w:rPr>
          <w:rFonts w:ascii="Arial" w:hAnsi="Arial" w:cs="Arial"/>
          <w:b/>
          <w:bCs/>
          <w:color w:val="000000"/>
        </w:rPr>
        <w:t>2.13</w:t>
      </w:r>
      <w:r w:rsidRPr="00227E88">
        <w:rPr>
          <w:rFonts w:ascii="Arial" w:hAnsi="Arial" w:cs="Arial"/>
          <w:b/>
          <w:bCs/>
          <w:color w:val="000000"/>
        </w:rPr>
        <w:tab/>
        <w:t xml:space="preserve">Policy on communication with elected members/the Pensions </w:t>
      </w:r>
      <w:r w:rsidR="00D576F8" w:rsidRPr="00227E88">
        <w:rPr>
          <w:rFonts w:ascii="Arial" w:hAnsi="Arial" w:cs="Arial"/>
          <w:b/>
          <w:bCs/>
          <w:color w:val="000000"/>
        </w:rPr>
        <w:t>Committee</w:t>
      </w:r>
    </w:p>
    <w:p w14:paraId="6D16395A" w14:textId="77777777" w:rsidR="00427FA7" w:rsidRPr="00227E88" w:rsidRDefault="00427FA7" w:rsidP="00427FA7">
      <w:pPr>
        <w:autoSpaceDE w:val="0"/>
        <w:autoSpaceDN w:val="0"/>
        <w:adjustRightInd w:val="0"/>
        <w:jc w:val="both"/>
        <w:rPr>
          <w:rFonts w:ascii="Arial" w:hAnsi="Arial" w:cs="Arial"/>
          <w:b/>
          <w:bCs/>
          <w:color w:val="000000"/>
          <w:sz w:val="22"/>
          <w:szCs w:val="22"/>
        </w:rPr>
      </w:pPr>
    </w:p>
    <w:p w14:paraId="6D16395B"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 xml:space="preserve">Our objectives </w:t>
      </w:r>
      <w:proofErr w:type="gramStart"/>
      <w:r w:rsidRPr="00227E88">
        <w:rPr>
          <w:rFonts w:ascii="Arial" w:hAnsi="Arial" w:cs="Arial"/>
          <w:color w:val="000000"/>
          <w:sz w:val="22"/>
          <w:szCs w:val="22"/>
        </w:rPr>
        <w:t>with regard to</w:t>
      </w:r>
      <w:proofErr w:type="gramEnd"/>
      <w:r w:rsidRPr="00227E88">
        <w:rPr>
          <w:rFonts w:ascii="Arial" w:hAnsi="Arial" w:cs="Arial"/>
          <w:color w:val="000000"/>
          <w:sz w:val="22"/>
          <w:szCs w:val="22"/>
        </w:rPr>
        <w:t xml:space="preserve"> communication with elected members/the Pensions </w:t>
      </w:r>
      <w:r w:rsidR="00D576F8" w:rsidRPr="00227E88">
        <w:rPr>
          <w:rFonts w:ascii="Arial" w:hAnsi="Arial" w:cs="Arial"/>
          <w:color w:val="000000"/>
          <w:sz w:val="22"/>
          <w:szCs w:val="22"/>
        </w:rPr>
        <w:t>Committee</w:t>
      </w:r>
      <w:r w:rsidRPr="00227E88">
        <w:rPr>
          <w:rFonts w:ascii="Arial" w:hAnsi="Arial" w:cs="Arial"/>
          <w:color w:val="000000"/>
          <w:sz w:val="22"/>
          <w:szCs w:val="22"/>
        </w:rPr>
        <w:t xml:space="preserve"> are to:</w:t>
      </w:r>
    </w:p>
    <w:p w14:paraId="6D16395C"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5D" w14:textId="77777777" w:rsidR="00427FA7" w:rsidRPr="00227E88" w:rsidRDefault="00427FA7" w:rsidP="004C17A4">
      <w:pPr>
        <w:pStyle w:val="ListParagraph"/>
        <w:numPr>
          <w:ilvl w:val="0"/>
          <w:numId w:val="27"/>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ensure they are aware of their responsibilities in relation to the </w:t>
      </w:r>
      <w:proofErr w:type="gramStart"/>
      <w:r w:rsidRPr="00227E88">
        <w:rPr>
          <w:rFonts w:ascii="Arial" w:hAnsi="Arial" w:cs="Arial"/>
          <w:color w:val="000000"/>
        </w:rPr>
        <w:t>scheme;</w:t>
      </w:r>
      <w:proofErr w:type="gramEnd"/>
    </w:p>
    <w:p w14:paraId="6D16395E" w14:textId="77777777" w:rsidR="00427FA7" w:rsidRPr="00227E88" w:rsidRDefault="00427FA7" w:rsidP="004C17A4">
      <w:pPr>
        <w:pStyle w:val="ListParagraph"/>
        <w:numPr>
          <w:ilvl w:val="0"/>
          <w:numId w:val="27"/>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seek their approval to the development or amendment of discretionary policies, where </w:t>
      </w:r>
      <w:proofErr w:type="gramStart"/>
      <w:r w:rsidRPr="00227E88">
        <w:rPr>
          <w:rFonts w:ascii="Arial" w:hAnsi="Arial" w:cs="Arial"/>
          <w:color w:val="000000"/>
        </w:rPr>
        <w:t>required;</w:t>
      </w:r>
      <w:proofErr w:type="gramEnd"/>
    </w:p>
    <w:p w14:paraId="6D16395F" w14:textId="77777777" w:rsidR="00427FA7" w:rsidRPr="00227E88" w:rsidRDefault="00427FA7" w:rsidP="004C17A4">
      <w:pPr>
        <w:pStyle w:val="ListParagraph"/>
        <w:numPr>
          <w:ilvl w:val="0"/>
          <w:numId w:val="27"/>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seek their approval to formal responses to government consultation in relation to the scheme.</w:t>
      </w:r>
    </w:p>
    <w:p w14:paraId="6D163960"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61" w14:textId="77777777" w:rsidR="00427FA7" w:rsidRPr="00227E88" w:rsidRDefault="00427FA7" w:rsidP="00427FA7">
      <w:pPr>
        <w:autoSpaceDE w:val="0"/>
        <w:autoSpaceDN w:val="0"/>
        <w:adjustRightInd w:val="0"/>
        <w:ind w:left="153"/>
        <w:jc w:val="both"/>
        <w:rPr>
          <w:rFonts w:ascii="Arial" w:hAnsi="Arial" w:cs="Arial"/>
          <w:color w:val="000000"/>
          <w:sz w:val="22"/>
          <w:szCs w:val="22"/>
        </w:rPr>
      </w:pPr>
      <w:r w:rsidRPr="00227E88">
        <w:rPr>
          <w:rFonts w:ascii="Arial" w:hAnsi="Arial" w:cs="Arial"/>
          <w:color w:val="000000"/>
          <w:sz w:val="22"/>
          <w:szCs w:val="22"/>
        </w:rPr>
        <w:t>Our objectives will be met by providing the following communications:</w:t>
      </w:r>
    </w:p>
    <w:p w14:paraId="6D163962" w14:textId="77777777" w:rsidR="00427FA7" w:rsidRPr="00227E88" w:rsidRDefault="00427FA7" w:rsidP="00427FA7">
      <w:pPr>
        <w:autoSpaceDE w:val="0"/>
        <w:autoSpaceDN w:val="0"/>
        <w:adjustRightInd w:val="0"/>
        <w:ind w:left="153"/>
        <w:jc w:val="both"/>
        <w:rPr>
          <w:rFonts w:ascii="Arial" w:hAnsi="Arial" w:cs="Arial"/>
          <w:color w:val="000000"/>
          <w:sz w:val="22"/>
          <w:szCs w:val="22"/>
        </w:rPr>
      </w:pPr>
    </w:p>
    <w:tbl>
      <w:tblPr>
        <w:tblStyle w:val="TableGrid"/>
        <w:tblW w:w="9531" w:type="dxa"/>
        <w:tblInd w:w="108" w:type="dxa"/>
        <w:tblLayout w:type="fixed"/>
        <w:tblLook w:val="04A0" w:firstRow="1" w:lastRow="0" w:firstColumn="1" w:lastColumn="0" w:noHBand="0" w:noVBand="1"/>
      </w:tblPr>
      <w:tblGrid>
        <w:gridCol w:w="2085"/>
        <w:gridCol w:w="1341"/>
        <w:gridCol w:w="1787"/>
        <w:gridCol w:w="2084"/>
        <w:gridCol w:w="2234"/>
      </w:tblGrid>
      <w:tr w:rsidR="00427FA7" w:rsidRPr="00227E88" w14:paraId="6D16396A" w14:textId="77777777" w:rsidTr="00345EF2">
        <w:trPr>
          <w:trHeight w:val="246"/>
        </w:trPr>
        <w:tc>
          <w:tcPr>
            <w:tcW w:w="2085" w:type="dxa"/>
            <w:vAlign w:val="center"/>
          </w:tcPr>
          <w:p w14:paraId="6D163963" w14:textId="77777777" w:rsidR="00427FA7" w:rsidRPr="00227E88" w:rsidRDefault="00427FA7" w:rsidP="00C820DD">
            <w:pPr>
              <w:autoSpaceDE w:val="0"/>
              <w:autoSpaceDN w:val="0"/>
              <w:adjustRightInd w:val="0"/>
              <w:ind w:left="-108" w:right="-108"/>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64" w14:textId="77777777" w:rsidR="00427FA7" w:rsidRPr="00227E88" w:rsidRDefault="00427FA7" w:rsidP="00C820DD">
            <w:pPr>
              <w:autoSpaceDE w:val="0"/>
              <w:autoSpaceDN w:val="0"/>
              <w:adjustRightInd w:val="0"/>
              <w:ind w:left="-108" w:right="-108"/>
              <w:jc w:val="center"/>
              <w:rPr>
                <w:rFonts w:ascii="Arial" w:hAnsi="Arial" w:cs="Arial"/>
                <w:b/>
                <w:bCs/>
                <w:iCs/>
                <w:color w:val="000000"/>
                <w:sz w:val="22"/>
                <w:szCs w:val="22"/>
              </w:rPr>
            </w:pPr>
            <w:r w:rsidRPr="00227E88">
              <w:rPr>
                <w:rFonts w:ascii="Arial" w:hAnsi="Arial" w:cs="Arial"/>
                <w:b/>
                <w:bCs/>
                <w:iCs/>
                <w:color w:val="000000"/>
                <w:sz w:val="22"/>
                <w:szCs w:val="22"/>
              </w:rPr>
              <w:t>Communication</w:t>
            </w:r>
          </w:p>
        </w:tc>
        <w:tc>
          <w:tcPr>
            <w:tcW w:w="1341" w:type="dxa"/>
            <w:vAlign w:val="center"/>
          </w:tcPr>
          <w:p w14:paraId="6D163965"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Media</w:t>
            </w:r>
          </w:p>
        </w:tc>
        <w:tc>
          <w:tcPr>
            <w:tcW w:w="1787" w:type="dxa"/>
            <w:vAlign w:val="center"/>
          </w:tcPr>
          <w:p w14:paraId="6D163966"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Frequency of Issue</w:t>
            </w:r>
          </w:p>
        </w:tc>
        <w:tc>
          <w:tcPr>
            <w:tcW w:w="2084" w:type="dxa"/>
            <w:vAlign w:val="center"/>
          </w:tcPr>
          <w:p w14:paraId="6D163967"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68"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Distribution</w:t>
            </w:r>
          </w:p>
        </w:tc>
        <w:tc>
          <w:tcPr>
            <w:tcW w:w="2234" w:type="dxa"/>
            <w:vAlign w:val="center"/>
          </w:tcPr>
          <w:p w14:paraId="6D163969"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Audience Group</w:t>
            </w:r>
          </w:p>
        </w:tc>
      </w:tr>
      <w:tr w:rsidR="00427FA7" w:rsidRPr="00227E88" w14:paraId="6D163970" w14:textId="77777777" w:rsidTr="00345EF2">
        <w:trPr>
          <w:trHeight w:val="882"/>
        </w:trPr>
        <w:tc>
          <w:tcPr>
            <w:tcW w:w="2085" w:type="dxa"/>
            <w:vAlign w:val="center"/>
          </w:tcPr>
          <w:p w14:paraId="6D16396B"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Training sessions</w:t>
            </w:r>
          </w:p>
        </w:tc>
        <w:tc>
          <w:tcPr>
            <w:tcW w:w="1341" w:type="dxa"/>
            <w:vAlign w:val="center"/>
          </w:tcPr>
          <w:p w14:paraId="6D16396C"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Face to face</w:t>
            </w:r>
          </w:p>
        </w:tc>
        <w:tc>
          <w:tcPr>
            <w:tcW w:w="1787" w:type="dxa"/>
            <w:vAlign w:val="center"/>
          </w:tcPr>
          <w:p w14:paraId="6D16396D"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As and when required</w:t>
            </w:r>
          </w:p>
        </w:tc>
        <w:tc>
          <w:tcPr>
            <w:tcW w:w="2084" w:type="dxa"/>
            <w:vAlign w:val="center"/>
          </w:tcPr>
          <w:p w14:paraId="6D16396E"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 xml:space="preserve">Face to face or via the Employers Organisation for </w:t>
            </w:r>
            <w:r w:rsidR="009C2223" w:rsidRPr="00227E88">
              <w:rPr>
                <w:rFonts w:ascii="Arial" w:hAnsi="Arial" w:cs="Arial"/>
                <w:color w:val="000000"/>
                <w:sz w:val="22"/>
                <w:szCs w:val="22"/>
              </w:rPr>
              <w:t>local government</w:t>
            </w:r>
          </w:p>
        </w:tc>
        <w:tc>
          <w:tcPr>
            <w:tcW w:w="2234" w:type="dxa"/>
            <w:vAlign w:val="center"/>
          </w:tcPr>
          <w:p w14:paraId="6D16396F"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 xml:space="preserve">All members </w:t>
            </w:r>
            <w:r w:rsidR="009C2223" w:rsidRPr="00227E88">
              <w:rPr>
                <w:rFonts w:ascii="Arial" w:hAnsi="Arial" w:cs="Arial"/>
                <w:color w:val="000000"/>
                <w:sz w:val="22"/>
                <w:szCs w:val="22"/>
              </w:rPr>
              <w:t>of the</w:t>
            </w:r>
            <w:r w:rsidRPr="00227E88">
              <w:rPr>
                <w:rFonts w:ascii="Arial" w:hAnsi="Arial" w:cs="Arial"/>
                <w:color w:val="000000"/>
                <w:sz w:val="22"/>
                <w:szCs w:val="22"/>
              </w:rPr>
              <w:t xml:space="preserve"> Pension </w:t>
            </w:r>
            <w:r w:rsidR="00D576F8" w:rsidRPr="00227E88">
              <w:rPr>
                <w:rFonts w:ascii="Arial" w:hAnsi="Arial" w:cs="Arial"/>
                <w:color w:val="000000"/>
                <w:sz w:val="22"/>
                <w:szCs w:val="22"/>
              </w:rPr>
              <w:t>Committee</w:t>
            </w:r>
            <w:r w:rsidRPr="00227E88">
              <w:rPr>
                <w:rFonts w:ascii="Arial" w:hAnsi="Arial" w:cs="Arial"/>
                <w:color w:val="000000"/>
                <w:sz w:val="22"/>
                <w:szCs w:val="22"/>
              </w:rPr>
              <w:t xml:space="preserve"> as well as other elected members</w:t>
            </w:r>
          </w:p>
        </w:tc>
      </w:tr>
      <w:tr w:rsidR="00427FA7" w:rsidRPr="00227E88" w14:paraId="6D163976" w14:textId="77777777" w:rsidTr="00345EF2">
        <w:trPr>
          <w:trHeight w:val="501"/>
        </w:trPr>
        <w:tc>
          <w:tcPr>
            <w:tcW w:w="2085" w:type="dxa"/>
            <w:vAlign w:val="center"/>
          </w:tcPr>
          <w:p w14:paraId="6D163971"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Briefing papers</w:t>
            </w:r>
          </w:p>
        </w:tc>
        <w:tc>
          <w:tcPr>
            <w:tcW w:w="1341" w:type="dxa"/>
            <w:vAlign w:val="center"/>
          </w:tcPr>
          <w:p w14:paraId="6D163972"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Paper based and electronic</w:t>
            </w:r>
          </w:p>
        </w:tc>
        <w:tc>
          <w:tcPr>
            <w:tcW w:w="1787" w:type="dxa"/>
            <w:vAlign w:val="center"/>
          </w:tcPr>
          <w:p w14:paraId="6D163973"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As and when required</w:t>
            </w:r>
          </w:p>
        </w:tc>
        <w:tc>
          <w:tcPr>
            <w:tcW w:w="2084" w:type="dxa"/>
            <w:vAlign w:val="center"/>
          </w:tcPr>
          <w:p w14:paraId="6D163974"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Email or hard copy</w:t>
            </w:r>
          </w:p>
        </w:tc>
        <w:tc>
          <w:tcPr>
            <w:tcW w:w="2234" w:type="dxa"/>
            <w:vAlign w:val="center"/>
          </w:tcPr>
          <w:p w14:paraId="6D163975"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 xml:space="preserve">All members of the Pension </w:t>
            </w:r>
            <w:r w:rsidR="00D576F8" w:rsidRPr="00227E88">
              <w:rPr>
                <w:rFonts w:ascii="Arial" w:hAnsi="Arial" w:cs="Arial"/>
                <w:color w:val="000000"/>
                <w:sz w:val="22"/>
                <w:szCs w:val="22"/>
              </w:rPr>
              <w:t>Committee</w:t>
            </w:r>
          </w:p>
        </w:tc>
      </w:tr>
      <w:tr w:rsidR="00427FA7" w:rsidRPr="00227E88" w14:paraId="6D16397C" w14:textId="77777777" w:rsidTr="00345EF2">
        <w:trPr>
          <w:trHeight w:val="509"/>
        </w:trPr>
        <w:tc>
          <w:tcPr>
            <w:tcW w:w="2085" w:type="dxa"/>
            <w:vAlign w:val="center"/>
          </w:tcPr>
          <w:p w14:paraId="6D163977"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 xml:space="preserve">Pension </w:t>
            </w:r>
            <w:r w:rsidR="00D576F8" w:rsidRPr="00227E88">
              <w:rPr>
                <w:rFonts w:ascii="Arial" w:hAnsi="Arial" w:cs="Arial"/>
                <w:color w:val="000000"/>
                <w:sz w:val="22"/>
                <w:szCs w:val="22"/>
              </w:rPr>
              <w:t>Committee</w:t>
            </w:r>
            <w:r w:rsidRPr="00227E88">
              <w:rPr>
                <w:rFonts w:ascii="Arial" w:hAnsi="Arial" w:cs="Arial"/>
                <w:color w:val="000000"/>
                <w:sz w:val="22"/>
                <w:szCs w:val="22"/>
              </w:rPr>
              <w:t xml:space="preserve"> Meetings</w:t>
            </w:r>
          </w:p>
        </w:tc>
        <w:tc>
          <w:tcPr>
            <w:tcW w:w="1341" w:type="dxa"/>
            <w:vAlign w:val="center"/>
          </w:tcPr>
          <w:p w14:paraId="6D163978"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Meeting</w:t>
            </w:r>
          </w:p>
        </w:tc>
        <w:tc>
          <w:tcPr>
            <w:tcW w:w="1787" w:type="dxa"/>
            <w:vAlign w:val="center"/>
          </w:tcPr>
          <w:p w14:paraId="6D163979"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Monthly/quarterly/half yearly</w:t>
            </w:r>
          </w:p>
        </w:tc>
        <w:tc>
          <w:tcPr>
            <w:tcW w:w="2084" w:type="dxa"/>
            <w:vAlign w:val="center"/>
          </w:tcPr>
          <w:p w14:paraId="6D16397A"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 xml:space="preserve">Members elected </w:t>
            </w:r>
            <w:proofErr w:type="gramStart"/>
            <w:r w:rsidRPr="00227E88">
              <w:rPr>
                <w:rFonts w:ascii="Arial" w:hAnsi="Arial" w:cs="Arial"/>
                <w:color w:val="000000"/>
                <w:sz w:val="22"/>
                <w:szCs w:val="22"/>
              </w:rPr>
              <w:t>onto</w:t>
            </w:r>
            <w:proofErr w:type="gramEnd"/>
            <w:r w:rsidRPr="00227E88">
              <w:rPr>
                <w:rFonts w:ascii="Arial" w:hAnsi="Arial" w:cs="Arial"/>
                <w:color w:val="000000"/>
                <w:sz w:val="22"/>
                <w:szCs w:val="22"/>
              </w:rPr>
              <w:t xml:space="preserve"> Pension </w:t>
            </w:r>
            <w:r w:rsidR="00D576F8" w:rsidRPr="00227E88">
              <w:rPr>
                <w:rFonts w:ascii="Arial" w:hAnsi="Arial" w:cs="Arial"/>
                <w:color w:val="000000"/>
                <w:sz w:val="22"/>
                <w:szCs w:val="22"/>
              </w:rPr>
              <w:t>Committee</w:t>
            </w:r>
          </w:p>
        </w:tc>
        <w:tc>
          <w:tcPr>
            <w:tcW w:w="2234" w:type="dxa"/>
            <w:vAlign w:val="center"/>
          </w:tcPr>
          <w:p w14:paraId="6D16397B"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color w:val="000000"/>
                <w:sz w:val="22"/>
                <w:szCs w:val="22"/>
              </w:rPr>
              <w:t xml:space="preserve">All members of the Pension </w:t>
            </w:r>
            <w:r w:rsidR="00D576F8" w:rsidRPr="00227E88">
              <w:rPr>
                <w:rFonts w:ascii="Arial" w:hAnsi="Arial" w:cs="Arial"/>
                <w:color w:val="000000"/>
                <w:sz w:val="22"/>
                <w:szCs w:val="22"/>
              </w:rPr>
              <w:t>Committee</w:t>
            </w:r>
          </w:p>
        </w:tc>
      </w:tr>
    </w:tbl>
    <w:p w14:paraId="6D16397D" w14:textId="77777777" w:rsidR="00427FA7" w:rsidRPr="00227E88" w:rsidRDefault="00427FA7" w:rsidP="00427FA7">
      <w:pPr>
        <w:autoSpaceDE w:val="0"/>
        <w:autoSpaceDN w:val="0"/>
        <w:adjustRightInd w:val="0"/>
        <w:jc w:val="both"/>
        <w:rPr>
          <w:rFonts w:ascii="Arial" w:hAnsi="Arial" w:cs="Arial"/>
          <w:b/>
          <w:bCs/>
          <w:i/>
          <w:iCs/>
          <w:color w:val="000000"/>
          <w:sz w:val="22"/>
          <w:szCs w:val="22"/>
        </w:rPr>
      </w:pPr>
    </w:p>
    <w:p w14:paraId="6D16397E"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227E88">
        <w:rPr>
          <w:rFonts w:ascii="Arial" w:hAnsi="Arial" w:cs="Arial"/>
          <w:b/>
          <w:bCs/>
          <w:iCs/>
          <w:color w:val="000000"/>
        </w:rPr>
        <w:t>2.14</w:t>
      </w:r>
      <w:r w:rsidRPr="00227E88">
        <w:rPr>
          <w:rFonts w:ascii="Arial" w:hAnsi="Arial" w:cs="Arial"/>
          <w:b/>
          <w:bCs/>
          <w:iCs/>
          <w:color w:val="000000"/>
        </w:rPr>
        <w:tab/>
        <w:t>Explanation of communications</w:t>
      </w:r>
    </w:p>
    <w:p w14:paraId="6D16397F" w14:textId="77777777" w:rsidR="00427FA7" w:rsidRPr="00227E88" w:rsidRDefault="00427FA7" w:rsidP="00427FA7">
      <w:pPr>
        <w:autoSpaceDE w:val="0"/>
        <w:autoSpaceDN w:val="0"/>
        <w:adjustRightInd w:val="0"/>
        <w:jc w:val="both"/>
        <w:rPr>
          <w:rFonts w:ascii="Arial" w:hAnsi="Arial" w:cs="Arial"/>
          <w:b/>
          <w:bCs/>
          <w:iCs/>
          <w:color w:val="000000"/>
          <w:sz w:val="22"/>
          <w:szCs w:val="22"/>
        </w:rPr>
      </w:pPr>
    </w:p>
    <w:p w14:paraId="6D163980" w14:textId="77777777" w:rsidR="00427FA7" w:rsidRPr="00227E88" w:rsidRDefault="00427FA7" w:rsidP="004C17A4">
      <w:pPr>
        <w:pStyle w:val="ListParagraph"/>
        <w:numPr>
          <w:ilvl w:val="0"/>
          <w:numId w:val="28"/>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Training Sessions – providing a broad overview of the main provisions of the LGPS, and elected members’ responsibilities within </w:t>
      </w:r>
      <w:proofErr w:type="gramStart"/>
      <w:r w:rsidRPr="00227E88">
        <w:rPr>
          <w:rFonts w:ascii="Arial" w:hAnsi="Arial" w:cs="Arial"/>
          <w:color w:val="000000"/>
        </w:rPr>
        <w:t>it;</w:t>
      </w:r>
      <w:proofErr w:type="gramEnd"/>
    </w:p>
    <w:p w14:paraId="6D163981" w14:textId="77777777" w:rsidR="00427FA7" w:rsidRPr="00227E88" w:rsidRDefault="00427FA7" w:rsidP="004C17A4">
      <w:pPr>
        <w:pStyle w:val="ListParagraph"/>
        <w:numPr>
          <w:ilvl w:val="0"/>
          <w:numId w:val="28"/>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Briefing papers – a briefing that highlights key issues and developments to the LGPS and the </w:t>
      </w:r>
      <w:proofErr w:type="gramStart"/>
      <w:r w:rsidRPr="00227E88">
        <w:rPr>
          <w:rFonts w:ascii="Arial" w:hAnsi="Arial" w:cs="Arial"/>
          <w:color w:val="000000"/>
        </w:rPr>
        <w:t>Fund;</w:t>
      </w:r>
      <w:proofErr w:type="gramEnd"/>
      <w:r w:rsidRPr="00227E88">
        <w:rPr>
          <w:rFonts w:ascii="Arial" w:hAnsi="Arial" w:cs="Arial"/>
          <w:color w:val="000000"/>
        </w:rPr>
        <w:t xml:space="preserve"> </w:t>
      </w:r>
    </w:p>
    <w:p w14:paraId="6D163982" w14:textId="77777777" w:rsidR="00427FA7" w:rsidRPr="00227E88" w:rsidRDefault="00427FA7" w:rsidP="004C17A4">
      <w:pPr>
        <w:pStyle w:val="ListParagraph"/>
        <w:numPr>
          <w:ilvl w:val="0"/>
          <w:numId w:val="28"/>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 xml:space="preserve">Pension </w:t>
      </w:r>
      <w:r w:rsidR="00D576F8" w:rsidRPr="00227E88">
        <w:rPr>
          <w:rFonts w:ascii="Arial" w:hAnsi="Arial" w:cs="Arial"/>
          <w:color w:val="000000"/>
        </w:rPr>
        <w:t>Committee</w:t>
      </w:r>
      <w:r w:rsidRPr="00227E88">
        <w:rPr>
          <w:rFonts w:ascii="Arial" w:hAnsi="Arial" w:cs="Arial"/>
          <w:color w:val="000000"/>
        </w:rPr>
        <w:t xml:space="preserve"> meeting – a formal meeting of elected members, attended by senior managers, at which local decisions to the scheme (policies, </w:t>
      </w:r>
      <w:r w:rsidR="009C2223" w:rsidRPr="00227E88">
        <w:rPr>
          <w:rFonts w:ascii="Arial" w:hAnsi="Arial" w:cs="Arial"/>
          <w:color w:val="000000"/>
        </w:rPr>
        <w:t>etc.</w:t>
      </w:r>
      <w:r w:rsidRPr="00227E88">
        <w:rPr>
          <w:rFonts w:ascii="Arial" w:hAnsi="Arial" w:cs="Arial"/>
          <w:color w:val="000000"/>
        </w:rPr>
        <w:t>) are taken.</w:t>
      </w:r>
    </w:p>
    <w:p w14:paraId="6D163983"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84"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227E88">
        <w:rPr>
          <w:rFonts w:ascii="Arial" w:hAnsi="Arial" w:cs="Arial"/>
          <w:b/>
          <w:bCs/>
          <w:color w:val="000000"/>
        </w:rPr>
        <w:t>2.15</w:t>
      </w:r>
      <w:r w:rsidRPr="00227E88">
        <w:rPr>
          <w:rFonts w:ascii="Arial" w:hAnsi="Arial" w:cs="Arial"/>
          <w:b/>
          <w:bCs/>
          <w:color w:val="000000"/>
        </w:rPr>
        <w:tab/>
        <w:t>Policy on communication with pension section staff</w:t>
      </w:r>
    </w:p>
    <w:p w14:paraId="6D163985" w14:textId="77777777" w:rsidR="00427FA7" w:rsidRPr="00227E88" w:rsidRDefault="00427FA7" w:rsidP="00427FA7">
      <w:pPr>
        <w:autoSpaceDE w:val="0"/>
        <w:autoSpaceDN w:val="0"/>
        <w:adjustRightInd w:val="0"/>
        <w:jc w:val="both"/>
        <w:rPr>
          <w:rFonts w:ascii="Arial" w:hAnsi="Arial" w:cs="Arial"/>
          <w:b/>
          <w:bCs/>
          <w:color w:val="000000"/>
          <w:sz w:val="22"/>
          <w:szCs w:val="22"/>
        </w:rPr>
      </w:pPr>
    </w:p>
    <w:p w14:paraId="6D163986" w14:textId="77777777" w:rsidR="00427FA7" w:rsidRPr="00227E88" w:rsidRDefault="00427FA7" w:rsidP="00427FA7">
      <w:pPr>
        <w:autoSpaceDE w:val="0"/>
        <w:autoSpaceDN w:val="0"/>
        <w:adjustRightInd w:val="0"/>
        <w:ind w:firstLine="567"/>
        <w:jc w:val="both"/>
        <w:rPr>
          <w:rFonts w:ascii="Arial" w:hAnsi="Arial" w:cs="Arial"/>
          <w:color w:val="000000"/>
          <w:sz w:val="22"/>
          <w:szCs w:val="22"/>
        </w:rPr>
      </w:pPr>
      <w:r w:rsidRPr="00227E88">
        <w:rPr>
          <w:rFonts w:ascii="Arial" w:hAnsi="Arial" w:cs="Arial"/>
          <w:color w:val="000000"/>
          <w:sz w:val="22"/>
          <w:szCs w:val="22"/>
        </w:rPr>
        <w:t xml:space="preserve">Our objectives </w:t>
      </w:r>
      <w:r w:rsidR="009C2223" w:rsidRPr="00227E88">
        <w:rPr>
          <w:rFonts w:ascii="Arial" w:hAnsi="Arial" w:cs="Arial"/>
          <w:color w:val="000000"/>
          <w:sz w:val="22"/>
          <w:szCs w:val="22"/>
        </w:rPr>
        <w:t>regarding</w:t>
      </w:r>
      <w:r w:rsidRPr="00227E88">
        <w:rPr>
          <w:rFonts w:ascii="Arial" w:hAnsi="Arial" w:cs="Arial"/>
          <w:color w:val="000000"/>
          <w:sz w:val="22"/>
          <w:szCs w:val="22"/>
        </w:rPr>
        <w:t xml:space="preserve"> communication with pension section staff are to:</w:t>
      </w:r>
    </w:p>
    <w:p w14:paraId="6D163987"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88" w14:textId="77777777" w:rsidR="00427FA7" w:rsidRPr="00227E88" w:rsidRDefault="00427FA7" w:rsidP="007337FE">
      <w:pPr>
        <w:pStyle w:val="ListParagraph"/>
        <w:numPr>
          <w:ilvl w:val="0"/>
          <w:numId w:val="47"/>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 xml:space="preserve">ensure they are aware of changes and proposed changes to the </w:t>
      </w:r>
      <w:proofErr w:type="gramStart"/>
      <w:r w:rsidRPr="00227E88">
        <w:rPr>
          <w:rFonts w:ascii="Arial" w:hAnsi="Arial" w:cs="Arial"/>
          <w:color w:val="000000"/>
        </w:rPr>
        <w:t>scheme;</w:t>
      </w:r>
      <w:proofErr w:type="gramEnd"/>
    </w:p>
    <w:p w14:paraId="6D163989" w14:textId="77777777" w:rsidR="00427FA7" w:rsidRPr="00227E88" w:rsidRDefault="00427FA7" w:rsidP="007337FE">
      <w:pPr>
        <w:pStyle w:val="ListParagraph"/>
        <w:numPr>
          <w:ilvl w:val="0"/>
          <w:numId w:val="47"/>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 xml:space="preserve">provide on the job training to new </w:t>
      </w:r>
      <w:proofErr w:type="gramStart"/>
      <w:r w:rsidRPr="00227E88">
        <w:rPr>
          <w:rFonts w:ascii="Arial" w:hAnsi="Arial" w:cs="Arial"/>
          <w:color w:val="000000"/>
        </w:rPr>
        <w:t>staff;</w:t>
      </w:r>
      <w:proofErr w:type="gramEnd"/>
    </w:p>
    <w:p w14:paraId="6D16398A" w14:textId="77777777" w:rsidR="00427FA7" w:rsidRPr="00227E88" w:rsidRDefault="00427FA7" w:rsidP="007337FE">
      <w:pPr>
        <w:pStyle w:val="ListParagraph"/>
        <w:numPr>
          <w:ilvl w:val="0"/>
          <w:numId w:val="47"/>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 xml:space="preserve">develop improvements to services, and changes to processes as </w:t>
      </w:r>
      <w:proofErr w:type="gramStart"/>
      <w:r w:rsidRPr="00227E88">
        <w:rPr>
          <w:rFonts w:ascii="Arial" w:hAnsi="Arial" w:cs="Arial"/>
          <w:color w:val="000000"/>
        </w:rPr>
        <w:t>required;</w:t>
      </w:r>
      <w:proofErr w:type="gramEnd"/>
    </w:p>
    <w:p w14:paraId="6D16398B" w14:textId="77777777" w:rsidR="00427FA7" w:rsidRPr="00227E88" w:rsidRDefault="00427FA7" w:rsidP="007337FE">
      <w:pPr>
        <w:pStyle w:val="ListParagraph"/>
        <w:numPr>
          <w:ilvl w:val="0"/>
          <w:numId w:val="47"/>
        </w:numPr>
        <w:autoSpaceDE w:val="0"/>
        <w:autoSpaceDN w:val="0"/>
        <w:adjustRightInd w:val="0"/>
        <w:spacing w:after="0" w:line="240" w:lineRule="auto"/>
        <w:jc w:val="both"/>
        <w:rPr>
          <w:rFonts w:ascii="Arial" w:hAnsi="Arial" w:cs="Arial"/>
          <w:color w:val="000000"/>
        </w:rPr>
      </w:pPr>
      <w:r w:rsidRPr="00227E88">
        <w:rPr>
          <w:rFonts w:ascii="Arial" w:hAnsi="Arial" w:cs="Arial"/>
          <w:color w:val="000000"/>
        </w:rPr>
        <w:t>agree and monitor service standards.</w:t>
      </w:r>
    </w:p>
    <w:p w14:paraId="6D16398C"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8D" w14:textId="77777777" w:rsidR="00427FA7" w:rsidRPr="00227E88" w:rsidRDefault="00427FA7" w:rsidP="00427FA7">
      <w:pPr>
        <w:autoSpaceDE w:val="0"/>
        <w:autoSpaceDN w:val="0"/>
        <w:adjustRightInd w:val="0"/>
        <w:ind w:firstLine="567"/>
        <w:jc w:val="both"/>
        <w:rPr>
          <w:rFonts w:ascii="Arial" w:hAnsi="Arial" w:cs="Arial"/>
          <w:color w:val="000000"/>
          <w:sz w:val="22"/>
          <w:szCs w:val="22"/>
        </w:rPr>
      </w:pPr>
      <w:r w:rsidRPr="00227E88">
        <w:rPr>
          <w:rFonts w:ascii="Arial" w:hAnsi="Arial" w:cs="Arial"/>
          <w:color w:val="000000"/>
          <w:sz w:val="22"/>
          <w:szCs w:val="22"/>
        </w:rPr>
        <w:t>Our objectives will be met by providing the following communications:</w:t>
      </w:r>
    </w:p>
    <w:p w14:paraId="6D16398E" w14:textId="77777777" w:rsidR="00427FA7" w:rsidRPr="00227E88" w:rsidRDefault="00427FA7" w:rsidP="00427FA7">
      <w:pPr>
        <w:autoSpaceDE w:val="0"/>
        <w:autoSpaceDN w:val="0"/>
        <w:adjustRightInd w:val="0"/>
        <w:ind w:firstLine="567"/>
        <w:jc w:val="both"/>
        <w:rPr>
          <w:rFonts w:ascii="Arial" w:hAnsi="Arial" w:cs="Arial"/>
          <w:color w:val="000000"/>
          <w:sz w:val="22"/>
          <w:szCs w:val="22"/>
        </w:rPr>
      </w:pPr>
    </w:p>
    <w:tbl>
      <w:tblPr>
        <w:tblStyle w:val="TableGrid"/>
        <w:tblW w:w="0" w:type="auto"/>
        <w:tblInd w:w="108" w:type="dxa"/>
        <w:tblLook w:val="04A0" w:firstRow="1" w:lastRow="0" w:firstColumn="1" w:lastColumn="0" w:noHBand="0" w:noVBand="1"/>
      </w:tblPr>
      <w:tblGrid>
        <w:gridCol w:w="2043"/>
        <w:gridCol w:w="1553"/>
        <w:gridCol w:w="2193"/>
        <w:gridCol w:w="1840"/>
        <w:gridCol w:w="1613"/>
      </w:tblGrid>
      <w:tr w:rsidR="00427FA7" w:rsidRPr="00227E88" w14:paraId="6D163997" w14:textId="77777777" w:rsidTr="00345EF2">
        <w:trPr>
          <w:trHeight w:val="454"/>
        </w:trPr>
        <w:tc>
          <w:tcPr>
            <w:tcW w:w="2054" w:type="dxa"/>
            <w:vAlign w:val="center"/>
          </w:tcPr>
          <w:p w14:paraId="6D16398F"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90" w14:textId="77777777" w:rsidR="00427FA7" w:rsidRPr="00227E88" w:rsidRDefault="00427FA7" w:rsidP="00427FA7">
            <w:pPr>
              <w:autoSpaceDE w:val="0"/>
              <w:autoSpaceDN w:val="0"/>
              <w:adjustRightInd w:val="0"/>
              <w:jc w:val="center"/>
              <w:rPr>
                <w:rFonts w:ascii="Arial" w:hAnsi="Arial" w:cs="Arial"/>
                <w:b/>
                <w:color w:val="000000"/>
                <w:sz w:val="22"/>
                <w:szCs w:val="22"/>
              </w:rPr>
            </w:pPr>
            <w:r w:rsidRPr="00227E88">
              <w:rPr>
                <w:rFonts w:ascii="Arial" w:hAnsi="Arial" w:cs="Arial"/>
                <w:b/>
                <w:bCs/>
                <w:iCs/>
                <w:color w:val="000000"/>
                <w:sz w:val="22"/>
                <w:szCs w:val="22"/>
              </w:rPr>
              <w:t>Communication</w:t>
            </w:r>
          </w:p>
        </w:tc>
        <w:tc>
          <w:tcPr>
            <w:tcW w:w="1578" w:type="dxa"/>
            <w:vAlign w:val="center"/>
          </w:tcPr>
          <w:p w14:paraId="6D163991" w14:textId="77777777" w:rsidR="00427FA7" w:rsidRPr="00227E88" w:rsidRDefault="00427FA7" w:rsidP="00427FA7">
            <w:pPr>
              <w:autoSpaceDE w:val="0"/>
              <w:autoSpaceDN w:val="0"/>
              <w:adjustRightInd w:val="0"/>
              <w:jc w:val="center"/>
              <w:rPr>
                <w:rFonts w:ascii="Arial" w:hAnsi="Arial" w:cs="Arial"/>
                <w:b/>
                <w:color w:val="000000"/>
                <w:sz w:val="22"/>
                <w:szCs w:val="22"/>
              </w:rPr>
            </w:pPr>
            <w:r w:rsidRPr="00227E88">
              <w:rPr>
                <w:rFonts w:ascii="Arial" w:hAnsi="Arial" w:cs="Arial"/>
                <w:b/>
                <w:bCs/>
                <w:iCs/>
                <w:color w:val="000000"/>
                <w:sz w:val="22"/>
                <w:szCs w:val="22"/>
              </w:rPr>
              <w:t>Media</w:t>
            </w:r>
          </w:p>
        </w:tc>
        <w:tc>
          <w:tcPr>
            <w:tcW w:w="2250" w:type="dxa"/>
            <w:vAlign w:val="center"/>
          </w:tcPr>
          <w:p w14:paraId="6D163992"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Frequency</w:t>
            </w:r>
          </w:p>
          <w:p w14:paraId="6D163993" w14:textId="77777777" w:rsidR="00427FA7" w:rsidRPr="00227E88" w:rsidRDefault="00427FA7" w:rsidP="00427FA7">
            <w:pPr>
              <w:autoSpaceDE w:val="0"/>
              <w:autoSpaceDN w:val="0"/>
              <w:adjustRightInd w:val="0"/>
              <w:jc w:val="center"/>
              <w:rPr>
                <w:rFonts w:ascii="Arial" w:hAnsi="Arial" w:cs="Arial"/>
                <w:b/>
                <w:color w:val="000000"/>
                <w:sz w:val="22"/>
                <w:szCs w:val="22"/>
              </w:rPr>
            </w:pPr>
            <w:r w:rsidRPr="00227E88">
              <w:rPr>
                <w:rFonts w:ascii="Arial" w:hAnsi="Arial" w:cs="Arial"/>
                <w:b/>
                <w:bCs/>
                <w:iCs/>
                <w:color w:val="000000"/>
                <w:sz w:val="22"/>
                <w:szCs w:val="22"/>
              </w:rPr>
              <w:t>of Issue</w:t>
            </w:r>
          </w:p>
        </w:tc>
        <w:tc>
          <w:tcPr>
            <w:tcW w:w="1865" w:type="dxa"/>
            <w:vAlign w:val="center"/>
          </w:tcPr>
          <w:p w14:paraId="6D163994"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95" w14:textId="77777777" w:rsidR="00427FA7" w:rsidRPr="00227E88" w:rsidRDefault="00427FA7" w:rsidP="00427FA7">
            <w:pPr>
              <w:autoSpaceDE w:val="0"/>
              <w:autoSpaceDN w:val="0"/>
              <w:adjustRightInd w:val="0"/>
              <w:jc w:val="center"/>
              <w:rPr>
                <w:rFonts w:ascii="Arial" w:hAnsi="Arial" w:cs="Arial"/>
                <w:b/>
                <w:color w:val="000000"/>
                <w:sz w:val="22"/>
                <w:szCs w:val="22"/>
              </w:rPr>
            </w:pPr>
            <w:r w:rsidRPr="00227E88">
              <w:rPr>
                <w:rFonts w:ascii="Arial" w:hAnsi="Arial" w:cs="Arial"/>
                <w:b/>
                <w:bCs/>
                <w:iCs/>
                <w:color w:val="000000"/>
                <w:sz w:val="22"/>
                <w:szCs w:val="22"/>
              </w:rPr>
              <w:t>Distribution</w:t>
            </w:r>
          </w:p>
        </w:tc>
        <w:tc>
          <w:tcPr>
            <w:tcW w:w="1640" w:type="dxa"/>
            <w:vAlign w:val="center"/>
          </w:tcPr>
          <w:p w14:paraId="6D163996" w14:textId="77777777" w:rsidR="00427FA7" w:rsidRPr="00227E88" w:rsidRDefault="00427FA7" w:rsidP="00427FA7">
            <w:pPr>
              <w:autoSpaceDE w:val="0"/>
              <w:autoSpaceDN w:val="0"/>
              <w:adjustRightInd w:val="0"/>
              <w:jc w:val="center"/>
              <w:rPr>
                <w:rFonts w:ascii="Arial" w:hAnsi="Arial" w:cs="Arial"/>
                <w:b/>
                <w:color w:val="000000"/>
                <w:sz w:val="22"/>
                <w:szCs w:val="22"/>
              </w:rPr>
            </w:pPr>
            <w:r w:rsidRPr="00227E88">
              <w:rPr>
                <w:rFonts w:ascii="Arial" w:hAnsi="Arial" w:cs="Arial"/>
                <w:b/>
                <w:bCs/>
                <w:iCs/>
                <w:color w:val="000000"/>
                <w:sz w:val="22"/>
                <w:szCs w:val="22"/>
              </w:rPr>
              <w:t>Audience Group</w:t>
            </w:r>
          </w:p>
        </w:tc>
      </w:tr>
      <w:tr w:rsidR="00427FA7" w:rsidRPr="00227E88" w14:paraId="6D16399D" w14:textId="77777777" w:rsidTr="00345EF2">
        <w:trPr>
          <w:trHeight w:val="468"/>
        </w:trPr>
        <w:tc>
          <w:tcPr>
            <w:tcW w:w="2054" w:type="dxa"/>
            <w:vAlign w:val="center"/>
          </w:tcPr>
          <w:p w14:paraId="6D16399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Face to face training sessions</w:t>
            </w:r>
          </w:p>
        </w:tc>
        <w:tc>
          <w:tcPr>
            <w:tcW w:w="1578" w:type="dxa"/>
            <w:vAlign w:val="center"/>
          </w:tcPr>
          <w:p w14:paraId="6D163999"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Face to Face</w:t>
            </w:r>
          </w:p>
        </w:tc>
        <w:tc>
          <w:tcPr>
            <w:tcW w:w="2250" w:type="dxa"/>
            <w:vAlign w:val="center"/>
          </w:tcPr>
          <w:p w14:paraId="6D16399A"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required</w:t>
            </w:r>
          </w:p>
        </w:tc>
        <w:tc>
          <w:tcPr>
            <w:tcW w:w="1865" w:type="dxa"/>
            <w:vAlign w:val="center"/>
          </w:tcPr>
          <w:p w14:paraId="6D16399B"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By arrangement</w:t>
            </w:r>
          </w:p>
        </w:tc>
        <w:tc>
          <w:tcPr>
            <w:tcW w:w="1640" w:type="dxa"/>
            <w:vAlign w:val="center"/>
          </w:tcPr>
          <w:p w14:paraId="6D16399C"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tc>
      </w:tr>
      <w:tr w:rsidR="00427FA7" w:rsidRPr="00227E88" w14:paraId="6D1639A4" w14:textId="77777777" w:rsidTr="00345EF2">
        <w:trPr>
          <w:trHeight w:val="703"/>
        </w:trPr>
        <w:tc>
          <w:tcPr>
            <w:tcW w:w="2054" w:type="dxa"/>
            <w:vAlign w:val="center"/>
          </w:tcPr>
          <w:p w14:paraId="6D16399E"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Staff meetings</w:t>
            </w:r>
          </w:p>
        </w:tc>
        <w:tc>
          <w:tcPr>
            <w:tcW w:w="1578" w:type="dxa"/>
            <w:vAlign w:val="center"/>
          </w:tcPr>
          <w:p w14:paraId="6D16399F"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Face to face</w:t>
            </w:r>
          </w:p>
        </w:tc>
        <w:tc>
          <w:tcPr>
            <w:tcW w:w="2250" w:type="dxa"/>
            <w:vAlign w:val="center"/>
          </w:tcPr>
          <w:p w14:paraId="6D1639A0"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required, but no less frequently than monthly</w:t>
            </w:r>
          </w:p>
        </w:tc>
        <w:tc>
          <w:tcPr>
            <w:tcW w:w="1865" w:type="dxa"/>
            <w:vAlign w:val="center"/>
          </w:tcPr>
          <w:p w14:paraId="6D1639A1"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By arrangement</w:t>
            </w:r>
          </w:p>
        </w:tc>
        <w:tc>
          <w:tcPr>
            <w:tcW w:w="1640" w:type="dxa"/>
            <w:vAlign w:val="center"/>
          </w:tcPr>
          <w:p w14:paraId="6D1639A2"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p w14:paraId="6D1639A3" w14:textId="77777777" w:rsidR="00427FA7" w:rsidRPr="00227E88" w:rsidRDefault="00427FA7" w:rsidP="00427FA7">
            <w:pPr>
              <w:autoSpaceDE w:val="0"/>
              <w:autoSpaceDN w:val="0"/>
              <w:adjustRightInd w:val="0"/>
              <w:jc w:val="center"/>
              <w:rPr>
                <w:rFonts w:ascii="Arial" w:hAnsi="Arial" w:cs="Arial"/>
                <w:color w:val="000000"/>
                <w:sz w:val="22"/>
                <w:szCs w:val="22"/>
              </w:rPr>
            </w:pPr>
          </w:p>
        </w:tc>
      </w:tr>
      <w:tr w:rsidR="00427FA7" w:rsidRPr="00227E88" w14:paraId="6D1639AA" w14:textId="77777777" w:rsidTr="00345EF2">
        <w:trPr>
          <w:trHeight w:val="468"/>
        </w:trPr>
        <w:tc>
          <w:tcPr>
            <w:tcW w:w="2054" w:type="dxa"/>
            <w:vAlign w:val="center"/>
          </w:tcPr>
          <w:p w14:paraId="6D1639A5"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Attendance at seminars</w:t>
            </w:r>
          </w:p>
        </w:tc>
        <w:tc>
          <w:tcPr>
            <w:tcW w:w="1578" w:type="dxa"/>
            <w:vAlign w:val="center"/>
          </w:tcPr>
          <w:p w14:paraId="6D1639A6"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Externally provided</w:t>
            </w:r>
          </w:p>
        </w:tc>
        <w:tc>
          <w:tcPr>
            <w:tcW w:w="2250" w:type="dxa"/>
            <w:vAlign w:val="center"/>
          </w:tcPr>
          <w:p w14:paraId="6D1639A7"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and when advertised</w:t>
            </w:r>
          </w:p>
        </w:tc>
        <w:tc>
          <w:tcPr>
            <w:tcW w:w="1865" w:type="dxa"/>
            <w:vAlign w:val="center"/>
          </w:tcPr>
          <w:p w14:paraId="6D1639A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By email, paper based</w:t>
            </w:r>
          </w:p>
        </w:tc>
        <w:tc>
          <w:tcPr>
            <w:tcW w:w="1640" w:type="dxa"/>
            <w:vAlign w:val="center"/>
          </w:tcPr>
          <w:p w14:paraId="6D1639A9"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tc>
      </w:tr>
    </w:tbl>
    <w:p w14:paraId="6D1639AB"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AC"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227E88">
        <w:rPr>
          <w:rFonts w:ascii="Arial" w:hAnsi="Arial" w:cs="Arial"/>
          <w:b/>
          <w:bCs/>
          <w:iCs/>
          <w:color w:val="000000"/>
        </w:rPr>
        <w:t>2.16</w:t>
      </w:r>
      <w:r w:rsidRPr="00227E88">
        <w:rPr>
          <w:rFonts w:ascii="Arial" w:hAnsi="Arial" w:cs="Arial"/>
          <w:b/>
          <w:bCs/>
          <w:iCs/>
          <w:color w:val="000000"/>
        </w:rPr>
        <w:tab/>
        <w:t>Explanation of communications</w:t>
      </w:r>
    </w:p>
    <w:p w14:paraId="6D1639AD" w14:textId="77777777" w:rsidR="00427FA7" w:rsidRPr="00227E88" w:rsidRDefault="00427FA7" w:rsidP="00427FA7">
      <w:pPr>
        <w:autoSpaceDE w:val="0"/>
        <w:autoSpaceDN w:val="0"/>
        <w:adjustRightInd w:val="0"/>
        <w:jc w:val="both"/>
        <w:rPr>
          <w:rFonts w:ascii="Arial" w:hAnsi="Arial" w:cs="Arial"/>
          <w:b/>
          <w:bCs/>
          <w:i/>
          <w:iCs/>
          <w:color w:val="000000"/>
          <w:sz w:val="22"/>
          <w:szCs w:val="22"/>
        </w:rPr>
      </w:pPr>
    </w:p>
    <w:p w14:paraId="6D1639AE" w14:textId="77777777" w:rsidR="00427FA7" w:rsidRPr="00227E88" w:rsidRDefault="00427FA7" w:rsidP="004C17A4">
      <w:pPr>
        <w:pStyle w:val="ListParagraph"/>
        <w:numPr>
          <w:ilvl w:val="0"/>
          <w:numId w:val="29"/>
        </w:numPr>
        <w:tabs>
          <w:tab w:val="left" w:pos="993"/>
        </w:tabs>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b/>
          <w:color w:val="000000"/>
        </w:rPr>
        <w:t>Face to face training sessions</w:t>
      </w:r>
      <w:r w:rsidRPr="00227E88">
        <w:rPr>
          <w:rFonts w:ascii="Arial" w:hAnsi="Arial" w:cs="Arial"/>
          <w:color w:val="000000"/>
        </w:rPr>
        <w:t xml:space="preserve"> – which enable new staff to understand the basics of the scheme, or provide more </w:t>
      </w:r>
      <w:proofErr w:type="gramStart"/>
      <w:r w:rsidRPr="00227E88">
        <w:rPr>
          <w:rFonts w:ascii="Arial" w:hAnsi="Arial" w:cs="Arial"/>
          <w:color w:val="000000"/>
        </w:rPr>
        <w:t>in depth</w:t>
      </w:r>
      <w:proofErr w:type="gramEnd"/>
      <w:r w:rsidRPr="00227E88">
        <w:rPr>
          <w:rFonts w:ascii="Arial" w:hAnsi="Arial" w:cs="Arial"/>
          <w:color w:val="000000"/>
        </w:rPr>
        <w:t xml:space="preserve"> training to existing staff, either as part of their career development or to explain changes to the provisions of the scheme</w:t>
      </w:r>
    </w:p>
    <w:p w14:paraId="6D1639AF" w14:textId="77777777" w:rsidR="00427FA7" w:rsidRPr="00227E88" w:rsidRDefault="00427FA7" w:rsidP="004C17A4">
      <w:pPr>
        <w:pStyle w:val="ListParagraph"/>
        <w:numPr>
          <w:ilvl w:val="0"/>
          <w:numId w:val="29"/>
        </w:numPr>
        <w:tabs>
          <w:tab w:val="left" w:pos="993"/>
        </w:tabs>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b/>
          <w:color w:val="000000"/>
        </w:rPr>
        <w:t>Staff meetings</w:t>
      </w:r>
      <w:r w:rsidRPr="00227E88">
        <w:rPr>
          <w:rFonts w:ascii="Arial" w:hAnsi="Arial" w:cs="Arial"/>
          <w:color w:val="000000"/>
        </w:rPr>
        <w:t xml:space="preserve"> – to discuss any matters concerning the local administration of the scheme, including for example improvements to services or </w:t>
      </w:r>
      <w:proofErr w:type="gramStart"/>
      <w:r w:rsidRPr="00227E88">
        <w:rPr>
          <w:rFonts w:ascii="Arial" w:hAnsi="Arial" w:cs="Arial"/>
          <w:color w:val="000000"/>
        </w:rPr>
        <w:t>timescales</w:t>
      </w:r>
      <w:proofErr w:type="gramEnd"/>
    </w:p>
    <w:p w14:paraId="6D1639B0" w14:textId="77777777" w:rsidR="00427FA7" w:rsidRPr="00227E88" w:rsidRDefault="00427FA7" w:rsidP="004C17A4">
      <w:pPr>
        <w:pStyle w:val="ListParagraph"/>
        <w:numPr>
          <w:ilvl w:val="0"/>
          <w:numId w:val="29"/>
        </w:numPr>
        <w:tabs>
          <w:tab w:val="left" w:pos="993"/>
        </w:tabs>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b/>
          <w:color w:val="000000"/>
        </w:rPr>
        <w:t>Attendance at seminars</w:t>
      </w:r>
      <w:r w:rsidRPr="00227E88">
        <w:rPr>
          <w:rFonts w:ascii="Arial" w:hAnsi="Arial" w:cs="Arial"/>
          <w:color w:val="000000"/>
        </w:rPr>
        <w:t xml:space="preserve"> – to provide more tailored training on specific issues.</w:t>
      </w:r>
    </w:p>
    <w:p w14:paraId="6D1639B1"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B2"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227E88">
        <w:rPr>
          <w:rFonts w:ascii="Arial" w:hAnsi="Arial" w:cs="Arial"/>
          <w:b/>
          <w:bCs/>
          <w:color w:val="000000"/>
        </w:rPr>
        <w:t>2.17</w:t>
      </w:r>
      <w:r w:rsidRPr="00227E88">
        <w:rPr>
          <w:rFonts w:ascii="Arial" w:hAnsi="Arial" w:cs="Arial"/>
          <w:b/>
          <w:bCs/>
          <w:color w:val="000000"/>
        </w:rPr>
        <w:tab/>
        <w:t xml:space="preserve">Policy on communication with </w:t>
      </w:r>
      <w:proofErr w:type="gramStart"/>
      <w:r w:rsidRPr="00227E88">
        <w:rPr>
          <w:rFonts w:ascii="Arial" w:hAnsi="Arial" w:cs="Arial"/>
          <w:b/>
          <w:bCs/>
          <w:color w:val="000000"/>
        </w:rPr>
        <w:t>tax payers</w:t>
      </w:r>
      <w:proofErr w:type="gramEnd"/>
    </w:p>
    <w:p w14:paraId="6D1639B3" w14:textId="77777777" w:rsidR="00427FA7" w:rsidRPr="00227E88" w:rsidRDefault="00427FA7" w:rsidP="00427FA7">
      <w:pPr>
        <w:autoSpaceDE w:val="0"/>
        <w:autoSpaceDN w:val="0"/>
        <w:adjustRightInd w:val="0"/>
        <w:jc w:val="both"/>
        <w:rPr>
          <w:rFonts w:ascii="Arial" w:hAnsi="Arial" w:cs="Arial"/>
          <w:b/>
          <w:bCs/>
          <w:color w:val="000000"/>
          <w:sz w:val="22"/>
          <w:szCs w:val="22"/>
        </w:rPr>
      </w:pPr>
    </w:p>
    <w:p w14:paraId="6D1639B4"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 xml:space="preserve">Our objectives with regard to communication with </w:t>
      </w:r>
      <w:proofErr w:type="gramStart"/>
      <w:r w:rsidRPr="00227E88">
        <w:rPr>
          <w:rFonts w:ascii="Arial" w:hAnsi="Arial" w:cs="Arial"/>
          <w:color w:val="000000"/>
          <w:sz w:val="22"/>
          <w:szCs w:val="22"/>
        </w:rPr>
        <w:t>tax payers</w:t>
      </w:r>
      <w:proofErr w:type="gramEnd"/>
      <w:r w:rsidRPr="00227E88">
        <w:rPr>
          <w:rFonts w:ascii="Arial" w:hAnsi="Arial" w:cs="Arial"/>
          <w:color w:val="000000"/>
          <w:sz w:val="22"/>
          <w:szCs w:val="22"/>
        </w:rPr>
        <w:t xml:space="preserve"> are to:</w:t>
      </w:r>
    </w:p>
    <w:p w14:paraId="6D1639B5"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B6" w14:textId="77777777" w:rsidR="00427FA7" w:rsidRPr="00227E88" w:rsidRDefault="00427FA7" w:rsidP="004C17A4">
      <w:pPr>
        <w:pStyle w:val="ListParagraph"/>
        <w:numPr>
          <w:ilvl w:val="0"/>
          <w:numId w:val="30"/>
        </w:numPr>
        <w:autoSpaceDE w:val="0"/>
        <w:autoSpaceDN w:val="0"/>
        <w:adjustRightInd w:val="0"/>
        <w:spacing w:after="0" w:line="240" w:lineRule="auto"/>
        <w:ind w:left="360"/>
        <w:jc w:val="both"/>
        <w:rPr>
          <w:rFonts w:ascii="Arial" w:hAnsi="Arial" w:cs="Arial"/>
          <w:color w:val="000000"/>
        </w:rPr>
      </w:pPr>
      <w:r w:rsidRPr="00227E88">
        <w:rPr>
          <w:rFonts w:ascii="Arial" w:hAnsi="Arial" w:cs="Arial"/>
          <w:color w:val="000000"/>
        </w:rPr>
        <w:t xml:space="preserve">provide access to key information in relation to the management of the </w:t>
      </w:r>
      <w:proofErr w:type="gramStart"/>
      <w:r w:rsidRPr="00227E88">
        <w:rPr>
          <w:rFonts w:ascii="Arial" w:hAnsi="Arial" w:cs="Arial"/>
          <w:color w:val="000000"/>
        </w:rPr>
        <w:t>scheme;</w:t>
      </w:r>
      <w:proofErr w:type="gramEnd"/>
    </w:p>
    <w:p w14:paraId="6D1639B7" w14:textId="77777777" w:rsidR="00427FA7" w:rsidRPr="00227E88" w:rsidRDefault="00427FA7" w:rsidP="004C17A4">
      <w:pPr>
        <w:pStyle w:val="ListParagraph"/>
        <w:numPr>
          <w:ilvl w:val="0"/>
          <w:numId w:val="30"/>
        </w:numPr>
        <w:autoSpaceDE w:val="0"/>
        <w:autoSpaceDN w:val="0"/>
        <w:adjustRightInd w:val="0"/>
        <w:spacing w:after="0" w:line="240" w:lineRule="auto"/>
        <w:ind w:left="360"/>
        <w:jc w:val="both"/>
        <w:rPr>
          <w:rFonts w:ascii="Arial" w:hAnsi="Arial" w:cs="Arial"/>
          <w:color w:val="000000"/>
        </w:rPr>
      </w:pPr>
      <w:r w:rsidRPr="00227E88">
        <w:rPr>
          <w:rFonts w:ascii="Arial" w:hAnsi="Arial" w:cs="Arial"/>
          <w:color w:val="000000"/>
        </w:rPr>
        <w:t>outline the management of the scheme.</w:t>
      </w:r>
    </w:p>
    <w:p w14:paraId="6D1639B8"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B9"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Our objectives will be met by providing the following communications:</w:t>
      </w:r>
    </w:p>
    <w:p w14:paraId="6D1639BA" w14:textId="77777777" w:rsidR="00427FA7" w:rsidRPr="00227E88" w:rsidRDefault="00427FA7" w:rsidP="00427FA7">
      <w:pPr>
        <w:autoSpaceDE w:val="0"/>
        <w:autoSpaceDN w:val="0"/>
        <w:adjustRightInd w:val="0"/>
        <w:jc w:val="both"/>
        <w:rPr>
          <w:rFonts w:ascii="Arial" w:hAnsi="Arial" w:cs="Arial"/>
          <w:color w:val="000000"/>
          <w:sz w:val="22"/>
          <w:szCs w:val="22"/>
        </w:rPr>
      </w:pPr>
    </w:p>
    <w:tbl>
      <w:tblPr>
        <w:tblStyle w:val="TableGrid"/>
        <w:tblW w:w="9470" w:type="dxa"/>
        <w:tblInd w:w="108" w:type="dxa"/>
        <w:tblLook w:val="04A0" w:firstRow="1" w:lastRow="0" w:firstColumn="1" w:lastColumn="0" w:noHBand="0" w:noVBand="1"/>
      </w:tblPr>
      <w:tblGrid>
        <w:gridCol w:w="2125"/>
        <w:gridCol w:w="1793"/>
        <w:gridCol w:w="1723"/>
        <w:gridCol w:w="2005"/>
        <w:gridCol w:w="1824"/>
      </w:tblGrid>
      <w:tr w:rsidR="00427FA7" w:rsidRPr="00227E88" w14:paraId="6D1639C3" w14:textId="77777777" w:rsidTr="00345EF2">
        <w:trPr>
          <w:trHeight w:val="363"/>
        </w:trPr>
        <w:tc>
          <w:tcPr>
            <w:tcW w:w="2125" w:type="dxa"/>
            <w:vAlign w:val="center"/>
          </w:tcPr>
          <w:p w14:paraId="6D1639BB"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BC"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Communication</w:t>
            </w:r>
          </w:p>
        </w:tc>
        <w:tc>
          <w:tcPr>
            <w:tcW w:w="1793" w:type="dxa"/>
            <w:vAlign w:val="center"/>
          </w:tcPr>
          <w:p w14:paraId="6D1639BD"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Media</w:t>
            </w:r>
          </w:p>
        </w:tc>
        <w:tc>
          <w:tcPr>
            <w:tcW w:w="1723" w:type="dxa"/>
            <w:vAlign w:val="center"/>
          </w:tcPr>
          <w:p w14:paraId="6D1639BE"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Frequency of</w:t>
            </w:r>
          </w:p>
          <w:p w14:paraId="6D1639BF"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Issue</w:t>
            </w:r>
          </w:p>
        </w:tc>
        <w:tc>
          <w:tcPr>
            <w:tcW w:w="2005" w:type="dxa"/>
            <w:vAlign w:val="center"/>
          </w:tcPr>
          <w:p w14:paraId="6D1639C0"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Method of</w:t>
            </w:r>
          </w:p>
          <w:p w14:paraId="6D1639C1"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Distribution</w:t>
            </w:r>
          </w:p>
        </w:tc>
        <w:tc>
          <w:tcPr>
            <w:tcW w:w="1824" w:type="dxa"/>
            <w:vAlign w:val="center"/>
          </w:tcPr>
          <w:p w14:paraId="6D1639C2"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Audience Group</w:t>
            </w:r>
          </w:p>
        </w:tc>
      </w:tr>
      <w:tr w:rsidR="00427FA7" w:rsidRPr="00227E88" w14:paraId="6D1639CA" w14:textId="77777777" w:rsidTr="00345EF2">
        <w:trPr>
          <w:trHeight w:val="363"/>
        </w:trPr>
        <w:tc>
          <w:tcPr>
            <w:tcW w:w="2125" w:type="dxa"/>
            <w:vAlign w:val="center"/>
          </w:tcPr>
          <w:p w14:paraId="6D1639C4"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Pension Fund Report and Accounts</w:t>
            </w:r>
          </w:p>
        </w:tc>
        <w:tc>
          <w:tcPr>
            <w:tcW w:w="1793" w:type="dxa"/>
            <w:vAlign w:val="center"/>
          </w:tcPr>
          <w:p w14:paraId="6D1639C5"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Paper based and on website</w:t>
            </w:r>
          </w:p>
        </w:tc>
        <w:tc>
          <w:tcPr>
            <w:tcW w:w="1723" w:type="dxa"/>
            <w:vAlign w:val="center"/>
          </w:tcPr>
          <w:p w14:paraId="6D1639C6"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Annually</w:t>
            </w:r>
          </w:p>
        </w:tc>
        <w:tc>
          <w:tcPr>
            <w:tcW w:w="2005" w:type="dxa"/>
            <w:vAlign w:val="center"/>
          </w:tcPr>
          <w:p w14:paraId="6D1639C7"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Post</w:t>
            </w:r>
          </w:p>
        </w:tc>
        <w:tc>
          <w:tcPr>
            <w:tcW w:w="1824" w:type="dxa"/>
            <w:vAlign w:val="center"/>
          </w:tcPr>
          <w:p w14:paraId="6D1639C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 on request</w:t>
            </w:r>
          </w:p>
          <w:p w14:paraId="6D1639C9" w14:textId="77777777" w:rsidR="00427FA7" w:rsidRPr="00227E88" w:rsidRDefault="00427FA7" w:rsidP="00427FA7">
            <w:pPr>
              <w:autoSpaceDE w:val="0"/>
              <w:autoSpaceDN w:val="0"/>
              <w:adjustRightInd w:val="0"/>
              <w:jc w:val="center"/>
              <w:rPr>
                <w:rFonts w:ascii="Arial" w:hAnsi="Arial" w:cs="Arial"/>
                <w:color w:val="000000"/>
                <w:sz w:val="22"/>
                <w:szCs w:val="22"/>
              </w:rPr>
            </w:pPr>
          </w:p>
        </w:tc>
      </w:tr>
      <w:tr w:rsidR="00427FA7" w:rsidRPr="00227E88" w14:paraId="6D1639D2" w14:textId="77777777" w:rsidTr="00345EF2">
        <w:trPr>
          <w:trHeight w:val="363"/>
        </w:trPr>
        <w:tc>
          <w:tcPr>
            <w:tcW w:w="2125" w:type="dxa"/>
            <w:vAlign w:val="center"/>
          </w:tcPr>
          <w:p w14:paraId="6D1639CB"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Pension Fund Committee Papers</w:t>
            </w:r>
          </w:p>
        </w:tc>
        <w:tc>
          <w:tcPr>
            <w:tcW w:w="1793" w:type="dxa"/>
            <w:vAlign w:val="center"/>
          </w:tcPr>
          <w:p w14:paraId="6D1639CC"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Paper based and on website</w:t>
            </w:r>
          </w:p>
        </w:tc>
        <w:tc>
          <w:tcPr>
            <w:tcW w:w="1723" w:type="dxa"/>
            <w:vAlign w:val="center"/>
          </w:tcPr>
          <w:p w14:paraId="6D1639CD"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and when available</w:t>
            </w:r>
          </w:p>
          <w:p w14:paraId="6D1639CE"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005" w:type="dxa"/>
            <w:vAlign w:val="center"/>
          </w:tcPr>
          <w:p w14:paraId="6D1639CF"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Post</w:t>
            </w:r>
          </w:p>
        </w:tc>
        <w:tc>
          <w:tcPr>
            <w:tcW w:w="1824" w:type="dxa"/>
            <w:vAlign w:val="center"/>
          </w:tcPr>
          <w:p w14:paraId="6D1639D0"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 on request</w:t>
            </w:r>
          </w:p>
          <w:p w14:paraId="6D1639D1" w14:textId="77777777" w:rsidR="00427FA7" w:rsidRPr="00227E88" w:rsidRDefault="00427FA7" w:rsidP="00427FA7">
            <w:pPr>
              <w:autoSpaceDE w:val="0"/>
              <w:autoSpaceDN w:val="0"/>
              <w:adjustRightInd w:val="0"/>
              <w:jc w:val="center"/>
              <w:rPr>
                <w:rFonts w:ascii="Arial" w:hAnsi="Arial" w:cs="Arial"/>
                <w:color w:val="000000"/>
                <w:sz w:val="22"/>
                <w:szCs w:val="22"/>
              </w:rPr>
            </w:pPr>
          </w:p>
        </w:tc>
      </w:tr>
    </w:tbl>
    <w:p w14:paraId="6D1639D3" w14:textId="77777777" w:rsidR="00427FA7" w:rsidRPr="00227E88" w:rsidRDefault="00427FA7" w:rsidP="00427FA7">
      <w:pPr>
        <w:pStyle w:val="ListParagraph"/>
        <w:autoSpaceDE w:val="0"/>
        <w:autoSpaceDN w:val="0"/>
        <w:adjustRightInd w:val="0"/>
        <w:spacing w:after="0" w:line="240" w:lineRule="auto"/>
        <w:ind w:left="284"/>
        <w:jc w:val="both"/>
        <w:rPr>
          <w:rFonts w:ascii="Arial" w:hAnsi="Arial" w:cs="Arial"/>
          <w:color w:val="000000"/>
        </w:rPr>
      </w:pPr>
    </w:p>
    <w:p w14:paraId="6D1639D4"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227E88">
        <w:rPr>
          <w:rFonts w:ascii="Arial" w:hAnsi="Arial" w:cs="Arial"/>
          <w:b/>
          <w:color w:val="000000"/>
        </w:rPr>
        <w:t>2.18</w:t>
      </w:r>
      <w:r w:rsidRPr="00227E88">
        <w:rPr>
          <w:rFonts w:ascii="Arial" w:hAnsi="Arial" w:cs="Arial"/>
          <w:b/>
          <w:color w:val="000000"/>
        </w:rPr>
        <w:tab/>
      </w:r>
      <w:r w:rsidRPr="00227E88">
        <w:rPr>
          <w:rFonts w:ascii="Arial" w:hAnsi="Arial" w:cs="Arial"/>
          <w:b/>
          <w:bCs/>
          <w:iCs/>
          <w:color w:val="000000"/>
        </w:rPr>
        <w:t>Explanation of communications</w:t>
      </w:r>
    </w:p>
    <w:p w14:paraId="6D1639D5" w14:textId="77777777" w:rsidR="00427FA7" w:rsidRPr="00227E88" w:rsidRDefault="00427FA7" w:rsidP="00427FA7">
      <w:pPr>
        <w:autoSpaceDE w:val="0"/>
        <w:autoSpaceDN w:val="0"/>
        <w:adjustRightInd w:val="0"/>
        <w:jc w:val="both"/>
        <w:rPr>
          <w:rFonts w:ascii="Arial" w:hAnsi="Arial" w:cs="Arial"/>
          <w:b/>
          <w:bCs/>
          <w:iCs/>
          <w:color w:val="000000"/>
          <w:sz w:val="22"/>
          <w:szCs w:val="22"/>
        </w:rPr>
      </w:pPr>
    </w:p>
    <w:p w14:paraId="6D1639D6" w14:textId="77777777" w:rsidR="00427FA7" w:rsidRPr="00227E88" w:rsidRDefault="00427FA7" w:rsidP="004C17A4">
      <w:pPr>
        <w:pStyle w:val="ListParagraph"/>
        <w:numPr>
          <w:ilvl w:val="0"/>
          <w:numId w:val="31"/>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b/>
          <w:color w:val="000000"/>
        </w:rPr>
        <w:t>Pension Fund Report and Accounts</w:t>
      </w:r>
      <w:r w:rsidRPr="00227E88">
        <w:rPr>
          <w:rFonts w:ascii="Arial" w:hAnsi="Arial" w:cs="Arial"/>
          <w:color w:val="000000"/>
        </w:rPr>
        <w:t xml:space="preserve"> – details of the value of the Pension Fund during the financial year, income and expenditure as well as other related details, for example, the current employing authorities and scheme membership </w:t>
      </w:r>
      <w:proofErr w:type="gramStart"/>
      <w:r w:rsidRPr="00227E88">
        <w:rPr>
          <w:rFonts w:ascii="Arial" w:hAnsi="Arial" w:cs="Arial"/>
          <w:color w:val="000000"/>
        </w:rPr>
        <w:t>numbers;</w:t>
      </w:r>
      <w:proofErr w:type="gramEnd"/>
    </w:p>
    <w:p w14:paraId="6D1639D7" w14:textId="77777777" w:rsidR="00427FA7" w:rsidRPr="00227E88" w:rsidRDefault="00427FA7" w:rsidP="004C17A4">
      <w:pPr>
        <w:pStyle w:val="ListParagraph"/>
        <w:numPr>
          <w:ilvl w:val="0"/>
          <w:numId w:val="31"/>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b/>
          <w:color w:val="000000"/>
        </w:rPr>
        <w:t>Fund Committee Papers</w:t>
      </w:r>
      <w:r w:rsidRPr="00227E88">
        <w:rPr>
          <w:rFonts w:ascii="Arial" w:hAnsi="Arial" w:cs="Arial"/>
          <w:color w:val="000000"/>
        </w:rPr>
        <w:t xml:space="preserve"> – a formal document setting out relevant issues in respect of the LGPS, in many cases seeking specific decisions or directions from elected members.</w:t>
      </w:r>
    </w:p>
    <w:p w14:paraId="6D1639D8" w14:textId="77777777" w:rsidR="00427FA7" w:rsidRDefault="00427FA7" w:rsidP="00427FA7">
      <w:pPr>
        <w:autoSpaceDE w:val="0"/>
        <w:autoSpaceDN w:val="0"/>
        <w:adjustRightInd w:val="0"/>
        <w:jc w:val="both"/>
        <w:rPr>
          <w:rFonts w:ascii="Arial" w:hAnsi="Arial" w:cs="Arial"/>
          <w:color w:val="000000"/>
          <w:sz w:val="22"/>
          <w:szCs w:val="22"/>
        </w:rPr>
      </w:pPr>
    </w:p>
    <w:p w14:paraId="47CA598C" w14:textId="38DA1D90" w:rsidR="00540F32" w:rsidRDefault="00540F32" w:rsidP="00427FA7">
      <w:pPr>
        <w:autoSpaceDE w:val="0"/>
        <w:autoSpaceDN w:val="0"/>
        <w:adjustRightInd w:val="0"/>
        <w:jc w:val="both"/>
        <w:rPr>
          <w:rFonts w:ascii="Arial" w:hAnsi="Arial" w:cs="Arial"/>
          <w:color w:val="000000"/>
          <w:sz w:val="22"/>
          <w:szCs w:val="22"/>
        </w:rPr>
      </w:pPr>
    </w:p>
    <w:p w14:paraId="22ACDEA7" w14:textId="77777777" w:rsidR="00540F32" w:rsidRPr="00227E88" w:rsidRDefault="00540F32" w:rsidP="00427FA7">
      <w:pPr>
        <w:autoSpaceDE w:val="0"/>
        <w:autoSpaceDN w:val="0"/>
        <w:adjustRightInd w:val="0"/>
        <w:jc w:val="both"/>
        <w:rPr>
          <w:rFonts w:ascii="Arial" w:hAnsi="Arial" w:cs="Arial"/>
          <w:color w:val="000000"/>
          <w:sz w:val="22"/>
          <w:szCs w:val="22"/>
        </w:rPr>
      </w:pPr>
    </w:p>
    <w:p w14:paraId="6D1639D9"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227E88">
        <w:rPr>
          <w:rFonts w:ascii="Arial" w:hAnsi="Arial" w:cs="Arial"/>
          <w:b/>
          <w:bCs/>
          <w:color w:val="000000"/>
        </w:rPr>
        <w:t>2.19</w:t>
      </w:r>
      <w:r w:rsidRPr="00227E88">
        <w:rPr>
          <w:rFonts w:ascii="Arial" w:hAnsi="Arial" w:cs="Arial"/>
          <w:b/>
          <w:bCs/>
          <w:color w:val="000000"/>
        </w:rPr>
        <w:tab/>
        <w:t>Policy on communication with the media</w:t>
      </w:r>
    </w:p>
    <w:p w14:paraId="6D1639DA" w14:textId="77777777" w:rsidR="00427FA7" w:rsidRPr="00227E88" w:rsidRDefault="00427FA7" w:rsidP="00427FA7">
      <w:pPr>
        <w:autoSpaceDE w:val="0"/>
        <w:autoSpaceDN w:val="0"/>
        <w:adjustRightInd w:val="0"/>
        <w:jc w:val="both"/>
        <w:rPr>
          <w:rFonts w:ascii="Arial" w:hAnsi="Arial" w:cs="Arial"/>
          <w:b/>
          <w:bCs/>
          <w:color w:val="000000"/>
          <w:sz w:val="22"/>
          <w:szCs w:val="22"/>
        </w:rPr>
      </w:pPr>
    </w:p>
    <w:p w14:paraId="6D1639DB" w14:textId="53688E32" w:rsidR="00427FA7" w:rsidRPr="00227E88" w:rsidRDefault="00427FA7" w:rsidP="00427FA7">
      <w:pPr>
        <w:autoSpaceDE w:val="0"/>
        <w:autoSpaceDN w:val="0"/>
        <w:adjustRightInd w:val="0"/>
        <w:ind w:firstLine="207"/>
        <w:jc w:val="both"/>
        <w:rPr>
          <w:rFonts w:ascii="Arial" w:hAnsi="Arial" w:cs="Arial"/>
          <w:color w:val="000000"/>
          <w:sz w:val="22"/>
          <w:szCs w:val="22"/>
        </w:rPr>
      </w:pPr>
      <w:r w:rsidRPr="00227E88">
        <w:rPr>
          <w:rFonts w:ascii="Arial" w:hAnsi="Arial" w:cs="Arial"/>
          <w:color w:val="000000"/>
          <w:sz w:val="22"/>
          <w:szCs w:val="22"/>
        </w:rPr>
        <w:t xml:space="preserve">Our objectives </w:t>
      </w:r>
      <w:r w:rsidR="009C2223" w:rsidRPr="00227E88">
        <w:rPr>
          <w:rFonts w:ascii="Arial" w:hAnsi="Arial" w:cs="Arial"/>
          <w:color w:val="000000"/>
          <w:sz w:val="22"/>
          <w:szCs w:val="22"/>
        </w:rPr>
        <w:t>regarding</w:t>
      </w:r>
      <w:r w:rsidRPr="00227E88">
        <w:rPr>
          <w:rFonts w:ascii="Arial" w:hAnsi="Arial" w:cs="Arial"/>
          <w:color w:val="000000"/>
          <w:sz w:val="22"/>
          <w:szCs w:val="22"/>
        </w:rPr>
        <w:t xml:space="preserve"> communication with the media are to:</w:t>
      </w:r>
    </w:p>
    <w:p w14:paraId="6D1639DC"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DD" w14:textId="77777777" w:rsidR="00427FA7" w:rsidRPr="00227E88" w:rsidRDefault="00427FA7" w:rsidP="004C17A4">
      <w:pPr>
        <w:pStyle w:val="ListParagraph"/>
        <w:numPr>
          <w:ilvl w:val="0"/>
          <w:numId w:val="32"/>
        </w:numPr>
        <w:autoSpaceDE w:val="0"/>
        <w:autoSpaceDN w:val="0"/>
        <w:adjustRightInd w:val="0"/>
        <w:spacing w:after="0" w:line="240" w:lineRule="auto"/>
        <w:ind w:left="426" w:hanging="426"/>
        <w:jc w:val="both"/>
        <w:rPr>
          <w:rFonts w:ascii="Arial" w:hAnsi="Arial" w:cs="Arial"/>
          <w:color w:val="000000"/>
        </w:rPr>
      </w:pPr>
      <w:r w:rsidRPr="00227E88">
        <w:rPr>
          <w:rFonts w:ascii="Arial" w:hAnsi="Arial" w:cs="Arial"/>
          <w:color w:val="000000"/>
        </w:rPr>
        <w:t>ensure the accurate reporting of Fund valuation results, the overall performance of the Fund and the Fund’s policy decisions against discretionary elements of the scheme.</w:t>
      </w:r>
    </w:p>
    <w:p w14:paraId="6D1639DE"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DF" w14:textId="77777777" w:rsidR="00427FA7" w:rsidRPr="00227E88" w:rsidRDefault="00427FA7" w:rsidP="00427FA7">
      <w:pPr>
        <w:autoSpaceDE w:val="0"/>
        <w:autoSpaceDN w:val="0"/>
        <w:adjustRightInd w:val="0"/>
        <w:ind w:firstLine="720"/>
        <w:jc w:val="both"/>
        <w:rPr>
          <w:rFonts w:ascii="Arial" w:hAnsi="Arial" w:cs="Arial"/>
          <w:color w:val="000000"/>
          <w:sz w:val="22"/>
          <w:szCs w:val="22"/>
        </w:rPr>
      </w:pPr>
      <w:r w:rsidRPr="00227E88">
        <w:rPr>
          <w:rFonts w:ascii="Arial" w:hAnsi="Arial" w:cs="Arial"/>
          <w:color w:val="000000"/>
          <w:sz w:val="22"/>
          <w:szCs w:val="22"/>
        </w:rPr>
        <w:t>Our objectives will be met by providing the following communications:</w:t>
      </w:r>
    </w:p>
    <w:p w14:paraId="6D1639E0" w14:textId="77777777" w:rsidR="00427FA7" w:rsidRPr="00227E88" w:rsidRDefault="00427FA7" w:rsidP="00427FA7">
      <w:pPr>
        <w:autoSpaceDE w:val="0"/>
        <w:autoSpaceDN w:val="0"/>
        <w:adjustRightInd w:val="0"/>
        <w:ind w:firstLine="360"/>
        <w:jc w:val="both"/>
        <w:rPr>
          <w:rFonts w:ascii="Arial" w:hAnsi="Arial" w:cs="Arial"/>
          <w:color w:val="000000"/>
          <w:sz w:val="22"/>
          <w:szCs w:val="22"/>
        </w:rPr>
      </w:pPr>
    </w:p>
    <w:tbl>
      <w:tblPr>
        <w:tblStyle w:val="TableGrid"/>
        <w:tblW w:w="9498" w:type="dxa"/>
        <w:tblInd w:w="108" w:type="dxa"/>
        <w:tblLook w:val="04A0" w:firstRow="1" w:lastRow="0" w:firstColumn="1" w:lastColumn="0" w:noHBand="0" w:noVBand="1"/>
      </w:tblPr>
      <w:tblGrid>
        <w:gridCol w:w="1879"/>
        <w:gridCol w:w="1372"/>
        <w:gridCol w:w="3402"/>
        <w:gridCol w:w="1563"/>
        <w:gridCol w:w="1282"/>
      </w:tblGrid>
      <w:tr w:rsidR="00427FA7" w:rsidRPr="00227E88" w14:paraId="6D1639E9" w14:textId="77777777" w:rsidTr="00345EF2">
        <w:tc>
          <w:tcPr>
            <w:tcW w:w="1879" w:type="dxa"/>
            <w:vAlign w:val="center"/>
          </w:tcPr>
          <w:p w14:paraId="6D1639E1"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b/>
                <w:bCs/>
                <w:i/>
                <w:iCs/>
                <w:color w:val="000000"/>
                <w:sz w:val="22"/>
                <w:szCs w:val="22"/>
              </w:rPr>
              <w:t>Method of</w:t>
            </w:r>
          </w:p>
          <w:p w14:paraId="6D1639E2"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
                <w:iCs/>
                <w:color w:val="000000"/>
                <w:sz w:val="22"/>
                <w:szCs w:val="22"/>
              </w:rPr>
              <w:t>Communication</w:t>
            </w:r>
          </w:p>
        </w:tc>
        <w:tc>
          <w:tcPr>
            <w:tcW w:w="1372" w:type="dxa"/>
            <w:vAlign w:val="center"/>
          </w:tcPr>
          <w:p w14:paraId="6D1639E3"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
                <w:iCs/>
                <w:color w:val="000000"/>
                <w:sz w:val="22"/>
                <w:szCs w:val="22"/>
              </w:rPr>
              <w:t>Media</w:t>
            </w:r>
          </w:p>
        </w:tc>
        <w:tc>
          <w:tcPr>
            <w:tcW w:w="3402" w:type="dxa"/>
            <w:vAlign w:val="center"/>
          </w:tcPr>
          <w:p w14:paraId="6D1639E4"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b/>
                <w:bCs/>
                <w:i/>
                <w:iCs/>
                <w:color w:val="000000"/>
                <w:sz w:val="22"/>
                <w:szCs w:val="22"/>
              </w:rPr>
              <w:t>Frequency of</w:t>
            </w:r>
          </w:p>
          <w:p w14:paraId="6D1639E5"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
                <w:iCs/>
                <w:color w:val="000000"/>
                <w:sz w:val="22"/>
                <w:szCs w:val="22"/>
              </w:rPr>
              <w:t>Issue</w:t>
            </w:r>
          </w:p>
        </w:tc>
        <w:tc>
          <w:tcPr>
            <w:tcW w:w="1563" w:type="dxa"/>
            <w:vAlign w:val="center"/>
          </w:tcPr>
          <w:p w14:paraId="6D1639E6"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b/>
                <w:bCs/>
                <w:i/>
                <w:iCs/>
                <w:color w:val="000000"/>
                <w:sz w:val="22"/>
                <w:szCs w:val="22"/>
              </w:rPr>
              <w:t>Method of</w:t>
            </w:r>
          </w:p>
          <w:p w14:paraId="6D1639E7"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
                <w:iCs/>
                <w:color w:val="000000"/>
                <w:sz w:val="22"/>
                <w:szCs w:val="22"/>
              </w:rPr>
              <w:t>Distribution</w:t>
            </w:r>
          </w:p>
        </w:tc>
        <w:tc>
          <w:tcPr>
            <w:tcW w:w="1282" w:type="dxa"/>
            <w:vAlign w:val="center"/>
          </w:tcPr>
          <w:p w14:paraId="6D1639E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
                <w:iCs/>
                <w:color w:val="000000"/>
                <w:sz w:val="22"/>
                <w:szCs w:val="22"/>
              </w:rPr>
              <w:t>Audience Group</w:t>
            </w:r>
          </w:p>
        </w:tc>
      </w:tr>
      <w:tr w:rsidR="00427FA7" w:rsidRPr="00227E88" w14:paraId="6D1639F1" w14:textId="77777777" w:rsidTr="00345EF2">
        <w:tc>
          <w:tcPr>
            <w:tcW w:w="1879" w:type="dxa"/>
            <w:vAlign w:val="center"/>
          </w:tcPr>
          <w:p w14:paraId="6D1639EA"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Press releases</w:t>
            </w:r>
          </w:p>
        </w:tc>
        <w:tc>
          <w:tcPr>
            <w:tcW w:w="1372" w:type="dxa"/>
            <w:vAlign w:val="center"/>
          </w:tcPr>
          <w:p w14:paraId="6D1639EB"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 xml:space="preserve">Paper based or </w:t>
            </w:r>
            <w:proofErr w:type="gramStart"/>
            <w:r w:rsidRPr="00227E88">
              <w:rPr>
                <w:rFonts w:ascii="Arial" w:hAnsi="Arial" w:cs="Arial"/>
                <w:color w:val="000000"/>
                <w:sz w:val="22"/>
                <w:szCs w:val="22"/>
              </w:rPr>
              <w:t>electronic</w:t>
            </w:r>
            <w:proofErr w:type="gramEnd"/>
          </w:p>
          <w:p w14:paraId="6D1639EC"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3402" w:type="dxa"/>
            <w:vAlign w:val="center"/>
          </w:tcPr>
          <w:p w14:paraId="6D1639ED"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Every three years following the valuation of the Fund, annually on the publication of the Fund accounts and as and when required for other matters</w:t>
            </w:r>
          </w:p>
        </w:tc>
        <w:tc>
          <w:tcPr>
            <w:tcW w:w="1563" w:type="dxa"/>
            <w:vAlign w:val="center"/>
          </w:tcPr>
          <w:p w14:paraId="6D1639EE"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Post or email</w:t>
            </w:r>
          </w:p>
        </w:tc>
        <w:tc>
          <w:tcPr>
            <w:tcW w:w="1282" w:type="dxa"/>
            <w:vAlign w:val="center"/>
          </w:tcPr>
          <w:p w14:paraId="6D1639EF"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Local press</w:t>
            </w:r>
          </w:p>
          <w:p w14:paraId="6D1639F0" w14:textId="77777777" w:rsidR="00427FA7" w:rsidRPr="00227E88" w:rsidRDefault="00427FA7" w:rsidP="00427FA7">
            <w:pPr>
              <w:autoSpaceDE w:val="0"/>
              <w:autoSpaceDN w:val="0"/>
              <w:adjustRightInd w:val="0"/>
              <w:jc w:val="center"/>
              <w:rPr>
                <w:rFonts w:ascii="Arial" w:hAnsi="Arial" w:cs="Arial"/>
                <w:color w:val="000000"/>
                <w:sz w:val="22"/>
                <w:szCs w:val="22"/>
              </w:rPr>
            </w:pPr>
          </w:p>
        </w:tc>
      </w:tr>
    </w:tbl>
    <w:p w14:paraId="6D1639F2" w14:textId="77777777" w:rsidR="00427FA7" w:rsidRPr="00227E88" w:rsidRDefault="00427FA7" w:rsidP="00427FA7">
      <w:pPr>
        <w:pStyle w:val="ListParagraph"/>
        <w:autoSpaceDE w:val="0"/>
        <w:autoSpaceDN w:val="0"/>
        <w:adjustRightInd w:val="0"/>
        <w:spacing w:after="0" w:line="240" w:lineRule="auto"/>
        <w:ind w:left="284"/>
        <w:jc w:val="both"/>
        <w:rPr>
          <w:rFonts w:ascii="Arial" w:hAnsi="Arial" w:cs="Arial"/>
          <w:color w:val="000000"/>
        </w:rPr>
      </w:pPr>
    </w:p>
    <w:p w14:paraId="6D1639F3"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227E88">
        <w:rPr>
          <w:rFonts w:ascii="Arial" w:hAnsi="Arial" w:cs="Arial"/>
          <w:b/>
          <w:color w:val="000000"/>
        </w:rPr>
        <w:t>2.20</w:t>
      </w:r>
      <w:r w:rsidRPr="00227E88">
        <w:rPr>
          <w:rFonts w:ascii="Arial" w:hAnsi="Arial" w:cs="Arial"/>
          <w:b/>
          <w:color w:val="000000"/>
        </w:rPr>
        <w:tab/>
      </w:r>
      <w:r w:rsidRPr="00227E88">
        <w:rPr>
          <w:rFonts w:ascii="Arial" w:hAnsi="Arial" w:cs="Arial"/>
          <w:b/>
          <w:bCs/>
          <w:iCs/>
          <w:color w:val="000000"/>
        </w:rPr>
        <w:t>Explanation of communications</w:t>
      </w:r>
    </w:p>
    <w:p w14:paraId="6D1639F4" w14:textId="77777777" w:rsidR="00427FA7" w:rsidRPr="00227E88" w:rsidRDefault="00427FA7" w:rsidP="00427FA7">
      <w:pPr>
        <w:autoSpaceDE w:val="0"/>
        <w:autoSpaceDN w:val="0"/>
        <w:adjustRightInd w:val="0"/>
        <w:jc w:val="both"/>
        <w:rPr>
          <w:rFonts w:ascii="Arial" w:hAnsi="Arial" w:cs="Arial"/>
          <w:b/>
          <w:bCs/>
          <w:iCs/>
          <w:color w:val="000000"/>
          <w:sz w:val="22"/>
          <w:szCs w:val="22"/>
        </w:rPr>
      </w:pPr>
    </w:p>
    <w:p w14:paraId="6D1639F5" w14:textId="77777777" w:rsidR="00427FA7" w:rsidRPr="00227E88" w:rsidRDefault="00427FA7" w:rsidP="004C17A4">
      <w:pPr>
        <w:pStyle w:val="ListParagraph"/>
        <w:numPr>
          <w:ilvl w:val="0"/>
          <w:numId w:val="32"/>
        </w:numPr>
        <w:autoSpaceDE w:val="0"/>
        <w:autoSpaceDN w:val="0"/>
        <w:adjustRightInd w:val="0"/>
        <w:spacing w:after="0" w:line="240" w:lineRule="auto"/>
        <w:ind w:left="1134" w:hanging="426"/>
        <w:jc w:val="both"/>
        <w:rPr>
          <w:rFonts w:ascii="Arial" w:hAnsi="Arial" w:cs="Arial"/>
          <w:color w:val="000000"/>
        </w:rPr>
      </w:pPr>
      <w:r w:rsidRPr="00227E88">
        <w:rPr>
          <w:rFonts w:ascii="Arial" w:hAnsi="Arial" w:cs="Arial"/>
          <w:b/>
          <w:color w:val="000000"/>
        </w:rPr>
        <w:t>Press releases</w:t>
      </w:r>
      <w:r w:rsidRPr="00227E88">
        <w:rPr>
          <w:rFonts w:ascii="Arial" w:hAnsi="Arial" w:cs="Arial"/>
          <w:color w:val="000000"/>
        </w:rPr>
        <w:t xml:space="preserve"> – provide statements setting out the Fund’s opinion of the matters concerned (</w:t>
      </w:r>
      <w:proofErr w:type="gramStart"/>
      <w:r w:rsidRPr="00227E88">
        <w:rPr>
          <w:rFonts w:ascii="Arial" w:hAnsi="Arial" w:cs="Arial"/>
          <w:color w:val="000000"/>
        </w:rPr>
        <w:t>i.e.</w:t>
      </w:r>
      <w:proofErr w:type="gramEnd"/>
      <w:r w:rsidRPr="00227E88">
        <w:rPr>
          <w:rFonts w:ascii="Arial" w:hAnsi="Arial" w:cs="Arial"/>
          <w:color w:val="000000"/>
        </w:rPr>
        <w:t xml:space="preserve"> Fund valuation results).</w:t>
      </w:r>
    </w:p>
    <w:p w14:paraId="6D1639F6"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F7"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227E88">
        <w:rPr>
          <w:rFonts w:ascii="Arial" w:hAnsi="Arial" w:cs="Arial"/>
          <w:b/>
          <w:bCs/>
          <w:color w:val="000000"/>
        </w:rPr>
        <w:t>2.21</w:t>
      </w:r>
      <w:r w:rsidRPr="00227E88">
        <w:rPr>
          <w:rFonts w:ascii="Arial" w:hAnsi="Arial" w:cs="Arial"/>
          <w:b/>
          <w:bCs/>
          <w:color w:val="000000"/>
        </w:rPr>
        <w:tab/>
        <w:t xml:space="preserve">Policy on communication with other stakeholders/interested </w:t>
      </w:r>
      <w:proofErr w:type="gramStart"/>
      <w:r w:rsidRPr="00227E88">
        <w:rPr>
          <w:rFonts w:ascii="Arial" w:hAnsi="Arial" w:cs="Arial"/>
          <w:b/>
          <w:bCs/>
          <w:color w:val="000000"/>
        </w:rPr>
        <w:t>parties</w:t>
      </w:r>
      <w:proofErr w:type="gramEnd"/>
    </w:p>
    <w:p w14:paraId="6D1639F8" w14:textId="77777777" w:rsidR="00427FA7" w:rsidRPr="00227E88" w:rsidRDefault="00427FA7" w:rsidP="00427FA7">
      <w:pPr>
        <w:autoSpaceDE w:val="0"/>
        <w:autoSpaceDN w:val="0"/>
        <w:adjustRightInd w:val="0"/>
        <w:jc w:val="both"/>
        <w:rPr>
          <w:rFonts w:ascii="Arial" w:hAnsi="Arial" w:cs="Arial"/>
          <w:b/>
          <w:bCs/>
          <w:color w:val="000000"/>
          <w:sz w:val="22"/>
          <w:szCs w:val="22"/>
        </w:rPr>
      </w:pPr>
    </w:p>
    <w:p w14:paraId="6D1639F9"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 xml:space="preserve">Our objectives </w:t>
      </w:r>
      <w:r w:rsidR="009C2223" w:rsidRPr="00227E88">
        <w:rPr>
          <w:rFonts w:ascii="Arial" w:hAnsi="Arial" w:cs="Arial"/>
          <w:color w:val="000000"/>
          <w:sz w:val="22"/>
          <w:szCs w:val="22"/>
        </w:rPr>
        <w:t>regarding</w:t>
      </w:r>
      <w:r w:rsidRPr="00227E88">
        <w:rPr>
          <w:rFonts w:ascii="Arial" w:hAnsi="Arial" w:cs="Arial"/>
          <w:color w:val="000000"/>
          <w:sz w:val="22"/>
          <w:szCs w:val="22"/>
        </w:rPr>
        <w:t xml:space="preserve"> communication with other stakeholder/interested parties are to:</w:t>
      </w:r>
    </w:p>
    <w:p w14:paraId="6D1639FA"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9FB" w14:textId="77777777" w:rsidR="00427FA7" w:rsidRPr="00227E88" w:rsidRDefault="00427FA7" w:rsidP="004C17A4">
      <w:pPr>
        <w:pStyle w:val="ListParagraph"/>
        <w:numPr>
          <w:ilvl w:val="0"/>
          <w:numId w:val="32"/>
        </w:numPr>
        <w:autoSpaceDE w:val="0"/>
        <w:autoSpaceDN w:val="0"/>
        <w:adjustRightInd w:val="0"/>
        <w:spacing w:after="0" w:line="240" w:lineRule="auto"/>
        <w:ind w:left="1134"/>
        <w:jc w:val="both"/>
        <w:rPr>
          <w:rFonts w:ascii="Arial" w:hAnsi="Arial" w:cs="Arial"/>
          <w:color w:val="000000"/>
        </w:rPr>
      </w:pPr>
      <w:r w:rsidRPr="00227E88">
        <w:rPr>
          <w:rFonts w:ascii="Arial" w:hAnsi="Arial" w:cs="Arial"/>
          <w:color w:val="000000"/>
        </w:rPr>
        <w:t xml:space="preserve">meet our obligations under various legislative </w:t>
      </w:r>
      <w:proofErr w:type="gramStart"/>
      <w:r w:rsidRPr="00227E88">
        <w:rPr>
          <w:rFonts w:ascii="Arial" w:hAnsi="Arial" w:cs="Arial"/>
          <w:color w:val="000000"/>
        </w:rPr>
        <w:t>requirements;</w:t>
      </w:r>
      <w:proofErr w:type="gramEnd"/>
    </w:p>
    <w:p w14:paraId="6D1639FC" w14:textId="77777777" w:rsidR="00427FA7" w:rsidRPr="00227E88" w:rsidRDefault="00427FA7" w:rsidP="004C17A4">
      <w:pPr>
        <w:pStyle w:val="ListParagraph"/>
        <w:numPr>
          <w:ilvl w:val="0"/>
          <w:numId w:val="32"/>
        </w:numPr>
        <w:autoSpaceDE w:val="0"/>
        <w:autoSpaceDN w:val="0"/>
        <w:adjustRightInd w:val="0"/>
        <w:spacing w:after="0" w:line="240" w:lineRule="auto"/>
        <w:ind w:left="1134"/>
        <w:jc w:val="both"/>
        <w:rPr>
          <w:rFonts w:ascii="Arial" w:hAnsi="Arial" w:cs="Arial"/>
          <w:color w:val="000000"/>
        </w:rPr>
      </w:pPr>
      <w:r w:rsidRPr="00227E88">
        <w:rPr>
          <w:rFonts w:ascii="Arial" w:hAnsi="Arial" w:cs="Arial"/>
          <w:color w:val="000000"/>
        </w:rPr>
        <w:t xml:space="preserve">ensure the proper administration of the </w:t>
      </w:r>
      <w:proofErr w:type="gramStart"/>
      <w:r w:rsidRPr="00227E88">
        <w:rPr>
          <w:rFonts w:ascii="Arial" w:hAnsi="Arial" w:cs="Arial"/>
          <w:color w:val="000000"/>
        </w:rPr>
        <w:t>scheme;</w:t>
      </w:r>
      <w:proofErr w:type="gramEnd"/>
    </w:p>
    <w:p w14:paraId="6D1639FD" w14:textId="77777777" w:rsidR="00427FA7" w:rsidRPr="00227E88" w:rsidRDefault="00427FA7" w:rsidP="004C17A4">
      <w:pPr>
        <w:pStyle w:val="ListParagraph"/>
        <w:numPr>
          <w:ilvl w:val="0"/>
          <w:numId w:val="32"/>
        </w:numPr>
        <w:autoSpaceDE w:val="0"/>
        <w:autoSpaceDN w:val="0"/>
        <w:adjustRightInd w:val="0"/>
        <w:spacing w:after="0" w:line="240" w:lineRule="auto"/>
        <w:ind w:left="1134"/>
        <w:jc w:val="both"/>
        <w:rPr>
          <w:rFonts w:ascii="Arial" w:hAnsi="Arial" w:cs="Arial"/>
          <w:color w:val="000000"/>
        </w:rPr>
      </w:pPr>
      <w:r w:rsidRPr="00227E88">
        <w:rPr>
          <w:rFonts w:ascii="Arial" w:hAnsi="Arial" w:cs="Arial"/>
          <w:color w:val="000000"/>
        </w:rPr>
        <w:t>deal with the resolutions of pension disputes;</w:t>
      </w:r>
      <w:r w:rsidR="009C2223" w:rsidRPr="00227E88">
        <w:rPr>
          <w:rFonts w:ascii="Arial" w:hAnsi="Arial" w:cs="Arial"/>
          <w:color w:val="000000"/>
        </w:rPr>
        <w:t xml:space="preserve"> and</w:t>
      </w:r>
    </w:p>
    <w:p w14:paraId="6D1639FE" w14:textId="77777777" w:rsidR="00427FA7" w:rsidRPr="00227E88" w:rsidRDefault="00C820DD" w:rsidP="004C17A4">
      <w:pPr>
        <w:pStyle w:val="ListParagraph"/>
        <w:numPr>
          <w:ilvl w:val="0"/>
          <w:numId w:val="32"/>
        </w:numPr>
        <w:autoSpaceDE w:val="0"/>
        <w:autoSpaceDN w:val="0"/>
        <w:adjustRightInd w:val="0"/>
        <w:spacing w:after="0" w:line="240" w:lineRule="auto"/>
        <w:ind w:left="1134"/>
        <w:jc w:val="both"/>
        <w:rPr>
          <w:rFonts w:ascii="Arial" w:hAnsi="Arial" w:cs="Arial"/>
          <w:color w:val="000000"/>
        </w:rPr>
      </w:pPr>
      <w:r w:rsidRPr="00227E88">
        <w:rPr>
          <w:rFonts w:ascii="Arial" w:hAnsi="Arial" w:cs="Arial"/>
          <w:color w:val="000000"/>
        </w:rPr>
        <w:t>Administer</w:t>
      </w:r>
      <w:r w:rsidR="00427FA7" w:rsidRPr="00227E88">
        <w:rPr>
          <w:rFonts w:ascii="Arial" w:hAnsi="Arial" w:cs="Arial"/>
          <w:color w:val="000000"/>
        </w:rPr>
        <w:t xml:space="preserve"> the Fund’s AVC scheme.</w:t>
      </w:r>
    </w:p>
    <w:p w14:paraId="6D1639FF" w14:textId="77777777" w:rsidR="00427FA7" w:rsidRPr="00227E88" w:rsidRDefault="00427FA7" w:rsidP="00427FA7">
      <w:pPr>
        <w:autoSpaceDE w:val="0"/>
        <w:autoSpaceDN w:val="0"/>
        <w:adjustRightInd w:val="0"/>
        <w:jc w:val="both"/>
        <w:rPr>
          <w:rFonts w:ascii="Arial" w:hAnsi="Arial" w:cs="Arial"/>
          <w:color w:val="000000"/>
          <w:sz w:val="22"/>
          <w:szCs w:val="22"/>
        </w:rPr>
      </w:pPr>
    </w:p>
    <w:p w14:paraId="6D163A00"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Our objectives will be met by providing the following communications:</w:t>
      </w:r>
    </w:p>
    <w:p w14:paraId="6D163A01" w14:textId="77777777" w:rsidR="00427FA7" w:rsidRPr="00227E88" w:rsidRDefault="00427FA7" w:rsidP="00427FA7">
      <w:pPr>
        <w:autoSpaceDE w:val="0"/>
        <w:autoSpaceDN w:val="0"/>
        <w:adjustRightInd w:val="0"/>
        <w:jc w:val="both"/>
        <w:rPr>
          <w:rFonts w:ascii="Arial" w:hAnsi="Arial" w:cs="Arial"/>
          <w:color w:val="000000"/>
          <w:sz w:val="22"/>
          <w:szCs w:val="22"/>
        </w:rPr>
      </w:pPr>
    </w:p>
    <w:tbl>
      <w:tblPr>
        <w:tblStyle w:val="TableGrid"/>
        <w:tblW w:w="9948" w:type="dxa"/>
        <w:tblInd w:w="108" w:type="dxa"/>
        <w:tblLayout w:type="fixed"/>
        <w:tblLook w:val="04A0" w:firstRow="1" w:lastRow="0" w:firstColumn="1" w:lastColumn="0" w:noHBand="0" w:noVBand="1"/>
      </w:tblPr>
      <w:tblGrid>
        <w:gridCol w:w="2626"/>
        <w:gridCol w:w="1451"/>
        <w:gridCol w:w="2384"/>
        <w:gridCol w:w="1241"/>
        <w:gridCol w:w="2246"/>
      </w:tblGrid>
      <w:tr w:rsidR="00427FA7" w:rsidRPr="00227E88" w14:paraId="6D163A0A" w14:textId="77777777" w:rsidTr="009C2223">
        <w:trPr>
          <w:trHeight w:val="651"/>
        </w:trPr>
        <w:tc>
          <w:tcPr>
            <w:tcW w:w="2626" w:type="dxa"/>
            <w:vAlign w:val="center"/>
          </w:tcPr>
          <w:p w14:paraId="6D163A02" w14:textId="77777777" w:rsidR="00427FA7" w:rsidRPr="00227E88" w:rsidRDefault="00427FA7" w:rsidP="00427FA7">
            <w:pPr>
              <w:autoSpaceDE w:val="0"/>
              <w:autoSpaceDN w:val="0"/>
              <w:adjustRightInd w:val="0"/>
              <w:ind w:left="207"/>
              <w:jc w:val="center"/>
              <w:rPr>
                <w:rFonts w:ascii="Arial" w:hAnsi="Arial" w:cs="Arial"/>
                <w:b/>
                <w:bCs/>
                <w:i/>
                <w:iCs/>
                <w:color w:val="000000"/>
                <w:sz w:val="22"/>
                <w:szCs w:val="22"/>
              </w:rPr>
            </w:pPr>
            <w:r w:rsidRPr="00227E88">
              <w:rPr>
                <w:rFonts w:ascii="Arial" w:hAnsi="Arial" w:cs="Arial"/>
                <w:b/>
                <w:bCs/>
                <w:i/>
                <w:iCs/>
                <w:color w:val="000000"/>
                <w:sz w:val="22"/>
                <w:szCs w:val="22"/>
              </w:rPr>
              <w:t>Method of</w:t>
            </w:r>
          </w:p>
          <w:p w14:paraId="6D163A03" w14:textId="77777777" w:rsidR="00427FA7" w:rsidRPr="00227E88" w:rsidRDefault="00427FA7" w:rsidP="00427FA7">
            <w:pPr>
              <w:autoSpaceDE w:val="0"/>
              <w:autoSpaceDN w:val="0"/>
              <w:adjustRightInd w:val="0"/>
              <w:ind w:left="207"/>
              <w:jc w:val="center"/>
              <w:rPr>
                <w:rFonts w:ascii="Arial" w:hAnsi="Arial" w:cs="Arial"/>
                <w:color w:val="000000"/>
                <w:sz w:val="22"/>
                <w:szCs w:val="22"/>
              </w:rPr>
            </w:pPr>
            <w:r w:rsidRPr="00227E88">
              <w:rPr>
                <w:rFonts w:ascii="Arial" w:hAnsi="Arial" w:cs="Arial"/>
                <w:b/>
                <w:bCs/>
                <w:i/>
                <w:iCs/>
                <w:color w:val="000000"/>
                <w:sz w:val="22"/>
                <w:szCs w:val="22"/>
              </w:rPr>
              <w:t>Communication</w:t>
            </w:r>
          </w:p>
        </w:tc>
        <w:tc>
          <w:tcPr>
            <w:tcW w:w="1451" w:type="dxa"/>
            <w:vAlign w:val="center"/>
          </w:tcPr>
          <w:p w14:paraId="6D163A04"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
                <w:iCs/>
                <w:color w:val="000000"/>
                <w:sz w:val="22"/>
                <w:szCs w:val="22"/>
              </w:rPr>
              <w:t>Media</w:t>
            </w:r>
          </w:p>
        </w:tc>
        <w:tc>
          <w:tcPr>
            <w:tcW w:w="2384" w:type="dxa"/>
            <w:vAlign w:val="center"/>
          </w:tcPr>
          <w:p w14:paraId="6D163A05"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b/>
                <w:bCs/>
                <w:i/>
                <w:iCs/>
                <w:color w:val="000000"/>
                <w:sz w:val="22"/>
                <w:szCs w:val="22"/>
              </w:rPr>
              <w:t xml:space="preserve">Frequency </w:t>
            </w:r>
          </w:p>
          <w:p w14:paraId="6D163A06"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
                <w:iCs/>
                <w:color w:val="000000"/>
                <w:sz w:val="22"/>
                <w:szCs w:val="22"/>
              </w:rPr>
              <w:t>of Issue</w:t>
            </w:r>
          </w:p>
        </w:tc>
        <w:tc>
          <w:tcPr>
            <w:tcW w:w="1241" w:type="dxa"/>
            <w:vAlign w:val="center"/>
          </w:tcPr>
          <w:p w14:paraId="6D163A07" w14:textId="77777777" w:rsidR="00427FA7" w:rsidRPr="00227E88" w:rsidRDefault="00427FA7" w:rsidP="00427FA7">
            <w:pPr>
              <w:autoSpaceDE w:val="0"/>
              <w:autoSpaceDN w:val="0"/>
              <w:adjustRightInd w:val="0"/>
              <w:jc w:val="center"/>
              <w:rPr>
                <w:rFonts w:ascii="Arial" w:hAnsi="Arial" w:cs="Arial"/>
                <w:b/>
                <w:bCs/>
                <w:i/>
                <w:iCs/>
                <w:color w:val="000000"/>
                <w:sz w:val="22"/>
                <w:szCs w:val="22"/>
              </w:rPr>
            </w:pPr>
            <w:r w:rsidRPr="00227E88">
              <w:rPr>
                <w:rFonts w:ascii="Arial" w:hAnsi="Arial" w:cs="Arial"/>
                <w:b/>
                <w:bCs/>
                <w:i/>
                <w:iCs/>
                <w:color w:val="000000"/>
                <w:sz w:val="22"/>
                <w:szCs w:val="22"/>
              </w:rPr>
              <w:t>Method of</w:t>
            </w:r>
          </w:p>
          <w:p w14:paraId="6D163A0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
                <w:iCs/>
                <w:color w:val="000000"/>
                <w:sz w:val="22"/>
                <w:szCs w:val="22"/>
              </w:rPr>
              <w:t>Distribution</w:t>
            </w:r>
          </w:p>
        </w:tc>
        <w:tc>
          <w:tcPr>
            <w:tcW w:w="2246" w:type="dxa"/>
            <w:vAlign w:val="center"/>
          </w:tcPr>
          <w:p w14:paraId="6D163A09"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
                <w:iCs/>
                <w:color w:val="000000"/>
                <w:sz w:val="22"/>
                <w:szCs w:val="22"/>
              </w:rPr>
              <w:t>Audience Group</w:t>
            </w:r>
          </w:p>
        </w:tc>
      </w:tr>
      <w:tr w:rsidR="00427FA7" w:rsidRPr="00227E88" w14:paraId="6D163A10" w14:textId="77777777" w:rsidTr="009C2223">
        <w:trPr>
          <w:trHeight w:val="596"/>
        </w:trPr>
        <w:tc>
          <w:tcPr>
            <w:tcW w:w="2626" w:type="dxa"/>
            <w:vAlign w:val="center"/>
          </w:tcPr>
          <w:p w14:paraId="6D163A0B"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Fund valuation reports</w:t>
            </w:r>
            <w:r w:rsidR="009C2223" w:rsidRPr="00227E88">
              <w:rPr>
                <w:rFonts w:ascii="Arial" w:hAnsi="Arial" w:cs="Arial"/>
                <w:color w:val="000000"/>
                <w:sz w:val="22"/>
                <w:szCs w:val="22"/>
              </w:rPr>
              <w:t xml:space="preserve"> R&amp;A certificate </w:t>
            </w:r>
            <w:r w:rsidRPr="00227E88">
              <w:rPr>
                <w:rFonts w:ascii="Arial" w:hAnsi="Arial" w:cs="Arial"/>
                <w:color w:val="000000"/>
                <w:sz w:val="22"/>
                <w:szCs w:val="22"/>
              </w:rPr>
              <w:t>Revised R&amp;A certificates</w:t>
            </w:r>
            <w:r w:rsidR="009C2223" w:rsidRPr="00227E88">
              <w:rPr>
                <w:rFonts w:ascii="Arial" w:hAnsi="Arial" w:cs="Arial"/>
                <w:color w:val="000000"/>
                <w:sz w:val="22"/>
                <w:szCs w:val="22"/>
              </w:rPr>
              <w:t xml:space="preserve"> </w:t>
            </w:r>
            <w:r w:rsidRPr="00227E88">
              <w:rPr>
                <w:rFonts w:ascii="Arial" w:hAnsi="Arial" w:cs="Arial"/>
                <w:color w:val="000000"/>
                <w:sz w:val="22"/>
                <w:szCs w:val="22"/>
              </w:rPr>
              <w:t>Cessation valuations</w:t>
            </w:r>
          </w:p>
        </w:tc>
        <w:tc>
          <w:tcPr>
            <w:tcW w:w="1451" w:type="dxa"/>
            <w:vAlign w:val="center"/>
          </w:tcPr>
          <w:p w14:paraId="6D163A0C"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Electronic</w:t>
            </w:r>
          </w:p>
        </w:tc>
        <w:tc>
          <w:tcPr>
            <w:tcW w:w="2384" w:type="dxa"/>
            <w:vAlign w:val="center"/>
          </w:tcPr>
          <w:p w14:paraId="6D163A0D"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Every three years</w:t>
            </w:r>
          </w:p>
        </w:tc>
        <w:tc>
          <w:tcPr>
            <w:tcW w:w="1241" w:type="dxa"/>
            <w:vAlign w:val="center"/>
          </w:tcPr>
          <w:p w14:paraId="6D163A0E"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Via email</w:t>
            </w:r>
          </w:p>
        </w:tc>
        <w:tc>
          <w:tcPr>
            <w:tcW w:w="2246" w:type="dxa"/>
            <w:vAlign w:val="center"/>
          </w:tcPr>
          <w:p w14:paraId="6D163A0F"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Her Majesty’s Revenue and Customs (HMRC)/all scheme employers</w:t>
            </w:r>
          </w:p>
        </w:tc>
      </w:tr>
      <w:tr w:rsidR="00427FA7" w:rsidRPr="00227E88" w14:paraId="6D163A16" w14:textId="77777777" w:rsidTr="009C2223">
        <w:trPr>
          <w:trHeight w:val="70"/>
        </w:trPr>
        <w:tc>
          <w:tcPr>
            <w:tcW w:w="2626" w:type="dxa"/>
            <w:vAlign w:val="center"/>
          </w:tcPr>
          <w:p w14:paraId="6D163A11"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 xml:space="preserve">Details of new employers </w:t>
            </w:r>
            <w:r w:rsidR="009C2223" w:rsidRPr="00227E88">
              <w:rPr>
                <w:rFonts w:ascii="Arial" w:hAnsi="Arial" w:cs="Arial"/>
                <w:color w:val="000000"/>
                <w:sz w:val="22"/>
                <w:szCs w:val="22"/>
              </w:rPr>
              <w:t>in the</w:t>
            </w:r>
            <w:r w:rsidRPr="00227E88">
              <w:rPr>
                <w:rFonts w:ascii="Arial" w:hAnsi="Arial" w:cs="Arial"/>
                <w:color w:val="000000"/>
                <w:sz w:val="22"/>
                <w:szCs w:val="22"/>
              </w:rPr>
              <w:t xml:space="preserve"> Fund</w:t>
            </w:r>
          </w:p>
        </w:tc>
        <w:tc>
          <w:tcPr>
            <w:tcW w:w="1451" w:type="dxa"/>
            <w:vAlign w:val="center"/>
          </w:tcPr>
          <w:p w14:paraId="6D163A12"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Hard copy</w:t>
            </w:r>
          </w:p>
        </w:tc>
        <w:tc>
          <w:tcPr>
            <w:tcW w:w="2384" w:type="dxa"/>
            <w:vAlign w:val="center"/>
          </w:tcPr>
          <w:p w14:paraId="6D163A13"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 xml:space="preserve">As new employers are </w:t>
            </w:r>
            <w:r w:rsidR="009C2223" w:rsidRPr="00227E88">
              <w:rPr>
                <w:rFonts w:ascii="Arial" w:hAnsi="Arial" w:cs="Arial"/>
                <w:color w:val="000000"/>
                <w:sz w:val="22"/>
                <w:szCs w:val="22"/>
              </w:rPr>
              <w:t>entered the</w:t>
            </w:r>
            <w:r w:rsidRPr="00227E88">
              <w:rPr>
                <w:rFonts w:ascii="Arial" w:hAnsi="Arial" w:cs="Arial"/>
                <w:color w:val="000000"/>
                <w:sz w:val="22"/>
                <w:szCs w:val="22"/>
              </w:rPr>
              <w:t xml:space="preserve"> Fund</w:t>
            </w:r>
          </w:p>
        </w:tc>
        <w:tc>
          <w:tcPr>
            <w:tcW w:w="1241" w:type="dxa"/>
            <w:vAlign w:val="center"/>
          </w:tcPr>
          <w:p w14:paraId="6D163A14"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Post</w:t>
            </w:r>
          </w:p>
        </w:tc>
        <w:tc>
          <w:tcPr>
            <w:tcW w:w="2246" w:type="dxa"/>
            <w:vAlign w:val="center"/>
          </w:tcPr>
          <w:p w14:paraId="6D163A15"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HMRC</w:t>
            </w:r>
          </w:p>
        </w:tc>
      </w:tr>
      <w:tr w:rsidR="00427FA7" w:rsidRPr="00227E88" w14:paraId="6D163A1F" w14:textId="77777777" w:rsidTr="009C2223">
        <w:trPr>
          <w:trHeight w:val="377"/>
        </w:trPr>
        <w:tc>
          <w:tcPr>
            <w:tcW w:w="2626" w:type="dxa"/>
            <w:vAlign w:val="center"/>
          </w:tcPr>
          <w:p w14:paraId="6D163A17"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Formal resolution of pension disputes</w:t>
            </w:r>
          </w:p>
          <w:p w14:paraId="6D163A18" w14:textId="77777777" w:rsidR="00427FA7" w:rsidRPr="00227E88" w:rsidRDefault="00427FA7" w:rsidP="009C2223">
            <w:pPr>
              <w:autoSpaceDE w:val="0"/>
              <w:autoSpaceDN w:val="0"/>
              <w:adjustRightInd w:val="0"/>
              <w:ind w:left="207"/>
              <w:jc w:val="center"/>
              <w:rPr>
                <w:rFonts w:ascii="Arial" w:hAnsi="Arial" w:cs="Arial"/>
                <w:color w:val="000000"/>
                <w:sz w:val="22"/>
                <w:szCs w:val="22"/>
              </w:rPr>
            </w:pPr>
          </w:p>
        </w:tc>
        <w:tc>
          <w:tcPr>
            <w:tcW w:w="1451" w:type="dxa"/>
            <w:vAlign w:val="center"/>
          </w:tcPr>
          <w:p w14:paraId="6D163A19"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Hard copy or electronic</w:t>
            </w:r>
          </w:p>
          <w:p w14:paraId="6D163A1A" w14:textId="77777777" w:rsidR="00427FA7" w:rsidRPr="00227E88" w:rsidRDefault="00427FA7" w:rsidP="009C2223">
            <w:pPr>
              <w:autoSpaceDE w:val="0"/>
              <w:autoSpaceDN w:val="0"/>
              <w:adjustRightInd w:val="0"/>
              <w:jc w:val="center"/>
              <w:rPr>
                <w:rFonts w:ascii="Arial" w:hAnsi="Arial" w:cs="Arial"/>
                <w:color w:val="000000"/>
                <w:sz w:val="22"/>
                <w:szCs w:val="22"/>
              </w:rPr>
            </w:pPr>
          </w:p>
        </w:tc>
        <w:tc>
          <w:tcPr>
            <w:tcW w:w="2384" w:type="dxa"/>
            <w:vAlign w:val="center"/>
          </w:tcPr>
          <w:p w14:paraId="6D163A1B"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and when a dispute requires resolution</w:t>
            </w:r>
          </w:p>
        </w:tc>
        <w:tc>
          <w:tcPr>
            <w:tcW w:w="1241" w:type="dxa"/>
            <w:vAlign w:val="center"/>
          </w:tcPr>
          <w:p w14:paraId="6D163A1C"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Via email or post</w:t>
            </w:r>
          </w:p>
        </w:tc>
        <w:tc>
          <w:tcPr>
            <w:tcW w:w="2246" w:type="dxa"/>
            <w:vAlign w:val="center"/>
          </w:tcPr>
          <w:p w14:paraId="6D163A1D"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Scheme member</w:t>
            </w:r>
            <w:r w:rsidR="00C820DD" w:rsidRPr="00227E88">
              <w:rPr>
                <w:rFonts w:ascii="Arial" w:hAnsi="Arial" w:cs="Arial"/>
                <w:color w:val="000000"/>
                <w:sz w:val="22"/>
                <w:szCs w:val="22"/>
              </w:rPr>
              <w:t>,</w:t>
            </w:r>
            <w:r w:rsidRPr="00227E88">
              <w:rPr>
                <w:rFonts w:ascii="Arial" w:hAnsi="Arial" w:cs="Arial"/>
                <w:color w:val="000000"/>
                <w:sz w:val="22"/>
                <w:szCs w:val="22"/>
              </w:rPr>
              <w:t xml:space="preserve"> representatives,</w:t>
            </w:r>
          </w:p>
          <w:p w14:paraId="6D163A1E" w14:textId="77777777" w:rsidR="00427FA7" w:rsidRPr="00227E88" w:rsidRDefault="00345EF2"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PAS/</w:t>
            </w:r>
            <w:r w:rsidR="00427FA7" w:rsidRPr="00227E88">
              <w:rPr>
                <w:rFonts w:ascii="Arial" w:hAnsi="Arial" w:cs="Arial"/>
                <w:color w:val="000000"/>
                <w:sz w:val="22"/>
                <w:szCs w:val="22"/>
              </w:rPr>
              <w:t>Pensions Ombudsman</w:t>
            </w:r>
          </w:p>
        </w:tc>
      </w:tr>
      <w:tr w:rsidR="00427FA7" w:rsidRPr="00227E88" w14:paraId="6D163A25" w14:textId="77777777" w:rsidTr="009C2223">
        <w:trPr>
          <w:trHeight w:val="70"/>
        </w:trPr>
        <w:tc>
          <w:tcPr>
            <w:tcW w:w="2626" w:type="dxa"/>
            <w:vAlign w:val="center"/>
          </w:tcPr>
          <w:p w14:paraId="6D163A20" w14:textId="77777777" w:rsidR="00427FA7" w:rsidRPr="00227E88" w:rsidRDefault="00427FA7" w:rsidP="009C2223">
            <w:pPr>
              <w:autoSpaceDE w:val="0"/>
              <w:autoSpaceDN w:val="0"/>
              <w:adjustRightInd w:val="0"/>
              <w:ind w:firstLine="34"/>
              <w:jc w:val="center"/>
              <w:rPr>
                <w:rFonts w:ascii="Arial" w:hAnsi="Arial" w:cs="Arial"/>
                <w:color w:val="000000"/>
                <w:sz w:val="22"/>
                <w:szCs w:val="22"/>
              </w:rPr>
            </w:pPr>
            <w:r w:rsidRPr="00227E88">
              <w:rPr>
                <w:rFonts w:ascii="Arial" w:hAnsi="Arial" w:cs="Arial"/>
                <w:color w:val="000000"/>
                <w:sz w:val="22"/>
                <w:szCs w:val="22"/>
              </w:rPr>
              <w:t>Completion of questionnaires</w:t>
            </w:r>
          </w:p>
        </w:tc>
        <w:tc>
          <w:tcPr>
            <w:tcW w:w="1451" w:type="dxa"/>
            <w:vAlign w:val="center"/>
          </w:tcPr>
          <w:p w14:paraId="6D163A21"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Electronic or hard copy</w:t>
            </w:r>
          </w:p>
        </w:tc>
        <w:tc>
          <w:tcPr>
            <w:tcW w:w="2384" w:type="dxa"/>
            <w:vAlign w:val="center"/>
          </w:tcPr>
          <w:p w14:paraId="6D163A22"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and when required</w:t>
            </w:r>
          </w:p>
        </w:tc>
        <w:tc>
          <w:tcPr>
            <w:tcW w:w="1241" w:type="dxa"/>
            <w:vAlign w:val="center"/>
          </w:tcPr>
          <w:p w14:paraId="6D163A23"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Via email or post</w:t>
            </w:r>
          </w:p>
        </w:tc>
        <w:tc>
          <w:tcPr>
            <w:tcW w:w="2246" w:type="dxa"/>
            <w:vAlign w:val="center"/>
          </w:tcPr>
          <w:p w14:paraId="6D163A24" w14:textId="77777777" w:rsidR="00427FA7" w:rsidRPr="00227E88" w:rsidRDefault="00427FA7" w:rsidP="009C2223">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HMRC/the Pensions Regulator</w:t>
            </w:r>
          </w:p>
        </w:tc>
      </w:tr>
    </w:tbl>
    <w:p w14:paraId="6D48FF27" w14:textId="77777777" w:rsidR="00540F32" w:rsidRDefault="00540F32" w:rsidP="00427FA7">
      <w:pPr>
        <w:pStyle w:val="ListParagraph"/>
        <w:autoSpaceDE w:val="0"/>
        <w:autoSpaceDN w:val="0"/>
        <w:adjustRightInd w:val="0"/>
        <w:spacing w:after="0" w:line="240" w:lineRule="auto"/>
        <w:ind w:left="0"/>
        <w:jc w:val="both"/>
        <w:rPr>
          <w:rFonts w:ascii="Arial" w:hAnsi="Arial" w:cs="Arial"/>
          <w:b/>
          <w:color w:val="000000"/>
        </w:rPr>
      </w:pPr>
    </w:p>
    <w:p w14:paraId="6D163A27"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iCs/>
          <w:color w:val="000000"/>
        </w:rPr>
      </w:pPr>
      <w:r w:rsidRPr="00227E88">
        <w:rPr>
          <w:rFonts w:ascii="Arial" w:hAnsi="Arial" w:cs="Arial"/>
          <w:b/>
          <w:color w:val="000000"/>
        </w:rPr>
        <w:t>2.22</w:t>
      </w:r>
      <w:r w:rsidRPr="00227E88">
        <w:rPr>
          <w:rFonts w:ascii="Arial" w:hAnsi="Arial" w:cs="Arial"/>
          <w:b/>
          <w:color w:val="000000"/>
        </w:rPr>
        <w:tab/>
      </w:r>
      <w:r w:rsidRPr="00227E88">
        <w:rPr>
          <w:rFonts w:ascii="Arial" w:hAnsi="Arial" w:cs="Arial"/>
          <w:b/>
          <w:bCs/>
          <w:iCs/>
          <w:color w:val="000000"/>
        </w:rPr>
        <w:t>Explanation of communications</w:t>
      </w:r>
    </w:p>
    <w:p w14:paraId="6D163A28" w14:textId="77777777" w:rsidR="00427FA7" w:rsidRPr="00227E88" w:rsidRDefault="00427FA7" w:rsidP="00427FA7">
      <w:pPr>
        <w:autoSpaceDE w:val="0"/>
        <w:autoSpaceDN w:val="0"/>
        <w:adjustRightInd w:val="0"/>
        <w:jc w:val="both"/>
        <w:rPr>
          <w:rFonts w:ascii="Arial" w:hAnsi="Arial" w:cs="Arial"/>
          <w:b/>
          <w:bCs/>
          <w:i/>
          <w:iCs/>
          <w:color w:val="000000"/>
          <w:sz w:val="22"/>
          <w:szCs w:val="22"/>
        </w:rPr>
      </w:pPr>
    </w:p>
    <w:p w14:paraId="6D163A29" w14:textId="77777777" w:rsidR="00427FA7" w:rsidRPr="00227E88" w:rsidRDefault="00427FA7" w:rsidP="004C17A4">
      <w:pPr>
        <w:pStyle w:val="ListParagraph"/>
        <w:numPr>
          <w:ilvl w:val="0"/>
          <w:numId w:val="33"/>
        </w:numPr>
        <w:autoSpaceDE w:val="0"/>
        <w:autoSpaceDN w:val="0"/>
        <w:adjustRightInd w:val="0"/>
        <w:spacing w:after="0" w:line="240" w:lineRule="auto"/>
        <w:ind w:left="360"/>
        <w:jc w:val="both"/>
        <w:rPr>
          <w:rFonts w:ascii="Arial" w:hAnsi="Arial" w:cs="Arial"/>
          <w:color w:val="000000"/>
        </w:rPr>
      </w:pPr>
      <w:r w:rsidRPr="00227E88">
        <w:rPr>
          <w:rFonts w:ascii="Arial" w:hAnsi="Arial" w:cs="Arial"/>
          <w:color w:val="000000"/>
        </w:rPr>
        <w:t xml:space="preserve">Fund Valuation Reports – a report issued every three years setting out the estimated assets and liabilities of the Fund </w:t>
      </w:r>
      <w:r w:rsidR="009C2223" w:rsidRPr="00227E88">
        <w:rPr>
          <w:rFonts w:ascii="Arial" w:hAnsi="Arial" w:cs="Arial"/>
          <w:color w:val="000000"/>
        </w:rPr>
        <w:t>as well as</w:t>
      </w:r>
      <w:r w:rsidRPr="00227E88">
        <w:rPr>
          <w:rFonts w:ascii="Arial" w:hAnsi="Arial" w:cs="Arial"/>
          <w:color w:val="000000"/>
        </w:rPr>
        <w:t xml:space="preserve"> setting out individual employer contribution rates for a </w:t>
      </w:r>
      <w:r w:rsidR="009C2223" w:rsidRPr="00227E88">
        <w:rPr>
          <w:rFonts w:ascii="Arial" w:hAnsi="Arial" w:cs="Arial"/>
          <w:color w:val="000000"/>
        </w:rPr>
        <w:t>three-year</w:t>
      </w:r>
      <w:r w:rsidRPr="00227E88">
        <w:rPr>
          <w:rFonts w:ascii="Arial" w:hAnsi="Arial" w:cs="Arial"/>
          <w:color w:val="000000"/>
        </w:rPr>
        <w:t xml:space="preserve"> period commencing one year from the valuation </w:t>
      </w:r>
      <w:proofErr w:type="gramStart"/>
      <w:r w:rsidRPr="00227E88">
        <w:rPr>
          <w:rFonts w:ascii="Arial" w:hAnsi="Arial" w:cs="Arial"/>
          <w:color w:val="000000"/>
        </w:rPr>
        <w:t>date;</w:t>
      </w:r>
      <w:proofErr w:type="gramEnd"/>
    </w:p>
    <w:p w14:paraId="6D163A2A" w14:textId="77777777" w:rsidR="00427FA7" w:rsidRPr="00227E88" w:rsidRDefault="00427FA7" w:rsidP="004C17A4">
      <w:pPr>
        <w:pStyle w:val="ListParagraph"/>
        <w:numPr>
          <w:ilvl w:val="0"/>
          <w:numId w:val="33"/>
        </w:numPr>
        <w:autoSpaceDE w:val="0"/>
        <w:autoSpaceDN w:val="0"/>
        <w:adjustRightInd w:val="0"/>
        <w:spacing w:after="0" w:line="240" w:lineRule="auto"/>
        <w:ind w:left="360"/>
        <w:jc w:val="both"/>
        <w:rPr>
          <w:rFonts w:ascii="Arial" w:hAnsi="Arial" w:cs="Arial"/>
          <w:color w:val="000000"/>
        </w:rPr>
      </w:pPr>
      <w:r w:rsidRPr="00227E88">
        <w:rPr>
          <w:rFonts w:ascii="Arial" w:hAnsi="Arial" w:cs="Arial"/>
          <w:color w:val="000000"/>
        </w:rPr>
        <w:t xml:space="preserve">Details of new employers – a legal requirement to notify both organisations of the name and type of employer </w:t>
      </w:r>
      <w:r w:rsidR="009C2223" w:rsidRPr="00227E88">
        <w:rPr>
          <w:rFonts w:ascii="Arial" w:hAnsi="Arial" w:cs="Arial"/>
          <w:color w:val="000000"/>
        </w:rPr>
        <w:t>entered the</w:t>
      </w:r>
      <w:r w:rsidRPr="00227E88">
        <w:rPr>
          <w:rFonts w:ascii="Arial" w:hAnsi="Arial" w:cs="Arial"/>
          <w:color w:val="000000"/>
        </w:rPr>
        <w:t xml:space="preserve"> Fund (</w:t>
      </w:r>
      <w:proofErr w:type="gramStart"/>
      <w:r w:rsidRPr="00227E88">
        <w:rPr>
          <w:rFonts w:ascii="Arial" w:hAnsi="Arial" w:cs="Arial"/>
          <w:color w:val="000000"/>
        </w:rPr>
        <w:t>i.e.</w:t>
      </w:r>
      <w:proofErr w:type="gramEnd"/>
      <w:r w:rsidRPr="00227E88">
        <w:rPr>
          <w:rFonts w:ascii="Arial" w:hAnsi="Arial" w:cs="Arial"/>
          <w:color w:val="000000"/>
        </w:rPr>
        <w:t xml:space="preserve"> following admission o</w:t>
      </w:r>
      <w:r w:rsidR="009C2223" w:rsidRPr="00227E88">
        <w:rPr>
          <w:rFonts w:ascii="Arial" w:hAnsi="Arial" w:cs="Arial"/>
          <w:color w:val="000000"/>
        </w:rPr>
        <w:t>f third party service providers</w:t>
      </w:r>
      <w:r w:rsidRPr="00227E88">
        <w:rPr>
          <w:rFonts w:ascii="Arial" w:hAnsi="Arial" w:cs="Arial"/>
          <w:color w:val="000000"/>
        </w:rPr>
        <w:t>);</w:t>
      </w:r>
    </w:p>
    <w:p w14:paraId="6D163A2B" w14:textId="77777777" w:rsidR="00427FA7" w:rsidRPr="00227E88" w:rsidRDefault="00427FA7" w:rsidP="004C17A4">
      <w:pPr>
        <w:pStyle w:val="ListParagraph"/>
        <w:numPr>
          <w:ilvl w:val="0"/>
          <w:numId w:val="33"/>
        </w:numPr>
        <w:autoSpaceDE w:val="0"/>
        <w:autoSpaceDN w:val="0"/>
        <w:adjustRightInd w:val="0"/>
        <w:spacing w:after="0" w:line="240" w:lineRule="auto"/>
        <w:ind w:left="360"/>
        <w:jc w:val="both"/>
        <w:rPr>
          <w:rFonts w:ascii="Arial" w:hAnsi="Arial" w:cs="Arial"/>
          <w:color w:val="000000"/>
        </w:rPr>
      </w:pPr>
      <w:r w:rsidRPr="00227E88">
        <w:rPr>
          <w:rFonts w:ascii="Arial" w:hAnsi="Arial" w:cs="Arial"/>
          <w:color w:val="000000"/>
        </w:rPr>
        <w:t xml:space="preserve">Resolution of pension disputes – a formal notification of pension dispute resolution, together with any additional correspondence relating to the </w:t>
      </w:r>
      <w:proofErr w:type="gramStart"/>
      <w:r w:rsidRPr="00227E88">
        <w:rPr>
          <w:rFonts w:ascii="Arial" w:hAnsi="Arial" w:cs="Arial"/>
          <w:color w:val="000000"/>
        </w:rPr>
        <w:t>dispute;</w:t>
      </w:r>
      <w:proofErr w:type="gramEnd"/>
    </w:p>
    <w:p w14:paraId="6D163A2C" w14:textId="77777777" w:rsidR="00427FA7" w:rsidRPr="00227E88" w:rsidRDefault="00427FA7" w:rsidP="004C17A4">
      <w:pPr>
        <w:pStyle w:val="ListParagraph"/>
        <w:numPr>
          <w:ilvl w:val="0"/>
          <w:numId w:val="33"/>
        </w:numPr>
        <w:autoSpaceDE w:val="0"/>
        <w:autoSpaceDN w:val="0"/>
        <w:adjustRightInd w:val="0"/>
        <w:spacing w:after="0" w:line="240" w:lineRule="auto"/>
        <w:ind w:left="360"/>
        <w:jc w:val="both"/>
        <w:rPr>
          <w:rFonts w:ascii="Arial" w:hAnsi="Arial" w:cs="Arial"/>
          <w:color w:val="000000"/>
        </w:rPr>
      </w:pPr>
      <w:r w:rsidRPr="00227E88">
        <w:rPr>
          <w:rFonts w:ascii="Arial" w:hAnsi="Arial" w:cs="Arial"/>
          <w:color w:val="000000"/>
        </w:rPr>
        <w:t>Completion of questionnaires – various questionnaires that are received, requesting specific information in relation to the structure of the LGPS or the make-up of the Fund.</w:t>
      </w:r>
    </w:p>
    <w:p w14:paraId="6D163A2D" w14:textId="77777777" w:rsidR="00427FA7" w:rsidRPr="00227E88" w:rsidRDefault="00427FA7" w:rsidP="00427FA7">
      <w:pPr>
        <w:autoSpaceDE w:val="0"/>
        <w:autoSpaceDN w:val="0"/>
        <w:adjustRightInd w:val="0"/>
        <w:jc w:val="both"/>
        <w:rPr>
          <w:rFonts w:ascii="Arial" w:hAnsi="Arial" w:cs="Arial"/>
          <w:b/>
          <w:bCs/>
          <w:color w:val="000000"/>
          <w:sz w:val="22"/>
          <w:szCs w:val="22"/>
        </w:rPr>
      </w:pPr>
    </w:p>
    <w:p w14:paraId="6D163A2E" w14:textId="77777777" w:rsidR="00427FA7" w:rsidRPr="00227E88" w:rsidRDefault="00427FA7" w:rsidP="009C2223">
      <w:pPr>
        <w:pStyle w:val="ListParagraph"/>
        <w:autoSpaceDE w:val="0"/>
        <w:autoSpaceDN w:val="0"/>
        <w:adjustRightInd w:val="0"/>
        <w:spacing w:after="0" w:line="240" w:lineRule="auto"/>
        <w:ind w:hanging="720"/>
        <w:jc w:val="both"/>
        <w:rPr>
          <w:rFonts w:ascii="Arial" w:hAnsi="Arial" w:cs="Arial"/>
          <w:color w:val="000000"/>
        </w:rPr>
      </w:pPr>
      <w:r w:rsidRPr="00227E88">
        <w:rPr>
          <w:rFonts w:ascii="Arial" w:hAnsi="Arial" w:cs="Arial"/>
          <w:b/>
          <w:bCs/>
          <w:color w:val="000000"/>
        </w:rPr>
        <w:t>2.23</w:t>
      </w:r>
      <w:r w:rsidRPr="00227E88">
        <w:rPr>
          <w:rFonts w:ascii="Arial" w:hAnsi="Arial" w:cs="Arial"/>
          <w:b/>
          <w:bCs/>
          <w:color w:val="000000"/>
        </w:rPr>
        <w:tab/>
        <w:t>Performance Measurement</w:t>
      </w:r>
      <w:r w:rsidR="009C2223" w:rsidRPr="00227E88">
        <w:rPr>
          <w:rFonts w:ascii="Arial" w:hAnsi="Arial" w:cs="Arial"/>
          <w:b/>
          <w:bCs/>
          <w:color w:val="000000"/>
        </w:rPr>
        <w:t xml:space="preserve"> - </w:t>
      </w:r>
      <w:r w:rsidR="009C2223" w:rsidRPr="00227E88">
        <w:rPr>
          <w:rFonts w:ascii="Arial" w:hAnsi="Arial" w:cs="Arial"/>
          <w:color w:val="000000"/>
        </w:rPr>
        <w:t>To</w:t>
      </w:r>
      <w:r w:rsidRPr="00227E88">
        <w:rPr>
          <w:rFonts w:ascii="Arial" w:hAnsi="Arial" w:cs="Arial"/>
          <w:color w:val="000000"/>
        </w:rPr>
        <w:t xml:space="preserve"> measure the success of our communications with members, we use the following methods:</w:t>
      </w:r>
    </w:p>
    <w:p w14:paraId="6D163A2F" w14:textId="77777777" w:rsidR="00427FA7" w:rsidRPr="00227E88" w:rsidRDefault="00427FA7" w:rsidP="00427FA7">
      <w:pPr>
        <w:pStyle w:val="ListParagraph"/>
        <w:autoSpaceDE w:val="0"/>
        <w:autoSpaceDN w:val="0"/>
        <w:adjustRightInd w:val="0"/>
        <w:spacing w:after="0" w:line="240" w:lineRule="auto"/>
        <w:ind w:left="284"/>
        <w:jc w:val="both"/>
        <w:rPr>
          <w:rFonts w:ascii="Arial" w:hAnsi="Arial" w:cs="Arial"/>
          <w:color w:val="000000"/>
        </w:rPr>
      </w:pPr>
    </w:p>
    <w:p w14:paraId="6D163A30" w14:textId="77777777" w:rsidR="00427FA7" w:rsidRPr="00227E88" w:rsidRDefault="00427FA7" w:rsidP="009C2223">
      <w:pPr>
        <w:pStyle w:val="ListParagraph"/>
        <w:autoSpaceDE w:val="0"/>
        <w:autoSpaceDN w:val="0"/>
        <w:adjustRightInd w:val="0"/>
        <w:spacing w:after="0" w:line="240" w:lineRule="auto"/>
        <w:ind w:hanging="720"/>
        <w:jc w:val="both"/>
        <w:rPr>
          <w:rFonts w:ascii="Arial" w:hAnsi="Arial" w:cs="Arial"/>
          <w:color w:val="000000"/>
        </w:rPr>
      </w:pPr>
      <w:r w:rsidRPr="00227E88">
        <w:rPr>
          <w:rFonts w:ascii="Arial" w:hAnsi="Arial" w:cs="Arial"/>
          <w:b/>
          <w:bCs/>
          <w:color w:val="000000"/>
        </w:rPr>
        <w:t>2.24</w:t>
      </w:r>
      <w:r w:rsidRPr="00227E88">
        <w:rPr>
          <w:rFonts w:ascii="Arial" w:hAnsi="Arial" w:cs="Arial"/>
          <w:b/>
          <w:bCs/>
          <w:color w:val="000000"/>
        </w:rPr>
        <w:tab/>
        <w:t>Review Process</w:t>
      </w:r>
      <w:r w:rsidR="009C2223" w:rsidRPr="00227E88">
        <w:rPr>
          <w:rFonts w:ascii="Arial" w:hAnsi="Arial" w:cs="Arial"/>
          <w:b/>
          <w:bCs/>
          <w:color w:val="000000"/>
        </w:rPr>
        <w:t xml:space="preserve"> - </w:t>
      </w:r>
      <w:r w:rsidRPr="00227E88">
        <w:rPr>
          <w:rFonts w:ascii="Arial" w:hAnsi="Arial" w:cs="Arial"/>
          <w:color w:val="000000"/>
        </w:rPr>
        <w:t>We will review our communication policy to ensure it meets audience needs and regulatory requirements at least every three years. A current version of the policy statement will always be available on our website at www.barking-dagenham.gov.uk and paper copies will be available on request.</w:t>
      </w:r>
    </w:p>
    <w:p w14:paraId="6D163A31" w14:textId="77777777" w:rsidR="00427FA7" w:rsidRPr="00227E88" w:rsidRDefault="00427FA7" w:rsidP="00427FA7">
      <w:pPr>
        <w:pStyle w:val="ListParagraph"/>
        <w:autoSpaceDE w:val="0"/>
        <w:autoSpaceDN w:val="0"/>
        <w:adjustRightInd w:val="0"/>
        <w:spacing w:after="0" w:line="240" w:lineRule="auto"/>
        <w:ind w:left="284"/>
        <w:jc w:val="both"/>
        <w:rPr>
          <w:rFonts w:ascii="Arial" w:hAnsi="Arial" w:cs="Arial"/>
          <w:color w:val="000000"/>
        </w:rPr>
      </w:pPr>
    </w:p>
    <w:p w14:paraId="6D163A32"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227E88">
        <w:rPr>
          <w:rFonts w:ascii="Arial" w:hAnsi="Arial" w:cs="Arial"/>
          <w:b/>
          <w:color w:val="000000"/>
        </w:rPr>
        <w:t>2.25</w:t>
      </w:r>
      <w:r w:rsidRPr="00227E88">
        <w:rPr>
          <w:rFonts w:ascii="Arial" w:hAnsi="Arial" w:cs="Arial"/>
          <w:b/>
          <w:color w:val="000000"/>
        </w:rPr>
        <w:tab/>
      </w:r>
      <w:r w:rsidRPr="00227E88">
        <w:rPr>
          <w:rFonts w:ascii="Arial" w:hAnsi="Arial" w:cs="Arial"/>
          <w:b/>
          <w:bCs/>
          <w:color w:val="000000"/>
        </w:rPr>
        <w:t>Timeliness</w:t>
      </w:r>
      <w:r w:rsidR="009C2223" w:rsidRPr="00227E88">
        <w:rPr>
          <w:rFonts w:ascii="Arial" w:hAnsi="Arial" w:cs="Arial"/>
          <w:b/>
          <w:bCs/>
          <w:color w:val="000000"/>
        </w:rPr>
        <w:t xml:space="preserve"> - </w:t>
      </w:r>
      <w:r w:rsidRPr="00227E88">
        <w:rPr>
          <w:rFonts w:ascii="Arial" w:hAnsi="Arial" w:cs="Arial"/>
          <w:color w:val="000000"/>
        </w:rPr>
        <w:t>We will measure against the following target delivery timescales:</w:t>
      </w:r>
    </w:p>
    <w:p w14:paraId="6D163A33" w14:textId="77777777" w:rsidR="00427FA7" w:rsidRPr="00227E88" w:rsidRDefault="00427FA7" w:rsidP="00427FA7">
      <w:pPr>
        <w:autoSpaceDE w:val="0"/>
        <w:autoSpaceDN w:val="0"/>
        <w:adjustRightInd w:val="0"/>
        <w:jc w:val="both"/>
        <w:rPr>
          <w:rFonts w:ascii="Arial" w:hAnsi="Arial" w:cs="Arial"/>
          <w:color w:val="000000"/>
          <w:sz w:val="22"/>
          <w:szCs w:val="22"/>
        </w:rPr>
      </w:pPr>
    </w:p>
    <w:tbl>
      <w:tblPr>
        <w:tblStyle w:val="TableGrid"/>
        <w:tblW w:w="10065" w:type="dxa"/>
        <w:tblInd w:w="108" w:type="dxa"/>
        <w:tblLook w:val="04A0" w:firstRow="1" w:lastRow="0" w:firstColumn="1" w:lastColumn="0" w:noHBand="0" w:noVBand="1"/>
      </w:tblPr>
      <w:tblGrid>
        <w:gridCol w:w="2586"/>
        <w:gridCol w:w="2264"/>
        <w:gridCol w:w="2397"/>
        <w:gridCol w:w="2818"/>
      </w:tblGrid>
      <w:tr w:rsidR="00427FA7" w:rsidRPr="00227E88" w14:paraId="6D163A39" w14:textId="77777777" w:rsidTr="009C2223">
        <w:trPr>
          <w:trHeight w:val="396"/>
        </w:trPr>
        <w:tc>
          <w:tcPr>
            <w:tcW w:w="2586" w:type="dxa"/>
            <w:vAlign w:val="center"/>
          </w:tcPr>
          <w:p w14:paraId="6D163A34"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Communication</w:t>
            </w:r>
          </w:p>
        </w:tc>
        <w:tc>
          <w:tcPr>
            <w:tcW w:w="2264" w:type="dxa"/>
            <w:vAlign w:val="center"/>
          </w:tcPr>
          <w:p w14:paraId="6D163A35"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Audience</w:t>
            </w:r>
          </w:p>
        </w:tc>
        <w:tc>
          <w:tcPr>
            <w:tcW w:w="2397" w:type="dxa"/>
            <w:vAlign w:val="center"/>
          </w:tcPr>
          <w:p w14:paraId="6D163A36"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Statutory delivery period</w:t>
            </w:r>
          </w:p>
        </w:tc>
        <w:tc>
          <w:tcPr>
            <w:tcW w:w="2818" w:type="dxa"/>
            <w:vAlign w:val="center"/>
          </w:tcPr>
          <w:p w14:paraId="6D163A37" w14:textId="77777777" w:rsidR="00427FA7" w:rsidRPr="00227E88" w:rsidRDefault="00427FA7" w:rsidP="00427FA7">
            <w:pPr>
              <w:autoSpaceDE w:val="0"/>
              <w:autoSpaceDN w:val="0"/>
              <w:adjustRightInd w:val="0"/>
              <w:jc w:val="center"/>
              <w:rPr>
                <w:rFonts w:ascii="Arial" w:hAnsi="Arial" w:cs="Arial"/>
                <w:b/>
                <w:bCs/>
                <w:iCs/>
                <w:color w:val="000000"/>
                <w:sz w:val="22"/>
                <w:szCs w:val="22"/>
              </w:rPr>
            </w:pPr>
            <w:r w:rsidRPr="00227E88">
              <w:rPr>
                <w:rFonts w:ascii="Arial" w:hAnsi="Arial" w:cs="Arial"/>
                <w:b/>
                <w:bCs/>
                <w:iCs/>
                <w:color w:val="000000"/>
                <w:sz w:val="22"/>
                <w:szCs w:val="22"/>
              </w:rPr>
              <w:t>Target delivery</w:t>
            </w:r>
          </w:p>
          <w:p w14:paraId="6D163A3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b/>
                <w:bCs/>
                <w:iCs/>
                <w:color w:val="000000"/>
                <w:sz w:val="22"/>
                <w:szCs w:val="22"/>
              </w:rPr>
              <w:t>period</w:t>
            </w:r>
          </w:p>
        </w:tc>
      </w:tr>
      <w:tr w:rsidR="00427FA7" w:rsidRPr="00227E88" w14:paraId="6D163A41" w14:textId="77777777" w:rsidTr="009C2223">
        <w:trPr>
          <w:trHeight w:val="779"/>
        </w:trPr>
        <w:tc>
          <w:tcPr>
            <w:tcW w:w="2586" w:type="dxa"/>
            <w:vAlign w:val="center"/>
          </w:tcPr>
          <w:p w14:paraId="6D163A3A"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Scheme booklet / Brief Guide to the scheme</w:t>
            </w:r>
          </w:p>
          <w:p w14:paraId="6D163A3B"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264" w:type="dxa"/>
            <w:vAlign w:val="center"/>
          </w:tcPr>
          <w:p w14:paraId="6D163A3C"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New joiners to the LGPS</w:t>
            </w:r>
          </w:p>
          <w:p w14:paraId="6D163A3D"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397" w:type="dxa"/>
            <w:vAlign w:val="center"/>
          </w:tcPr>
          <w:p w14:paraId="6D163A3E"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Within two months of joining</w:t>
            </w:r>
          </w:p>
          <w:p w14:paraId="6D163A3F"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818" w:type="dxa"/>
            <w:vAlign w:val="center"/>
          </w:tcPr>
          <w:p w14:paraId="6D163A40" w14:textId="77777777" w:rsidR="00427FA7" w:rsidRPr="00227E88" w:rsidRDefault="00427FA7" w:rsidP="00345EF2">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 xml:space="preserve">Included with new joiner pack / day of joining the Council </w:t>
            </w:r>
          </w:p>
        </w:tc>
      </w:tr>
      <w:tr w:rsidR="00427FA7" w:rsidRPr="00227E88" w14:paraId="6D163A46" w14:textId="77777777" w:rsidTr="009C2223">
        <w:trPr>
          <w:trHeight w:val="594"/>
        </w:trPr>
        <w:tc>
          <w:tcPr>
            <w:tcW w:w="2586" w:type="dxa"/>
            <w:vAlign w:val="center"/>
          </w:tcPr>
          <w:p w14:paraId="6D163A42" w14:textId="77777777" w:rsidR="00427FA7" w:rsidRPr="00227E88" w:rsidRDefault="00427FA7" w:rsidP="00345EF2">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Estimated Benefit Statements as at 31</w:t>
            </w:r>
            <w:r w:rsidR="00345EF2" w:rsidRPr="00227E88">
              <w:rPr>
                <w:rFonts w:ascii="Arial" w:hAnsi="Arial" w:cs="Arial"/>
                <w:color w:val="000000"/>
                <w:sz w:val="22"/>
                <w:szCs w:val="22"/>
              </w:rPr>
              <w:t>/03</w:t>
            </w:r>
          </w:p>
        </w:tc>
        <w:tc>
          <w:tcPr>
            <w:tcW w:w="2264" w:type="dxa"/>
            <w:vAlign w:val="center"/>
          </w:tcPr>
          <w:p w14:paraId="6D163A43"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Active members</w:t>
            </w:r>
          </w:p>
        </w:tc>
        <w:tc>
          <w:tcPr>
            <w:tcW w:w="2397" w:type="dxa"/>
            <w:vAlign w:val="center"/>
          </w:tcPr>
          <w:p w14:paraId="6D163A44"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On request</w:t>
            </w:r>
          </w:p>
        </w:tc>
        <w:tc>
          <w:tcPr>
            <w:tcW w:w="2818" w:type="dxa"/>
            <w:vAlign w:val="center"/>
          </w:tcPr>
          <w:p w14:paraId="6D163A45"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31 October of each year</w:t>
            </w:r>
          </w:p>
        </w:tc>
      </w:tr>
      <w:tr w:rsidR="00427FA7" w:rsidRPr="00227E88" w14:paraId="6D163A4B" w14:textId="77777777" w:rsidTr="009C2223">
        <w:trPr>
          <w:trHeight w:val="594"/>
        </w:trPr>
        <w:tc>
          <w:tcPr>
            <w:tcW w:w="2586" w:type="dxa"/>
            <w:vAlign w:val="center"/>
          </w:tcPr>
          <w:p w14:paraId="6D163A47"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Telephone calls</w:t>
            </w:r>
          </w:p>
        </w:tc>
        <w:tc>
          <w:tcPr>
            <w:tcW w:w="2264" w:type="dxa"/>
            <w:vAlign w:val="center"/>
          </w:tcPr>
          <w:p w14:paraId="6D163A4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tc>
        <w:tc>
          <w:tcPr>
            <w:tcW w:w="2397" w:type="dxa"/>
            <w:vAlign w:val="center"/>
          </w:tcPr>
          <w:p w14:paraId="6D163A49"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Not applicable</w:t>
            </w:r>
          </w:p>
        </w:tc>
        <w:tc>
          <w:tcPr>
            <w:tcW w:w="2818" w:type="dxa"/>
            <w:vAlign w:val="center"/>
          </w:tcPr>
          <w:p w14:paraId="6D163A4A"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95% of phone calls to be answered within 30 seconds</w:t>
            </w:r>
          </w:p>
        </w:tc>
      </w:tr>
      <w:tr w:rsidR="00427FA7" w:rsidRPr="00227E88" w14:paraId="6D163A53" w14:textId="77777777" w:rsidTr="009C2223">
        <w:trPr>
          <w:trHeight w:val="396"/>
        </w:trPr>
        <w:tc>
          <w:tcPr>
            <w:tcW w:w="2586" w:type="dxa"/>
            <w:vAlign w:val="center"/>
          </w:tcPr>
          <w:p w14:paraId="6D163A4C"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Issue of retirement benefits</w:t>
            </w:r>
          </w:p>
          <w:p w14:paraId="6D163A4D"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264" w:type="dxa"/>
            <w:vAlign w:val="center"/>
          </w:tcPr>
          <w:p w14:paraId="6D163A4E"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Active and deferred members retiring</w:t>
            </w:r>
          </w:p>
          <w:p w14:paraId="6D163A4F"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397" w:type="dxa"/>
            <w:vAlign w:val="center"/>
          </w:tcPr>
          <w:p w14:paraId="6D163A50"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Within two months of retirement</w:t>
            </w:r>
          </w:p>
          <w:p w14:paraId="6D163A51"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818" w:type="dxa"/>
            <w:vAlign w:val="center"/>
          </w:tcPr>
          <w:p w14:paraId="6D163A52"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95% of retirement benefits to be issued with 5 working days of retirement</w:t>
            </w:r>
          </w:p>
        </w:tc>
      </w:tr>
      <w:tr w:rsidR="00427FA7" w:rsidRPr="00227E88" w14:paraId="6D163A59" w14:textId="77777777" w:rsidTr="009C2223">
        <w:trPr>
          <w:trHeight w:val="384"/>
        </w:trPr>
        <w:tc>
          <w:tcPr>
            <w:tcW w:w="2586" w:type="dxa"/>
            <w:vAlign w:val="center"/>
          </w:tcPr>
          <w:p w14:paraId="6D163A54"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Issue of deferred benefits</w:t>
            </w:r>
          </w:p>
        </w:tc>
        <w:tc>
          <w:tcPr>
            <w:tcW w:w="2264" w:type="dxa"/>
            <w:vAlign w:val="center"/>
          </w:tcPr>
          <w:p w14:paraId="6D163A55"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Leavers</w:t>
            </w:r>
          </w:p>
        </w:tc>
        <w:tc>
          <w:tcPr>
            <w:tcW w:w="2397" w:type="dxa"/>
            <w:vAlign w:val="center"/>
          </w:tcPr>
          <w:p w14:paraId="6D163A56" w14:textId="77777777" w:rsidR="00427FA7" w:rsidRPr="00227E88" w:rsidRDefault="00427FA7" w:rsidP="00C820DD">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 xml:space="preserve">Within </w:t>
            </w:r>
            <w:r w:rsidR="00C820DD" w:rsidRPr="00227E88">
              <w:rPr>
                <w:rFonts w:ascii="Arial" w:hAnsi="Arial" w:cs="Arial"/>
                <w:color w:val="000000"/>
                <w:sz w:val="22"/>
                <w:szCs w:val="22"/>
              </w:rPr>
              <w:t>one</w:t>
            </w:r>
            <w:r w:rsidRPr="00227E88">
              <w:rPr>
                <w:rFonts w:ascii="Arial" w:hAnsi="Arial" w:cs="Arial"/>
                <w:color w:val="000000"/>
                <w:sz w:val="22"/>
                <w:szCs w:val="22"/>
              </w:rPr>
              <w:t xml:space="preserve"> months of withdrawal</w:t>
            </w:r>
          </w:p>
        </w:tc>
        <w:tc>
          <w:tcPr>
            <w:tcW w:w="2818" w:type="dxa"/>
            <w:vAlign w:val="center"/>
          </w:tcPr>
          <w:p w14:paraId="6D163A57"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Within one month</w:t>
            </w:r>
          </w:p>
          <w:p w14:paraId="6D163A58" w14:textId="77777777" w:rsidR="00427FA7" w:rsidRPr="00227E88" w:rsidRDefault="00427FA7" w:rsidP="00427FA7">
            <w:pPr>
              <w:autoSpaceDE w:val="0"/>
              <w:autoSpaceDN w:val="0"/>
              <w:adjustRightInd w:val="0"/>
              <w:jc w:val="center"/>
              <w:rPr>
                <w:rFonts w:ascii="Arial" w:hAnsi="Arial" w:cs="Arial"/>
                <w:color w:val="000000"/>
                <w:sz w:val="22"/>
                <w:szCs w:val="22"/>
              </w:rPr>
            </w:pPr>
          </w:p>
        </w:tc>
      </w:tr>
      <w:tr w:rsidR="00427FA7" w:rsidRPr="00227E88" w14:paraId="6D163A5F" w14:textId="77777777" w:rsidTr="009C2223">
        <w:trPr>
          <w:trHeight w:val="396"/>
        </w:trPr>
        <w:tc>
          <w:tcPr>
            <w:tcW w:w="2586" w:type="dxa"/>
            <w:vAlign w:val="center"/>
          </w:tcPr>
          <w:p w14:paraId="6D163A5A"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Transfers in</w:t>
            </w:r>
          </w:p>
          <w:p w14:paraId="6D163A5B"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264" w:type="dxa"/>
            <w:vAlign w:val="center"/>
          </w:tcPr>
          <w:p w14:paraId="6D163A5C"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Joiners/active members</w:t>
            </w:r>
          </w:p>
        </w:tc>
        <w:tc>
          <w:tcPr>
            <w:tcW w:w="2397" w:type="dxa"/>
            <w:vAlign w:val="center"/>
          </w:tcPr>
          <w:p w14:paraId="6D163A5D"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Within two months of request</w:t>
            </w:r>
          </w:p>
        </w:tc>
        <w:tc>
          <w:tcPr>
            <w:tcW w:w="2818" w:type="dxa"/>
            <w:vAlign w:val="center"/>
          </w:tcPr>
          <w:p w14:paraId="6D163A5E"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Within one month</w:t>
            </w:r>
          </w:p>
        </w:tc>
      </w:tr>
      <w:tr w:rsidR="00427FA7" w:rsidRPr="00227E88" w14:paraId="6D163A65" w14:textId="77777777" w:rsidTr="009C2223">
        <w:trPr>
          <w:trHeight w:val="779"/>
        </w:trPr>
        <w:tc>
          <w:tcPr>
            <w:tcW w:w="2586" w:type="dxa"/>
            <w:vAlign w:val="center"/>
          </w:tcPr>
          <w:p w14:paraId="6D163A60"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 xml:space="preserve">Issue of forms </w:t>
            </w:r>
            <w:proofErr w:type="gramStart"/>
            <w:r w:rsidRPr="00227E88">
              <w:rPr>
                <w:rFonts w:ascii="Arial" w:hAnsi="Arial" w:cs="Arial"/>
                <w:color w:val="000000"/>
                <w:sz w:val="22"/>
                <w:szCs w:val="22"/>
              </w:rPr>
              <w:t>i.e.</w:t>
            </w:r>
            <w:proofErr w:type="gramEnd"/>
            <w:r w:rsidRPr="00227E88">
              <w:rPr>
                <w:rFonts w:ascii="Arial" w:hAnsi="Arial" w:cs="Arial"/>
                <w:color w:val="000000"/>
                <w:sz w:val="22"/>
                <w:szCs w:val="22"/>
              </w:rPr>
              <w:t xml:space="preserve"> expression of wish</w:t>
            </w:r>
          </w:p>
        </w:tc>
        <w:tc>
          <w:tcPr>
            <w:tcW w:w="2264" w:type="dxa"/>
            <w:vAlign w:val="center"/>
          </w:tcPr>
          <w:p w14:paraId="6D163A61"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Active/Deferred members</w:t>
            </w:r>
          </w:p>
          <w:p w14:paraId="6D163A62"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397" w:type="dxa"/>
            <w:vAlign w:val="center"/>
          </w:tcPr>
          <w:p w14:paraId="6D163A63"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N/A</w:t>
            </w:r>
          </w:p>
        </w:tc>
        <w:tc>
          <w:tcPr>
            <w:tcW w:w="2818" w:type="dxa"/>
            <w:vAlign w:val="center"/>
          </w:tcPr>
          <w:p w14:paraId="6D163A64"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Included within new joiner pack or upon request within five working days</w:t>
            </w:r>
          </w:p>
        </w:tc>
      </w:tr>
      <w:tr w:rsidR="00427FA7" w:rsidRPr="00227E88" w14:paraId="6D163A6B" w14:textId="77777777" w:rsidTr="009C2223">
        <w:trPr>
          <w:trHeight w:val="594"/>
        </w:trPr>
        <w:tc>
          <w:tcPr>
            <w:tcW w:w="2586" w:type="dxa"/>
            <w:vAlign w:val="center"/>
          </w:tcPr>
          <w:p w14:paraId="6D163A66"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Changes to scheme rules</w:t>
            </w:r>
          </w:p>
          <w:p w14:paraId="6D163A67"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264" w:type="dxa"/>
            <w:vAlign w:val="center"/>
          </w:tcPr>
          <w:p w14:paraId="6D163A68"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Active/Deferred and pensioner members</w:t>
            </w:r>
          </w:p>
        </w:tc>
        <w:tc>
          <w:tcPr>
            <w:tcW w:w="2397" w:type="dxa"/>
            <w:vAlign w:val="center"/>
          </w:tcPr>
          <w:p w14:paraId="6D163A69"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as required</w:t>
            </w:r>
          </w:p>
        </w:tc>
        <w:tc>
          <w:tcPr>
            <w:tcW w:w="2818" w:type="dxa"/>
            <w:vAlign w:val="center"/>
          </w:tcPr>
          <w:p w14:paraId="6D163A6A"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Within two months of the change coming into effect</w:t>
            </w:r>
          </w:p>
        </w:tc>
      </w:tr>
      <w:tr w:rsidR="00427FA7" w:rsidRPr="00227E88" w14:paraId="6D163A72" w14:textId="77777777" w:rsidTr="009C2223">
        <w:trPr>
          <w:trHeight w:val="594"/>
        </w:trPr>
        <w:tc>
          <w:tcPr>
            <w:tcW w:w="2586" w:type="dxa"/>
            <w:vAlign w:val="center"/>
          </w:tcPr>
          <w:p w14:paraId="6D163A6C"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Annual Pension Fund Report and Accounts</w:t>
            </w:r>
          </w:p>
        </w:tc>
        <w:tc>
          <w:tcPr>
            <w:tcW w:w="2264" w:type="dxa"/>
            <w:vAlign w:val="center"/>
          </w:tcPr>
          <w:p w14:paraId="6D163A6D"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All</w:t>
            </w:r>
          </w:p>
          <w:p w14:paraId="6D163A6E" w14:textId="77777777" w:rsidR="00427FA7" w:rsidRPr="00227E88" w:rsidRDefault="00427FA7" w:rsidP="00427FA7">
            <w:pPr>
              <w:autoSpaceDE w:val="0"/>
              <w:autoSpaceDN w:val="0"/>
              <w:adjustRightInd w:val="0"/>
              <w:jc w:val="center"/>
              <w:rPr>
                <w:rFonts w:ascii="Arial" w:hAnsi="Arial" w:cs="Arial"/>
                <w:color w:val="000000"/>
                <w:sz w:val="22"/>
                <w:szCs w:val="22"/>
              </w:rPr>
            </w:pPr>
          </w:p>
        </w:tc>
        <w:tc>
          <w:tcPr>
            <w:tcW w:w="2397" w:type="dxa"/>
            <w:vAlign w:val="center"/>
          </w:tcPr>
          <w:p w14:paraId="6D163A6F"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Within two months of request</w:t>
            </w:r>
          </w:p>
        </w:tc>
        <w:tc>
          <w:tcPr>
            <w:tcW w:w="2818" w:type="dxa"/>
            <w:vAlign w:val="center"/>
          </w:tcPr>
          <w:p w14:paraId="6D163A70" w14:textId="77777777" w:rsidR="00427FA7" w:rsidRPr="00227E88" w:rsidRDefault="00427FA7" w:rsidP="00427FA7">
            <w:pPr>
              <w:autoSpaceDE w:val="0"/>
              <w:autoSpaceDN w:val="0"/>
              <w:adjustRightInd w:val="0"/>
              <w:jc w:val="center"/>
              <w:rPr>
                <w:rFonts w:ascii="Arial" w:hAnsi="Arial" w:cs="Arial"/>
                <w:color w:val="000000"/>
                <w:sz w:val="22"/>
                <w:szCs w:val="22"/>
              </w:rPr>
            </w:pPr>
            <w:r w:rsidRPr="00227E88">
              <w:rPr>
                <w:rFonts w:ascii="Arial" w:hAnsi="Arial" w:cs="Arial"/>
                <w:color w:val="000000"/>
                <w:sz w:val="22"/>
                <w:szCs w:val="22"/>
              </w:rPr>
              <w:t>Within five working days</w:t>
            </w:r>
          </w:p>
          <w:p w14:paraId="6D163A71" w14:textId="77777777" w:rsidR="00427FA7" w:rsidRPr="00227E88" w:rsidRDefault="00427FA7" w:rsidP="00427FA7">
            <w:pPr>
              <w:autoSpaceDE w:val="0"/>
              <w:autoSpaceDN w:val="0"/>
              <w:adjustRightInd w:val="0"/>
              <w:jc w:val="center"/>
              <w:rPr>
                <w:rFonts w:ascii="Arial" w:hAnsi="Arial" w:cs="Arial"/>
                <w:color w:val="000000"/>
                <w:sz w:val="22"/>
                <w:szCs w:val="22"/>
              </w:rPr>
            </w:pPr>
          </w:p>
        </w:tc>
      </w:tr>
    </w:tbl>
    <w:p w14:paraId="6D163A73" w14:textId="77777777" w:rsidR="00427FA7" w:rsidRDefault="00427FA7" w:rsidP="00427FA7">
      <w:pPr>
        <w:pStyle w:val="ListParagraph"/>
        <w:autoSpaceDE w:val="0"/>
        <w:autoSpaceDN w:val="0"/>
        <w:adjustRightInd w:val="0"/>
        <w:spacing w:after="0" w:line="240" w:lineRule="auto"/>
        <w:ind w:left="284"/>
        <w:jc w:val="both"/>
        <w:rPr>
          <w:rFonts w:ascii="Arial" w:hAnsi="Arial" w:cs="Arial"/>
          <w:b/>
          <w:color w:val="000000"/>
        </w:rPr>
      </w:pPr>
    </w:p>
    <w:p w14:paraId="3037E19A" w14:textId="77777777" w:rsidR="00540F32" w:rsidRPr="00227E88" w:rsidRDefault="00540F32" w:rsidP="00427FA7">
      <w:pPr>
        <w:pStyle w:val="ListParagraph"/>
        <w:autoSpaceDE w:val="0"/>
        <w:autoSpaceDN w:val="0"/>
        <w:adjustRightInd w:val="0"/>
        <w:spacing w:after="0" w:line="240" w:lineRule="auto"/>
        <w:ind w:left="284"/>
        <w:jc w:val="both"/>
        <w:rPr>
          <w:rFonts w:ascii="Arial" w:hAnsi="Arial" w:cs="Arial"/>
          <w:b/>
          <w:color w:val="000000"/>
        </w:rPr>
      </w:pPr>
    </w:p>
    <w:p w14:paraId="6D163A74" w14:textId="77777777" w:rsidR="00427FA7" w:rsidRPr="00227E88" w:rsidRDefault="00427FA7" w:rsidP="00427FA7">
      <w:pPr>
        <w:pStyle w:val="ListParagraph"/>
        <w:autoSpaceDE w:val="0"/>
        <w:autoSpaceDN w:val="0"/>
        <w:adjustRightInd w:val="0"/>
        <w:spacing w:after="0" w:line="240" w:lineRule="auto"/>
        <w:ind w:left="0"/>
        <w:jc w:val="both"/>
        <w:rPr>
          <w:rFonts w:ascii="Arial" w:hAnsi="Arial" w:cs="Arial"/>
          <w:b/>
          <w:bCs/>
          <w:color w:val="000000"/>
        </w:rPr>
      </w:pPr>
      <w:r w:rsidRPr="00227E88">
        <w:rPr>
          <w:rFonts w:ascii="Arial" w:hAnsi="Arial" w:cs="Arial"/>
          <w:b/>
          <w:color w:val="000000"/>
        </w:rPr>
        <w:t>2.26</w:t>
      </w:r>
      <w:r w:rsidRPr="00227E88">
        <w:rPr>
          <w:rFonts w:ascii="Arial" w:hAnsi="Arial" w:cs="Arial"/>
          <w:b/>
          <w:color w:val="000000"/>
        </w:rPr>
        <w:tab/>
      </w:r>
      <w:r w:rsidRPr="00227E88">
        <w:rPr>
          <w:rFonts w:ascii="Arial" w:hAnsi="Arial" w:cs="Arial"/>
          <w:b/>
          <w:bCs/>
          <w:color w:val="000000"/>
        </w:rPr>
        <w:t>Quality</w:t>
      </w:r>
    </w:p>
    <w:p w14:paraId="6D163A75" w14:textId="77777777" w:rsidR="00427FA7" w:rsidRPr="00227E88" w:rsidRDefault="00427FA7" w:rsidP="00427FA7">
      <w:pPr>
        <w:autoSpaceDE w:val="0"/>
        <w:autoSpaceDN w:val="0"/>
        <w:adjustRightInd w:val="0"/>
        <w:jc w:val="both"/>
        <w:rPr>
          <w:rFonts w:ascii="Arial" w:hAnsi="Arial" w:cs="Arial"/>
          <w:b/>
          <w:bCs/>
          <w:color w:val="000000"/>
          <w:sz w:val="22"/>
          <w:szCs w:val="22"/>
        </w:rPr>
      </w:pPr>
    </w:p>
    <w:tbl>
      <w:tblPr>
        <w:tblStyle w:val="TableGrid"/>
        <w:tblW w:w="9612" w:type="dxa"/>
        <w:tblInd w:w="108" w:type="dxa"/>
        <w:tblLook w:val="04A0" w:firstRow="1" w:lastRow="0" w:firstColumn="1" w:lastColumn="0" w:noHBand="0" w:noVBand="1"/>
      </w:tblPr>
      <w:tblGrid>
        <w:gridCol w:w="2545"/>
        <w:gridCol w:w="2386"/>
        <w:gridCol w:w="2226"/>
        <w:gridCol w:w="2455"/>
      </w:tblGrid>
      <w:tr w:rsidR="00427FA7" w:rsidRPr="00227E88" w14:paraId="6D163A7B" w14:textId="77777777" w:rsidTr="00345EF2">
        <w:trPr>
          <w:trHeight w:val="504"/>
        </w:trPr>
        <w:tc>
          <w:tcPr>
            <w:tcW w:w="2545" w:type="dxa"/>
          </w:tcPr>
          <w:p w14:paraId="6D163A76" w14:textId="77777777" w:rsidR="00427FA7" w:rsidRPr="00227E88" w:rsidRDefault="00427FA7" w:rsidP="00427FA7">
            <w:pPr>
              <w:autoSpaceDE w:val="0"/>
              <w:autoSpaceDN w:val="0"/>
              <w:adjustRightInd w:val="0"/>
              <w:jc w:val="both"/>
              <w:rPr>
                <w:rFonts w:ascii="Arial" w:hAnsi="Arial" w:cs="Arial"/>
                <w:b/>
                <w:bCs/>
                <w:color w:val="000000"/>
                <w:sz w:val="22"/>
                <w:szCs w:val="22"/>
              </w:rPr>
            </w:pPr>
            <w:r w:rsidRPr="00227E88">
              <w:rPr>
                <w:rFonts w:ascii="Arial" w:hAnsi="Arial" w:cs="Arial"/>
                <w:b/>
                <w:bCs/>
                <w:i/>
                <w:iCs/>
                <w:color w:val="000000"/>
                <w:sz w:val="22"/>
                <w:szCs w:val="22"/>
              </w:rPr>
              <w:t>Audience</w:t>
            </w:r>
          </w:p>
        </w:tc>
        <w:tc>
          <w:tcPr>
            <w:tcW w:w="2386" w:type="dxa"/>
          </w:tcPr>
          <w:p w14:paraId="6D163A77" w14:textId="77777777" w:rsidR="00427FA7" w:rsidRPr="00227E88" w:rsidRDefault="00427FA7" w:rsidP="00427FA7">
            <w:pPr>
              <w:autoSpaceDE w:val="0"/>
              <w:autoSpaceDN w:val="0"/>
              <w:adjustRightInd w:val="0"/>
              <w:jc w:val="both"/>
              <w:rPr>
                <w:rFonts w:ascii="Arial" w:hAnsi="Arial" w:cs="Arial"/>
                <w:b/>
                <w:bCs/>
                <w:color w:val="000000"/>
                <w:sz w:val="22"/>
                <w:szCs w:val="22"/>
              </w:rPr>
            </w:pPr>
            <w:r w:rsidRPr="00227E88">
              <w:rPr>
                <w:rFonts w:ascii="Arial" w:hAnsi="Arial" w:cs="Arial"/>
                <w:b/>
                <w:bCs/>
                <w:i/>
                <w:iCs/>
                <w:color w:val="000000"/>
                <w:sz w:val="22"/>
                <w:szCs w:val="22"/>
              </w:rPr>
              <w:t>Method</w:t>
            </w:r>
          </w:p>
        </w:tc>
        <w:tc>
          <w:tcPr>
            <w:tcW w:w="2226" w:type="dxa"/>
          </w:tcPr>
          <w:p w14:paraId="6D163A78" w14:textId="77777777" w:rsidR="00427FA7" w:rsidRPr="00227E88" w:rsidRDefault="00427FA7" w:rsidP="00427FA7">
            <w:pPr>
              <w:autoSpaceDE w:val="0"/>
              <w:autoSpaceDN w:val="0"/>
              <w:adjustRightInd w:val="0"/>
              <w:jc w:val="both"/>
              <w:rPr>
                <w:rFonts w:ascii="Arial" w:hAnsi="Arial" w:cs="Arial"/>
                <w:b/>
                <w:bCs/>
                <w:color w:val="000000"/>
                <w:sz w:val="22"/>
                <w:szCs w:val="22"/>
              </w:rPr>
            </w:pPr>
            <w:r w:rsidRPr="00227E88">
              <w:rPr>
                <w:rFonts w:ascii="Arial" w:hAnsi="Arial" w:cs="Arial"/>
                <w:b/>
                <w:bCs/>
                <w:i/>
                <w:iCs/>
                <w:color w:val="000000"/>
                <w:sz w:val="22"/>
                <w:szCs w:val="22"/>
              </w:rPr>
              <w:t>To consider</w:t>
            </w:r>
          </w:p>
        </w:tc>
        <w:tc>
          <w:tcPr>
            <w:tcW w:w="2455" w:type="dxa"/>
          </w:tcPr>
          <w:p w14:paraId="6D163A79" w14:textId="77777777" w:rsidR="00427FA7" w:rsidRPr="00227E88" w:rsidRDefault="00427FA7" w:rsidP="00427FA7">
            <w:pPr>
              <w:autoSpaceDE w:val="0"/>
              <w:autoSpaceDN w:val="0"/>
              <w:adjustRightInd w:val="0"/>
              <w:jc w:val="both"/>
              <w:rPr>
                <w:rFonts w:ascii="Arial" w:hAnsi="Arial" w:cs="Arial"/>
                <w:b/>
                <w:bCs/>
                <w:i/>
                <w:iCs/>
                <w:color w:val="000000"/>
                <w:sz w:val="22"/>
                <w:szCs w:val="22"/>
              </w:rPr>
            </w:pPr>
            <w:r w:rsidRPr="00227E88">
              <w:rPr>
                <w:rFonts w:ascii="Arial" w:hAnsi="Arial" w:cs="Arial"/>
                <w:b/>
                <w:bCs/>
                <w:i/>
                <w:iCs/>
                <w:color w:val="000000"/>
                <w:sz w:val="22"/>
                <w:szCs w:val="22"/>
              </w:rPr>
              <w:t>Notes</w:t>
            </w:r>
          </w:p>
          <w:p w14:paraId="6D163A7A" w14:textId="77777777" w:rsidR="00427FA7" w:rsidRPr="00227E88" w:rsidRDefault="00427FA7" w:rsidP="00427FA7">
            <w:pPr>
              <w:autoSpaceDE w:val="0"/>
              <w:autoSpaceDN w:val="0"/>
              <w:adjustRightInd w:val="0"/>
              <w:jc w:val="both"/>
              <w:rPr>
                <w:rFonts w:ascii="Arial" w:hAnsi="Arial" w:cs="Arial"/>
                <w:b/>
                <w:bCs/>
                <w:color w:val="000000"/>
                <w:sz w:val="22"/>
                <w:szCs w:val="22"/>
              </w:rPr>
            </w:pPr>
          </w:p>
        </w:tc>
      </w:tr>
      <w:tr w:rsidR="00427FA7" w:rsidRPr="00227E88" w14:paraId="6D163A83" w14:textId="77777777" w:rsidTr="00345EF2">
        <w:trPr>
          <w:trHeight w:val="1300"/>
        </w:trPr>
        <w:tc>
          <w:tcPr>
            <w:tcW w:w="2545" w:type="dxa"/>
          </w:tcPr>
          <w:p w14:paraId="6D163A7C" w14:textId="77777777" w:rsidR="00427FA7" w:rsidRPr="00227E88" w:rsidRDefault="00427FA7" w:rsidP="00427FA7">
            <w:pPr>
              <w:autoSpaceDE w:val="0"/>
              <w:autoSpaceDN w:val="0"/>
              <w:adjustRightInd w:val="0"/>
              <w:jc w:val="both"/>
              <w:rPr>
                <w:rFonts w:ascii="Arial" w:hAnsi="Arial" w:cs="Arial"/>
                <w:b/>
                <w:bCs/>
                <w:color w:val="000000"/>
                <w:sz w:val="22"/>
                <w:szCs w:val="22"/>
              </w:rPr>
            </w:pPr>
            <w:r w:rsidRPr="00227E88">
              <w:rPr>
                <w:rFonts w:ascii="Arial" w:hAnsi="Arial" w:cs="Arial"/>
                <w:color w:val="000000"/>
                <w:sz w:val="22"/>
                <w:szCs w:val="22"/>
              </w:rPr>
              <w:t>All member types</w:t>
            </w:r>
          </w:p>
        </w:tc>
        <w:tc>
          <w:tcPr>
            <w:tcW w:w="2386" w:type="dxa"/>
          </w:tcPr>
          <w:p w14:paraId="6D163A7D"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Annual paper base survey on completion of specific tasks</w:t>
            </w:r>
          </w:p>
          <w:p w14:paraId="6D163A7E" w14:textId="77777777" w:rsidR="00427FA7" w:rsidRPr="00227E88" w:rsidRDefault="00427FA7" w:rsidP="00427FA7">
            <w:pPr>
              <w:autoSpaceDE w:val="0"/>
              <w:autoSpaceDN w:val="0"/>
              <w:adjustRightInd w:val="0"/>
              <w:jc w:val="both"/>
              <w:rPr>
                <w:rFonts w:ascii="Arial" w:hAnsi="Arial" w:cs="Arial"/>
                <w:b/>
                <w:bCs/>
                <w:color w:val="000000"/>
                <w:sz w:val="22"/>
                <w:szCs w:val="22"/>
              </w:rPr>
            </w:pPr>
          </w:p>
        </w:tc>
        <w:tc>
          <w:tcPr>
            <w:tcW w:w="2226" w:type="dxa"/>
          </w:tcPr>
          <w:p w14:paraId="6D163A7F"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 xml:space="preserve">Service received during that </w:t>
            </w:r>
            <w:proofErr w:type="gramStart"/>
            <w:r w:rsidRPr="00227E88">
              <w:rPr>
                <w:rFonts w:ascii="Arial" w:hAnsi="Arial" w:cs="Arial"/>
                <w:color w:val="000000"/>
                <w:sz w:val="22"/>
                <w:szCs w:val="22"/>
              </w:rPr>
              <w:t>task</w:t>
            </w:r>
            <w:proofErr w:type="gramEnd"/>
          </w:p>
          <w:p w14:paraId="6D163A80" w14:textId="77777777" w:rsidR="00427FA7" w:rsidRPr="00227E88" w:rsidRDefault="00427FA7" w:rsidP="00427FA7">
            <w:pPr>
              <w:autoSpaceDE w:val="0"/>
              <w:autoSpaceDN w:val="0"/>
              <w:adjustRightInd w:val="0"/>
              <w:jc w:val="both"/>
              <w:rPr>
                <w:rFonts w:ascii="Arial" w:hAnsi="Arial" w:cs="Arial"/>
                <w:b/>
                <w:bCs/>
                <w:color w:val="000000"/>
                <w:sz w:val="22"/>
                <w:szCs w:val="22"/>
              </w:rPr>
            </w:pPr>
          </w:p>
        </w:tc>
        <w:tc>
          <w:tcPr>
            <w:tcW w:w="2455" w:type="dxa"/>
          </w:tcPr>
          <w:p w14:paraId="6D163A81"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 xml:space="preserve">One task to be chosen as and when </w:t>
            </w:r>
            <w:proofErr w:type="gramStart"/>
            <w:r w:rsidRPr="00227E88">
              <w:rPr>
                <w:rFonts w:ascii="Arial" w:hAnsi="Arial" w:cs="Arial"/>
                <w:color w:val="000000"/>
                <w:sz w:val="22"/>
                <w:szCs w:val="22"/>
              </w:rPr>
              <w:t>required</w:t>
            </w:r>
            <w:proofErr w:type="gramEnd"/>
          </w:p>
          <w:p w14:paraId="6D163A82" w14:textId="77777777" w:rsidR="00427FA7" w:rsidRPr="00227E88" w:rsidRDefault="00427FA7" w:rsidP="00427FA7">
            <w:pPr>
              <w:autoSpaceDE w:val="0"/>
              <w:autoSpaceDN w:val="0"/>
              <w:adjustRightInd w:val="0"/>
              <w:jc w:val="both"/>
              <w:rPr>
                <w:rFonts w:ascii="Arial" w:hAnsi="Arial" w:cs="Arial"/>
                <w:b/>
                <w:bCs/>
                <w:color w:val="000000"/>
                <w:sz w:val="22"/>
                <w:szCs w:val="22"/>
              </w:rPr>
            </w:pPr>
          </w:p>
        </w:tc>
      </w:tr>
    </w:tbl>
    <w:p w14:paraId="6D163A84" w14:textId="77777777" w:rsidR="00427FA7" w:rsidRPr="00227E88" w:rsidRDefault="00427FA7" w:rsidP="00427FA7">
      <w:pPr>
        <w:pStyle w:val="ListParagraph"/>
        <w:autoSpaceDE w:val="0"/>
        <w:autoSpaceDN w:val="0"/>
        <w:adjustRightInd w:val="0"/>
        <w:spacing w:after="0" w:line="240" w:lineRule="auto"/>
        <w:ind w:left="284"/>
        <w:jc w:val="both"/>
        <w:rPr>
          <w:rFonts w:ascii="Arial" w:hAnsi="Arial" w:cs="Arial"/>
          <w:b/>
          <w:bCs/>
          <w:color w:val="000000"/>
        </w:rPr>
      </w:pPr>
    </w:p>
    <w:p w14:paraId="23889591" w14:textId="05705189" w:rsidR="00D20A24" w:rsidRPr="00E35F96" w:rsidRDefault="00427FA7" w:rsidP="004C17A4">
      <w:pPr>
        <w:pStyle w:val="ListParagraph"/>
        <w:numPr>
          <w:ilvl w:val="1"/>
          <w:numId w:val="10"/>
        </w:numPr>
        <w:autoSpaceDE w:val="0"/>
        <w:autoSpaceDN w:val="0"/>
        <w:adjustRightInd w:val="0"/>
        <w:spacing w:after="0" w:line="240" w:lineRule="auto"/>
        <w:jc w:val="both"/>
        <w:rPr>
          <w:rFonts w:ascii="Arial" w:hAnsi="Arial" w:cs="Arial"/>
          <w:b/>
          <w:bCs/>
          <w:color w:val="000000"/>
        </w:rPr>
      </w:pPr>
      <w:r w:rsidRPr="00227E88">
        <w:rPr>
          <w:rFonts w:ascii="Arial" w:hAnsi="Arial" w:cs="Arial"/>
          <w:b/>
          <w:bCs/>
          <w:color w:val="000000"/>
        </w:rPr>
        <w:t>Results</w:t>
      </w:r>
    </w:p>
    <w:p w14:paraId="6D163A86" w14:textId="71499E6C" w:rsidR="00427FA7" w:rsidRPr="00227E88" w:rsidRDefault="00427FA7" w:rsidP="00427FA7">
      <w:pPr>
        <w:autoSpaceDE w:val="0"/>
        <w:autoSpaceDN w:val="0"/>
        <w:adjustRightInd w:val="0"/>
        <w:jc w:val="both"/>
        <w:rPr>
          <w:rFonts w:ascii="Arial" w:hAnsi="Arial" w:cs="Arial"/>
          <w:b/>
          <w:bCs/>
          <w:color w:val="000000"/>
          <w:sz w:val="22"/>
          <w:szCs w:val="22"/>
        </w:rPr>
      </w:pPr>
    </w:p>
    <w:p w14:paraId="6D163A87" w14:textId="77777777" w:rsidR="00427FA7" w:rsidRPr="00227E88" w:rsidRDefault="00427FA7" w:rsidP="00427FA7">
      <w:pPr>
        <w:autoSpaceDE w:val="0"/>
        <w:autoSpaceDN w:val="0"/>
        <w:adjustRightInd w:val="0"/>
        <w:jc w:val="both"/>
        <w:rPr>
          <w:rFonts w:ascii="Arial" w:hAnsi="Arial" w:cs="Arial"/>
          <w:color w:val="000000"/>
          <w:sz w:val="22"/>
          <w:szCs w:val="22"/>
        </w:rPr>
      </w:pPr>
      <w:r w:rsidRPr="00227E88">
        <w:rPr>
          <w:rFonts w:ascii="Arial" w:hAnsi="Arial" w:cs="Arial"/>
          <w:color w:val="000000"/>
          <w:sz w:val="22"/>
          <w:szCs w:val="22"/>
        </w:rPr>
        <w:t xml:space="preserve">We will publish an overview of how we are performing when appropriate to active members. Full details will be reported to our Pensions </w:t>
      </w:r>
      <w:r w:rsidR="00D576F8" w:rsidRPr="00227E88">
        <w:rPr>
          <w:rFonts w:ascii="Arial" w:hAnsi="Arial" w:cs="Arial"/>
          <w:color w:val="000000"/>
          <w:sz w:val="22"/>
          <w:szCs w:val="22"/>
        </w:rPr>
        <w:t>Committee</w:t>
      </w:r>
      <w:r w:rsidRPr="00227E88">
        <w:rPr>
          <w:rFonts w:ascii="Arial" w:hAnsi="Arial" w:cs="Arial"/>
          <w:color w:val="000000"/>
          <w:sz w:val="22"/>
          <w:szCs w:val="22"/>
        </w:rPr>
        <w:t>.</w:t>
      </w:r>
    </w:p>
    <w:p w14:paraId="6D163A89" w14:textId="42343F75" w:rsidR="00A71BC4" w:rsidRPr="004C5F3A" w:rsidRDefault="00427FA7" w:rsidP="00A71BC4">
      <w:pPr>
        <w:pStyle w:val="Heading1"/>
        <w:spacing w:before="0" w:after="0"/>
        <w:ind w:right="-138"/>
        <w:rPr>
          <w:rFonts w:ascii="Arial" w:hAnsi="Arial" w:cs="Arial"/>
          <w:color w:val="C00000"/>
          <w:sz w:val="24"/>
          <w:szCs w:val="24"/>
        </w:rPr>
      </w:pPr>
      <w:r w:rsidRPr="00227E88">
        <w:rPr>
          <w:rFonts w:ascii="Arial" w:hAnsi="Arial" w:cs="Arial"/>
          <w:color w:val="000000"/>
        </w:rPr>
        <w:br w:type="page"/>
      </w:r>
      <w:r w:rsidR="00A71BC4" w:rsidRPr="004C5F3A">
        <w:rPr>
          <w:rFonts w:ascii="Arial" w:hAnsi="Arial" w:cs="Arial"/>
          <w:color w:val="C00000"/>
          <w:sz w:val="24"/>
          <w:szCs w:val="24"/>
        </w:rPr>
        <w:t xml:space="preserve">Appendix 6: Fund Actuarial Statement for </w:t>
      </w:r>
      <w:r w:rsidR="00F22964">
        <w:rPr>
          <w:rFonts w:ascii="Arial" w:hAnsi="Arial" w:cs="Arial"/>
          <w:color w:val="C00000"/>
          <w:sz w:val="24"/>
          <w:szCs w:val="24"/>
        </w:rPr>
        <w:t>2020/21</w:t>
      </w:r>
    </w:p>
    <w:p w14:paraId="363EABD5" w14:textId="77777777" w:rsidR="0056040B" w:rsidRDefault="0056040B" w:rsidP="0056040B">
      <w:pPr>
        <w:spacing w:after="17" w:line="259" w:lineRule="auto"/>
      </w:pPr>
      <w:bookmarkStart w:id="34" w:name="_Hlk488156845"/>
    </w:p>
    <w:p w14:paraId="57FCF92F" w14:textId="2FB26BB7" w:rsidR="0056040B" w:rsidRPr="0046586A" w:rsidRDefault="0056040B" w:rsidP="0046586A">
      <w:pPr>
        <w:spacing w:after="19" w:line="259" w:lineRule="auto"/>
        <w:rPr>
          <w:rFonts w:ascii="Arial" w:hAnsi="Arial" w:cs="Arial"/>
          <w:color w:val="0070C0"/>
        </w:rPr>
      </w:pPr>
      <w:r w:rsidRPr="0046586A">
        <w:rPr>
          <w:rFonts w:ascii="Arial" w:eastAsia="Segoe UI" w:hAnsi="Arial" w:cs="Arial"/>
          <w:b/>
          <w:color w:val="0070C0"/>
        </w:rPr>
        <w:t xml:space="preserve">Barnett Waddingham LLP </w:t>
      </w:r>
    </w:p>
    <w:p w14:paraId="05DE75DF" w14:textId="4C4157C9" w:rsidR="0056040B" w:rsidRPr="0046586A" w:rsidRDefault="0056040B" w:rsidP="0046586A">
      <w:pPr>
        <w:spacing w:after="25" w:line="259" w:lineRule="auto"/>
        <w:rPr>
          <w:rFonts w:ascii="Arial" w:hAnsi="Arial" w:cs="Arial"/>
          <w:color w:val="0070C0"/>
        </w:rPr>
      </w:pPr>
      <w:r w:rsidRPr="0046586A">
        <w:rPr>
          <w:rFonts w:ascii="Arial" w:hAnsi="Arial" w:cs="Arial"/>
          <w:color w:val="0070C0"/>
        </w:rPr>
        <w:t xml:space="preserve">20 May 2021 </w:t>
      </w:r>
    </w:p>
    <w:p w14:paraId="425CB212" w14:textId="77777777" w:rsidR="0056040B" w:rsidRPr="0046586A" w:rsidRDefault="0056040B" w:rsidP="0056040B">
      <w:pPr>
        <w:pStyle w:val="Heading1"/>
        <w:ind w:left="-5"/>
        <w:rPr>
          <w:rFonts w:ascii="Arial" w:hAnsi="Arial" w:cs="Arial"/>
          <w:sz w:val="24"/>
          <w:szCs w:val="24"/>
        </w:rPr>
      </w:pPr>
      <w:r w:rsidRPr="0046586A">
        <w:rPr>
          <w:rFonts w:ascii="Arial" w:hAnsi="Arial" w:cs="Arial"/>
          <w:sz w:val="24"/>
          <w:szCs w:val="24"/>
        </w:rPr>
        <w:t xml:space="preserve">Introduction </w:t>
      </w:r>
    </w:p>
    <w:p w14:paraId="79283002" w14:textId="77777777" w:rsidR="0056040B" w:rsidRPr="0046586A" w:rsidRDefault="0056040B" w:rsidP="0056040B">
      <w:pPr>
        <w:spacing w:after="403"/>
        <w:ind w:left="-5"/>
        <w:rPr>
          <w:rFonts w:ascii="Arial" w:hAnsi="Arial" w:cs="Arial"/>
        </w:rPr>
      </w:pPr>
      <w:r w:rsidRPr="0046586A">
        <w:rPr>
          <w:rFonts w:ascii="Arial" w:hAnsi="Arial" w:cs="Arial"/>
        </w:rPr>
        <w:t xml:space="preserve">The last full triennial valuation of the London Borough of Barking and Dagenham Pension Fund (the Fund) was carried out as </w:t>
      </w:r>
      <w:proofErr w:type="gramStart"/>
      <w:r w:rsidRPr="0046586A">
        <w:rPr>
          <w:rFonts w:ascii="Arial" w:hAnsi="Arial" w:cs="Arial"/>
        </w:rPr>
        <w:t>at</w:t>
      </w:r>
      <w:proofErr w:type="gramEnd"/>
      <w:r w:rsidRPr="0046586A">
        <w:rPr>
          <w:rFonts w:ascii="Arial" w:hAnsi="Arial" w:cs="Arial"/>
        </w:rPr>
        <w:t xml:space="preserve"> 31 March 2019 as required under Regulation 62 of the Local Government Pension Scheme Regulations 2013 (the Regulations) and in accordance with the Funding Strategy Statement of the Fund. The results were published in the triennial valuation report dated 31 March 2020. </w:t>
      </w:r>
    </w:p>
    <w:p w14:paraId="15C6A3E8" w14:textId="77777777" w:rsidR="0056040B" w:rsidRPr="0046586A" w:rsidRDefault="0056040B" w:rsidP="0056040B">
      <w:pPr>
        <w:pStyle w:val="Heading1"/>
        <w:ind w:left="-5"/>
        <w:rPr>
          <w:rFonts w:ascii="Arial" w:hAnsi="Arial" w:cs="Arial"/>
          <w:sz w:val="24"/>
          <w:szCs w:val="24"/>
        </w:rPr>
      </w:pPr>
      <w:r w:rsidRPr="0046586A">
        <w:rPr>
          <w:rFonts w:ascii="Arial" w:hAnsi="Arial" w:cs="Arial"/>
          <w:sz w:val="24"/>
          <w:szCs w:val="24"/>
        </w:rPr>
        <w:t xml:space="preserve">Asset value and funding level </w:t>
      </w:r>
    </w:p>
    <w:p w14:paraId="008AB368" w14:textId="77777777" w:rsidR="0056040B" w:rsidRPr="0046586A" w:rsidRDefault="0056040B" w:rsidP="0056040B">
      <w:pPr>
        <w:spacing w:after="222"/>
        <w:ind w:left="-5"/>
        <w:rPr>
          <w:rFonts w:ascii="Arial" w:hAnsi="Arial" w:cs="Arial"/>
        </w:rPr>
      </w:pPr>
      <w:r w:rsidRPr="0046586A">
        <w:rPr>
          <w:rFonts w:ascii="Arial" w:hAnsi="Arial" w:cs="Arial"/>
        </w:rPr>
        <w:t xml:space="preserve">The results for the Fund </w:t>
      </w:r>
      <w:proofErr w:type="gramStart"/>
      <w:r w:rsidRPr="0046586A">
        <w:rPr>
          <w:rFonts w:ascii="Arial" w:hAnsi="Arial" w:cs="Arial"/>
        </w:rPr>
        <w:t>at</w:t>
      </w:r>
      <w:proofErr w:type="gramEnd"/>
      <w:r w:rsidRPr="0046586A">
        <w:rPr>
          <w:rFonts w:ascii="Arial" w:hAnsi="Arial" w:cs="Arial"/>
        </w:rPr>
        <w:t xml:space="preserve"> 31 March 2019 were as follows: </w:t>
      </w:r>
    </w:p>
    <w:p w14:paraId="64115221" w14:textId="77777777" w:rsidR="0056040B" w:rsidRPr="0046586A" w:rsidRDefault="0056040B" w:rsidP="007337FE">
      <w:pPr>
        <w:numPr>
          <w:ilvl w:val="0"/>
          <w:numId w:val="101"/>
        </w:numPr>
        <w:spacing w:after="61" w:line="249" w:lineRule="auto"/>
        <w:ind w:hanging="360"/>
        <w:rPr>
          <w:rFonts w:ascii="Arial" w:hAnsi="Arial" w:cs="Arial"/>
        </w:rPr>
      </w:pPr>
      <w:r w:rsidRPr="0046586A">
        <w:rPr>
          <w:rFonts w:ascii="Arial" w:hAnsi="Arial" w:cs="Arial"/>
        </w:rPr>
        <w:t xml:space="preserve">The market value of the Fund’s assets as </w:t>
      </w:r>
      <w:proofErr w:type="gramStart"/>
      <w:r w:rsidRPr="0046586A">
        <w:rPr>
          <w:rFonts w:ascii="Arial" w:hAnsi="Arial" w:cs="Arial"/>
        </w:rPr>
        <w:t>at</w:t>
      </w:r>
      <w:proofErr w:type="gramEnd"/>
      <w:r w:rsidRPr="0046586A">
        <w:rPr>
          <w:rFonts w:ascii="Arial" w:hAnsi="Arial" w:cs="Arial"/>
        </w:rPr>
        <w:t xml:space="preserve"> 31 March 2019 was £1,022m. </w:t>
      </w:r>
    </w:p>
    <w:p w14:paraId="0788A26C" w14:textId="77777777" w:rsidR="0056040B" w:rsidRPr="0046586A" w:rsidRDefault="0056040B" w:rsidP="007337FE">
      <w:pPr>
        <w:numPr>
          <w:ilvl w:val="0"/>
          <w:numId w:val="101"/>
        </w:numPr>
        <w:spacing w:after="433" w:line="249" w:lineRule="auto"/>
        <w:ind w:hanging="360"/>
        <w:rPr>
          <w:rFonts w:ascii="Arial" w:hAnsi="Arial" w:cs="Arial"/>
        </w:rPr>
      </w:pPr>
      <w:r w:rsidRPr="0046586A">
        <w:rPr>
          <w:rFonts w:ascii="Arial" w:hAnsi="Arial" w:cs="Arial"/>
        </w:rPr>
        <w:t xml:space="preserve">The Fund had a funding level of 90% </w:t>
      </w:r>
      <w:proofErr w:type="gramStart"/>
      <w:r w:rsidRPr="0046586A">
        <w:rPr>
          <w:rFonts w:ascii="Arial" w:hAnsi="Arial" w:cs="Arial"/>
        </w:rPr>
        <w:t>i.e.</w:t>
      </w:r>
      <w:proofErr w:type="gramEnd"/>
      <w:r w:rsidRPr="0046586A">
        <w:rPr>
          <w:rFonts w:ascii="Arial" w:hAnsi="Arial" w:cs="Arial"/>
        </w:rPr>
        <w:t xml:space="preserve"> the value of assets for valuation purposes was 90% of the value that they would have needed to be to pay for the benefits accrued to that date, based on the assumptions used. This corresponded to a deficit of £119m. </w:t>
      </w:r>
    </w:p>
    <w:p w14:paraId="1FCBAD6D" w14:textId="77777777" w:rsidR="0056040B" w:rsidRPr="0046586A" w:rsidRDefault="0056040B" w:rsidP="0056040B">
      <w:pPr>
        <w:pStyle w:val="Heading1"/>
        <w:ind w:left="-5"/>
        <w:rPr>
          <w:rFonts w:ascii="Arial" w:hAnsi="Arial" w:cs="Arial"/>
          <w:sz w:val="24"/>
          <w:szCs w:val="24"/>
        </w:rPr>
      </w:pPr>
      <w:r w:rsidRPr="0046586A">
        <w:rPr>
          <w:rFonts w:ascii="Arial" w:hAnsi="Arial" w:cs="Arial"/>
          <w:sz w:val="24"/>
          <w:szCs w:val="24"/>
        </w:rPr>
        <w:t xml:space="preserve">Contribution rates </w:t>
      </w:r>
    </w:p>
    <w:p w14:paraId="63C8FE2B" w14:textId="77777777" w:rsidR="0056040B" w:rsidRPr="0046586A" w:rsidRDefault="0056040B" w:rsidP="0056040B">
      <w:pPr>
        <w:spacing w:after="224"/>
        <w:ind w:left="-5"/>
        <w:rPr>
          <w:rFonts w:ascii="Arial" w:hAnsi="Arial" w:cs="Arial"/>
        </w:rPr>
      </w:pPr>
      <w:r w:rsidRPr="0046586A">
        <w:rPr>
          <w:rFonts w:ascii="Arial" w:hAnsi="Arial" w:cs="Arial"/>
        </w:rPr>
        <w:t xml:space="preserve">The employer contributions rates, in addition to those paid by the members of the Fund, are set to be sufficient to meet: </w:t>
      </w:r>
    </w:p>
    <w:p w14:paraId="30CBB414" w14:textId="77777777" w:rsidR="0056040B" w:rsidRPr="0046586A" w:rsidRDefault="0056040B" w:rsidP="007337FE">
      <w:pPr>
        <w:numPr>
          <w:ilvl w:val="0"/>
          <w:numId w:val="102"/>
        </w:numPr>
        <w:spacing w:after="59" w:line="249" w:lineRule="auto"/>
        <w:ind w:hanging="360"/>
        <w:rPr>
          <w:rFonts w:ascii="Arial" w:hAnsi="Arial" w:cs="Arial"/>
        </w:rPr>
      </w:pPr>
      <w:r w:rsidRPr="0046586A">
        <w:rPr>
          <w:rFonts w:ascii="Arial" w:hAnsi="Arial" w:cs="Arial"/>
        </w:rPr>
        <w:t xml:space="preserve">the annual accrual of benefits allowing for future pay increases and increases to pensions in payment when these fall </w:t>
      </w:r>
      <w:proofErr w:type="gramStart"/>
      <w:r w:rsidRPr="0046586A">
        <w:rPr>
          <w:rFonts w:ascii="Arial" w:hAnsi="Arial" w:cs="Arial"/>
        </w:rPr>
        <w:t>due;</w:t>
      </w:r>
      <w:proofErr w:type="gramEnd"/>
      <w:r w:rsidRPr="0046586A">
        <w:rPr>
          <w:rFonts w:ascii="Arial" w:hAnsi="Arial" w:cs="Arial"/>
        </w:rPr>
        <w:t xml:space="preserve"> </w:t>
      </w:r>
    </w:p>
    <w:p w14:paraId="11C831CB" w14:textId="77777777" w:rsidR="0056040B" w:rsidRPr="0046586A" w:rsidRDefault="0056040B" w:rsidP="007337FE">
      <w:pPr>
        <w:numPr>
          <w:ilvl w:val="0"/>
          <w:numId w:val="102"/>
        </w:numPr>
        <w:spacing w:after="222" w:line="249" w:lineRule="auto"/>
        <w:ind w:hanging="360"/>
        <w:rPr>
          <w:rFonts w:ascii="Arial" w:hAnsi="Arial" w:cs="Arial"/>
        </w:rPr>
      </w:pPr>
      <w:proofErr w:type="gramStart"/>
      <w:r w:rsidRPr="0046586A">
        <w:rPr>
          <w:rFonts w:ascii="Arial" w:hAnsi="Arial" w:cs="Arial"/>
        </w:rPr>
        <w:t>plus</w:t>
      </w:r>
      <w:proofErr w:type="gramEnd"/>
      <w:r w:rsidRPr="0046586A">
        <w:rPr>
          <w:rFonts w:ascii="Arial" w:hAnsi="Arial" w:cs="Arial"/>
        </w:rPr>
        <w:t xml:space="preserve"> an amount to reflect each participating employer’s notional share of the Fund’s assets compared with 100% of their liabilities in the Fund, in respect of service to the valuation date. </w:t>
      </w:r>
    </w:p>
    <w:p w14:paraId="482AFA02" w14:textId="77777777" w:rsidR="0056040B" w:rsidRPr="0046586A" w:rsidRDefault="0056040B" w:rsidP="0056040B">
      <w:pPr>
        <w:ind w:left="-5"/>
        <w:rPr>
          <w:rFonts w:ascii="Arial" w:hAnsi="Arial" w:cs="Arial"/>
        </w:rPr>
      </w:pPr>
      <w:r w:rsidRPr="0046586A">
        <w:rPr>
          <w:rFonts w:ascii="Arial" w:hAnsi="Arial" w:cs="Arial"/>
        </w:rPr>
        <w:t xml:space="preserve">The primary rate of contribution on a whole Fund level was 19.8% of payroll p.a.  The primary rate as defined by Regulation 62(5) is the employer’s share of the cost of benefits accruing in each of the three years beginning 1 April 2020.   </w:t>
      </w:r>
    </w:p>
    <w:p w14:paraId="33C60095" w14:textId="77777777" w:rsidR="0056040B" w:rsidRPr="0046586A" w:rsidRDefault="0056040B" w:rsidP="0056040B">
      <w:pPr>
        <w:ind w:left="-5"/>
        <w:rPr>
          <w:rFonts w:ascii="Arial" w:hAnsi="Arial" w:cs="Arial"/>
        </w:rPr>
      </w:pPr>
      <w:r w:rsidRPr="0046586A">
        <w:rPr>
          <w:rFonts w:ascii="Arial" w:hAnsi="Arial" w:cs="Arial"/>
        </w:rPr>
        <w:t xml:space="preserve">In </w:t>
      </w:r>
      <w:proofErr w:type="gramStart"/>
      <w:r w:rsidRPr="0046586A">
        <w:rPr>
          <w:rFonts w:ascii="Arial" w:hAnsi="Arial" w:cs="Arial"/>
        </w:rPr>
        <w:t>addition</w:t>
      </w:r>
      <w:proofErr w:type="gramEnd"/>
      <w:r w:rsidRPr="0046586A">
        <w:rPr>
          <w:rFonts w:ascii="Arial" w:hAnsi="Arial" w:cs="Arial"/>
        </w:rPr>
        <w:t xml:space="preserve"> each employer pays a secondary contribution as required under Regulation 62(7) that when combined with the primary rate results in the minimum total contributions.  This secondary rate is based on their </w:t>
      </w:r>
      <w:proofErr w:type="gramStart"/>
      <w:r w:rsidRPr="0046586A">
        <w:rPr>
          <w:rFonts w:ascii="Arial" w:hAnsi="Arial" w:cs="Arial"/>
        </w:rPr>
        <w:t>particular circumstances</w:t>
      </w:r>
      <w:proofErr w:type="gramEnd"/>
      <w:r w:rsidRPr="0046586A">
        <w:rPr>
          <w:rFonts w:ascii="Arial" w:hAnsi="Arial" w:cs="Arial"/>
        </w:rPr>
        <w:t xml:space="preserve"> and so individual adjustments are made for each employer. </w:t>
      </w:r>
    </w:p>
    <w:p w14:paraId="4E113682" w14:textId="77777777" w:rsidR="0056040B" w:rsidRPr="0046586A" w:rsidRDefault="0056040B" w:rsidP="0056040B">
      <w:pPr>
        <w:ind w:left="-5"/>
        <w:rPr>
          <w:rFonts w:ascii="Arial" w:hAnsi="Arial" w:cs="Arial"/>
        </w:rPr>
      </w:pPr>
      <w:r w:rsidRPr="0046586A">
        <w:rPr>
          <w:rFonts w:ascii="Arial" w:hAnsi="Arial" w:cs="Arial"/>
        </w:rPr>
        <w:t xml:space="preserve">Details of each employer’s contribution rate are contained in the Rates and Adjustments Certificate in the triennial valuation report. </w:t>
      </w:r>
    </w:p>
    <w:p w14:paraId="05650607" w14:textId="77777777" w:rsidR="0056040B" w:rsidRPr="0046586A" w:rsidRDefault="0056040B" w:rsidP="0056040B">
      <w:pPr>
        <w:pStyle w:val="Heading1"/>
        <w:ind w:left="-5"/>
        <w:rPr>
          <w:rFonts w:ascii="Arial" w:hAnsi="Arial" w:cs="Arial"/>
          <w:sz w:val="24"/>
          <w:szCs w:val="24"/>
        </w:rPr>
      </w:pPr>
      <w:r w:rsidRPr="0046586A">
        <w:rPr>
          <w:rFonts w:ascii="Arial" w:hAnsi="Arial" w:cs="Arial"/>
          <w:sz w:val="24"/>
          <w:szCs w:val="24"/>
        </w:rPr>
        <w:t xml:space="preserve">Assumptions </w:t>
      </w:r>
    </w:p>
    <w:p w14:paraId="0FA4E422" w14:textId="77777777" w:rsidR="0056040B" w:rsidRPr="0046586A" w:rsidRDefault="0056040B" w:rsidP="0056040B">
      <w:pPr>
        <w:spacing w:after="8"/>
        <w:ind w:left="-5"/>
        <w:rPr>
          <w:rFonts w:ascii="Arial" w:hAnsi="Arial" w:cs="Arial"/>
        </w:rPr>
      </w:pPr>
      <w:r w:rsidRPr="0046586A">
        <w:rPr>
          <w:rFonts w:ascii="Arial" w:hAnsi="Arial" w:cs="Arial"/>
        </w:rPr>
        <w:t xml:space="preserve">The key assumptions used to value the liabilities </w:t>
      </w:r>
      <w:proofErr w:type="gramStart"/>
      <w:r w:rsidRPr="0046586A">
        <w:rPr>
          <w:rFonts w:ascii="Arial" w:hAnsi="Arial" w:cs="Arial"/>
        </w:rPr>
        <w:t>at</w:t>
      </w:r>
      <w:proofErr w:type="gramEnd"/>
      <w:r w:rsidRPr="0046586A">
        <w:rPr>
          <w:rFonts w:ascii="Arial" w:hAnsi="Arial" w:cs="Arial"/>
        </w:rPr>
        <w:t xml:space="preserve"> 31 March 2019 are summarised below: </w:t>
      </w:r>
    </w:p>
    <w:tbl>
      <w:tblPr>
        <w:tblStyle w:val="TableGrid0"/>
        <w:tblW w:w="9294" w:type="dxa"/>
        <w:tblInd w:w="0" w:type="dxa"/>
        <w:tblLayout w:type="fixed"/>
        <w:tblCellMar>
          <w:top w:w="6" w:type="dxa"/>
          <w:right w:w="115" w:type="dxa"/>
        </w:tblCellMar>
        <w:tblLook w:val="04A0" w:firstRow="1" w:lastRow="0" w:firstColumn="1" w:lastColumn="0" w:noHBand="0" w:noVBand="1"/>
      </w:tblPr>
      <w:tblGrid>
        <w:gridCol w:w="3198"/>
        <w:gridCol w:w="1465"/>
        <w:gridCol w:w="4631"/>
      </w:tblGrid>
      <w:tr w:rsidR="0056040B" w:rsidRPr="0046586A" w14:paraId="11EF9713" w14:textId="77777777" w:rsidTr="0046586A">
        <w:trPr>
          <w:trHeight w:val="307"/>
        </w:trPr>
        <w:tc>
          <w:tcPr>
            <w:tcW w:w="3198" w:type="dxa"/>
            <w:tcBorders>
              <w:top w:val="single" w:sz="4" w:space="0" w:color="41C0F0"/>
              <w:left w:val="nil"/>
              <w:bottom w:val="single" w:sz="4" w:space="0" w:color="41C0F0"/>
              <w:right w:val="nil"/>
            </w:tcBorders>
            <w:vAlign w:val="center"/>
          </w:tcPr>
          <w:p w14:paraId="43D0988F" w14:textId="77777777" w:rsidR="0056040B" w:rsidRPr="0046586A" w:rsidRDefault="0056040B" w:rsidP="00A660AD">
            <w:pPr>
              <w:spacing w:line="259" w:lineRule="auto"/>
              <w:ind w:left="108"/>
              <w:rPr>
                <w:rFonts w:ascii="Arial" w:hAnsi="Arial" w:cs="Arial"/>
              </w:rPr>
            </w:pPr>
            <w:r w:rsidRPr="0046586A">
              <w:rPr>
                <w:rFonts w:ascii="Arial" w:hAnsi="Arial" w:cs="Arial"/>
                <w:color w:val="41C0F0"/>
              </w:rPr>
              <w:t xml:space="preserve">Assumptions </w:t>
            </w:r>
          </w:p>
        </w:tc>
        <w:tc>
          <w:tcPr>
            <w:tcW w:w="1464" w:type="dxa"/>
            <w:tcBorders>
              <w:top w:val="single" w:sz="4" w:space="0" w:color="41C0F0"/>
              <w:left w:val="nil"/>
              <w:bottom w:val="single" w:sz="4" w:space="0" w:color="41C0F0"/>
              <w:right w:val="nil"/>
            </w:tcBorders>
          </w:tcPr>
          <w:p w14:paraId="3479863C" w14:textId="77777777" w:rsidR="0056040B" w:rsidRPr="0046586A" w:rsidRDefault="0056040B" w:rsidP="00A660AD">
            <w:pPr>
              <w:spacing w:after="160" w:line="259" w:lineRule="auto"/>
              <w:rPr>
                <w:rFonts w:ascii="Arial" w:hAnsi="Arial" w:cs="Arial"/>
              </w:rPr>
            </w:pPr>
          </w:p>
        </w:tc>
        <w:tc>
          <w:tcPr>
            <w:tcW w:w="4631" w:type="dxa"/>
            <w:tcBorders>
              <w:top w:val="single" w:sz="4" w:space="0" w:color="41C0F0"/>
              <w:left w:val="nil"/>
              <w:bottom w:val="single" w:sz="4" w:space="0" w:color="41C0F0"/>
              <w:right w:val="nil"/>
            </w:tcBorders>
            <w:vAlign w:val="center"/>
          </w:tcPr>
          <w:p w14:paraId="351F6EEF" w14:textId="77777777" w:rsidR="0056040B" w:rsidRPr="0046586A" w:rsidRDefault="0056040B" w:rsidP="00A660AD">
            <w:pPr>
              <w:spacing w:line="259" w:lineRule="auto"/>
              <w:rPr>
                <w:rFonts w:ascii="Arial" w:hAnsi="Arial" w:cs="Arial"/>
              </w:rPr>
            </w:pPr>
            <w:r w:rsidRPr="0046586A">
              <w:rPr>
                <w:rFonts w:ascii="Arial" w:hAnsi="Arial" w:cs="Arial"/>
                <w:color w:val="41C0F0"/>
              </w:rPr>
              <w:t xml:space="preserve">Assumptions used for the 2019 valuation </w:t>
            </w:r>
          </w:p>
        </w:tc>
      </w:tr>
      <w:tr w:rsidR="0056040B" w:rsidRPr="0046586A" w14:paraId="386F3042" w14:textId="77777777" w:rsidTr="0046586A">
        <w:trPr>
          <w:trHeight w:val="115"/>
        </w:trPr>
        <w:tc>
          <w:tcPr>
            <w:tcW w:w="3198" w:type="dxa"/>
            <w:tcBorders>
              <w:top w:val="single" w:sz="4" w:space="0" w:color="41C0F0"/>
              <w:left w:val="nil"/>
              <w:bottom w:val="single" w:sz="8" w:space="0" w:color="BFBFBF"/>
              <w:right w:val="nil"/>
            </w:tcBorders>
          </w:tcPr>
          <w:p w14:paraId="2F837BFC" w14:textId="77777777" w:rsidR="0056040B" w:rsidRPr="0046586A" w:rsidRDefault="0056040B" w:rsidP="00A660AD">
            <w:pPr>
              <w:spacing w:line="259" w:lineRule="auto"/>
              <w:ind w:left="108"/>
              <w:rPr>
                <w:rFonts w:ascii="Arial" w:hAnsi="Arial" w:cs="Arial"/>
              </w:rPr>
            </w:pPr>
            <w:r w:rsidRPr="0046586A">
              <w:rPr>
                <w:rFonts w:ascii="Arial" w:hAnsi="Arial" w:cs="Arial"/>
                <w:color w:val="A6A6A6"/>
              </w:rPr>
              <w:t xml:space="preserve">Financial assumptions </w:t>
            </w:r>
          </w:p>
        </w:tc>
        <w:tc>
          <w:tcPr>
            <w:tcW w:w="1464" w:type="dxa"/>
            <w:tcBorders>
              <w:top w:val="single" w:sz="4" w:space="0" w:color="41C0F0"/>
              <w:left w:val="nil"/>
              <w:bottom w:val="single" w:sz="8" w:space="0" w:color="BFBFBF"/>
              <w:right w:val="nil"/>
            </w:tcBorders>
          </w:tcPr>
          <w:p w14:paraId="62384258" w14:textId="77777777" w:rsidR="0056040B" w:rsidRPr="0046586A" w:rsidRDefault="0056040B" w:rsidP="00A660AD">
            <w:pPr>
              <w:spacing w:line="259" w:lineRule="auto"/>
              <w:ind w:left="355"/>
              <w:jc w:val="center"/>
              <w:rPr>
                <w:rFonts w:ascii="Arial" w:hAnsi="Arial" w:cs="Arial"/>
              </w:rPr>
            </w:pPr>
            <w:r w:rsidRPr="0046586A">
              <w:rPr>
                <w:rFonts w:ascii="Arial" w:hAnsi="Arial" w:cs="Arial"/>
                <w:color w:val="A6A6A6"/>
              </w:rPr>
              <w:t xml:space="preserve"> </w:t>
            </w:r>
          </w:p>
        </w:tc>
        <w:tc>
          <w:tcPr>
            <w:tcW w:w="4631" w:type="dxa"/>
            <w:tcBorders>
              <w:top w:val="single" w:sz="4" w:space="0" w:color="41C0F0"/>
              <w:left w:val="nil"/>
              <w:bottom w:val="single" w:sz="8" w:space="0" w:color="BFBFBF"/>
              <w:right w:val="nil"/>
            </w:tcBorders>
          </w:tcPr>
          <w:p w14:paraId="235614F8" w14:textId="77777777" w:rsidR="0056040B" w:rsidRPr="0046586A" w:rsidRDefault="0056040B" w:rsidP="00A660AD">
            <w:pPr>
              <w:spacing w:after="160" w:line="259" w:lineRule="auto"/>
              <w:rPr>
                <w:rFonts w:ascii="Arial" w:hAnsi="Arial" w:cs="Arial"/>
              </w:rPr>
            </w:pPr>
          </w:p>
        </w:tc>
      </w:tr>
      <w:tr w:rsidR="0056040B" w:rsidRPr="0046586A" w14:paraId="27F55938" w14:textId="77777777" w:rsidTr="0046586A">
        <w:trPr>
          <w:trHeight w:val="118"/>
        </w:trPr>
        <w:tc>
          <w:tcPr>
            <w:tcW w:w="3198" w:type="dxa"/>
            <w:tcBorders>
              <w:top w:val="single" w:sz="8" w:space="0" w:color="BFBFBF"/>
              <w:left w:val="nil"/>
              <w:bottom w:val="single" w:sz="8" w:space="0" w:color="BFBFBF"/>
              <w:right w:val="nil"/>
            </w:tcBorders>
          </w:tcPr>
          <w:p w14:paraId="1C9B165E" w14:textId="77777777" w:rsidR="0056040B" w:rsidRPr="0046586A" w:rsidRDefault="0056040B" w:rsidP="00A660AD">
            <w:pPr>
              <w:spacing w:line="259" w:lineRule="auto"/>
              <w:ind w:left="108"/>
              <w:rPr>
                <w:rFonts w:ascii="Arial" w:hAnsi="Arial" w:cs="Arial"/>
              </w:rPr>
            </w:pPr>
            <w:r w:rsidRPr="0046586A">
              <w:rPr>
                <w:rFonts w:ascii="Arial" w:hAnsi="Arial" w:cs="Arial"/>
              </w:rPr>
              <w:t xml:space="preserve">Market date </w:t>
            </w:r>
          </w:p>
        </w:tc>
        <w:tc>
          <w:tcPr>
            <w:tcW w:w="1464" w:type="dxa"/>
            <w:tcBorders>
              <w:top w:val="single" w:sz="8" w:space="0" w:color="BFBFBF"/>
              <w:left w:val="nil"/>
              <w:bottom w:val="single" w:sz="8" w:space="0" w:color="BFBFBF"/>
              <w:right w:val="nil"/>
            </w:tcBorders>
          </w:tcPr>
          <w:p w14:paraId="04B5C515" w14:textId="77777777" w:rsidR="0056040B" w:rsidRPr="0046586A" w:rsidRDefault="0056040B" w:rsidP="00A660AD">
            <w:pPr>
              <w:spacing w:after="160" w:line="259" w:lineRule="auto"/>
              <w:rPr>
                <w:rFonts w:ascii="Arial" w:hAnsi="Arial" w:cs="Arial"/>
              </w:rPr>
            </w:pPr>
          </w:p>
        </w:tc>
        <w:tc>
          <w:tcPr>
            <w:tcW w:w="4631" w:type="dxa"/>
            <w:tcBorders>
              <w:top w:val="single" w:sz="8" w:space="0" w:color="BFBFBF"/>
              <w:left w:val="nil"/>
              <w:bottom w:val="single" w:sz="8" w:space="0" w:color="BFBFBF"/>
              <w:right w:val="nil"/>
            </w:tcBorders>
          </w:tcPr>
          <w:p w14:paraId="4C565B32" w14:textId="77777777" w:rsidR="0056040B" w:rsidRPr="0046586A" w:rsidRDefault="0056040B" w:rsidP="00A660AD">
            <w:pPr>
              <w:spacing w:line="259" w:lineRule="auto"/>
              <w:ind w:left="1145"/>
              <w:rPr>
                <w:rFonts w:ascii="Arial" w:hAnsi="Arial" w:cs="Arial"/>
              </w:rPr>
            </w:pPr>
            <w:r w:rsidRPr="0046586A">
              <w:rPr>
                <w:rFonts w:ascii="Arial" w:hAnsi="Arial" w:cs="Arial"/>
              </w:rPr>
              <w:t xml:space="preserve">31 March 2019 </w:t>
            </w:r>
          </w:p>
        </w:tc>
      </w:tr>
      <w:tr w:rsidR="0056040B" w:rsidRPr="0046586A" w14:paraId="3124019F" w14:textId="77777777" w:rsidTr="0046586A">
        <w:trPr>
          <w:trHeight w:val="117"/>
        </w:trPr>
        <w:tc>
          <w:tcPr>
            <w:tcW w:w="3198" w:type="dxa"/>
            <w:tcBorders>
              <w:top w:val="single" w:sz="8" w:space="0" w:color="BFBFBF"/>
              <w:left w:val="nil"/>
              <w:bottom w:val="single" w:sz="8" w:space="0" w:color="BFBFBF"/>
              <w:right w:val="nil"/>
            </w:tcBorders>
          </w:tcPr>
          <w:p w14:paraId="0A6C7AD6" w14:textId="77777777" w:rsidR="0056040B" w:rsidRPr="0046586A" w:rsidRDefault="0056040B" w:rsidP="00A660AD">
            <w:pPr>
              <w:spacing w:line="259" w:lineRule="auto"/>
              <w:ind w:left="108"/>
              <w:rPr>
                <w:rFonts w:ascii="Arial" w:hAnsi="Arial" w:cs="Arial"/>
              </w:rPr>
            </w:pPr>
            <w:r w:rsidRPr="0046586A">
              <w:rPr>
                <w:rFonts w:ascii="Arial" w:hAnsi="Arial" w:cs="Arial"/>
              </w:rPr>
              <w:t xml:space="preserve">CPI inflation </w:t>
            </w:r>
          </w:p>
        </w:tc>
        <w:tc>
          <w:tcPr>
            <w:tcW w:w="1464" w:type="dxa"/>
            <w:tcBorders>
              <w:top w:val="single" w:sz="8" w:space="0" w:color="BFBFBF"/>
              <w:left w:val="nil"/>
              <w:bottom w:val="single" w:sz="8" w:space="0" w:color="BFBFBF"/>
              <w:right w:val="nil"/>
            </w:tcBorders>
          </w:tcPr>
          <w:p w14:paraId="7EB10DC6" w14:textId="77777777" w:rsidR="0056040B" w:rsidRPr="0046586A" w:rsidRDefault="0056040B" w:rsidP="00A660AD">
            <w:pPr>
              <w:spacing w:after="160" w:line="259" w:lineRule="auto"/>
              <w:rPr>
                <w:rFonts w:ascii="Arial" w:hAnsi="Arial" w:cs="Arial"/>
              </w:rPr>
            </w:pPr>
          </w:p>
        </w:tc>
        <w:tc>
          <w:tcPr>
            <w:tcW w:w="4631" w:type="dxa"/>
            <w:tcBorders>
              <w:top w:val="single" w:sz="8" w:space="0" w:color="BFBFBF"/>
              <w:left w:val="nil"/>
              <w:bottom w:val="single" w:sz="8" w:space="0" w:color="BFBFBF"/>
              <w:right w:val="nil"/>
            </w:tcBorders>
          </w:tcPr>
          <w:p w14:paraId="696A614F" w14:textId="77777777" w:rsidR="0056040B" w:rsidRPr="0046586A" w:rsidRDefault="0056040B" w:rsidP="00A660AD">
            <w:pPr>
              <w:spacing w:line="259" w:lineRule="auto"/>
              <w:ind w:left="1409"/>
              <w:rPr>
                <w:rFonts w:ascii="Arial" w:hAnsi="Arial" w:cs="Arial"/>
              </w:rPr>
            </w:pPr>
            <w:r w:rsidRPr="0046586A">
              <w:rPr>
                <w:rFonts w:ascii="Arial" w:hAnsi="Arial" w:cs="Arial"/>
              </w:rPr>
              <w:t xml:space="preserve">2.3% p.a. </w:t>
            </w:r>
          </w:p>
        </w:tc>
      </w:tr>
      <w:tr w:rsidR="0056040B" w:rsidRPr="0046586A" w14:paraId="09DD3942" w14:textId="77777777" w:rsidTr="0046586A">
        <w:trPr>
          <w:trHeight w:val="112"/>
        </w:trPr>
        <w:tc>
          <w:tcPr>
            <w:tcW w:w="3198" w:type="dxa"/>
            <w:tcBorders>
              <w:top w:val="single" w:sz="8" w:space="0" w:color="BFBFBF"/>
              <w:left w:val="nil"/>
              <w:bottom w:val="single" w:sz="8" w:space="0" w:color="BFBFBF"/>
              <w:right w:val="nil"/>
            </w:tcBorders>
          </w:tcPr>
          <w:p w14:paraId="4D5EF625" w14:textId="77777777" w:rsidR="0056040B" w:rsidRPr="0046586A" w:rsidRDefault="0056040B" w:rsidP="00A660AD">
            <w:pPr>
              <w:spacing w:line="259" w:lineRule="auto"/>
              <w:ind w:left="108"/>
              <w:rPr>
                <w:rFonts w:ascii="Arial" w:hAnsi="Arial" w:cs="Arial"/>
              </w:rPr>
            </w:pPr>
            <w:r w:rsidRPr="0046586A">
              <w:rPr>
                <w:rFonts w:ascii="Arial" w:hAnsi="Arial" w:cs="Arial"/>
              </w:rPr>
              <w:t xml:space="preserve">Long-term salary increases </w:t>
            </w:r>
          </w:p>
        </w:tc>
        <w:tc>
          <w:tcPr>
            <w:tcW w:w="1464" w:type="dxa"/>
            <w:tcBorders>
              <w:top w:val="single" w:sz="8" w:space="0" w:color="BFBFBF"/>
              <w:left w:val="nil"/>
              <w:bottom w:val="single" w:sz="8" w:space="0" w:color="BFBFBF"/>
              <w:right w:val="nil"/>
            </w:tcBorders>
          </w:tcPr>
          <w:p w14:paraId="4F15CAEC" w14:textId="77777777" w:rsidR="0056040B" w:rsidRPr="0046586A" w:rsidRDefault="0056040B" w:rsidP="00A660AD">
            <w:pPr>
              <w:spacing w:after="160" w:line="259" w:lineRule="auto"/>
              <w:rPr>
                <w:rFonts w:ascii="Arial" w:hAnsi="Arial" w:cs="Arial"/>
              </w:rPr>
            </w:pPr>
          </w:p>
        </w:tc>
        <w:tc>
          <w:tcPr>
            <w:tcW w:w="4631" w:type="dxa"/>
            <w:tcBorders>
              <w:top w:val="single" w:sz="8" w:space="0" w:color="BFBFBF"/>
              <w:left w:val="nil"/>
              <w:bottom w:val="single" w:sz="8" w:space="0" w:color="BFBFBF"/>
              <w:right w:val="nil"/>
            </w:tcBorders>
          </w:tcPr>
          <w:p w14:paraId="1216A5A4" w14:textId="77777777" w:rsidR="0056040B" w:rsidRPr="0046586A" w:rsidRDefault="0056040B" w:rsidP="00A660AD">
            <w:pPr>
              <w:spacing w:line="259" w:lineRule="auto"/>
              <w:ind w:left="1409"/>
              <w:rPr>
                <w:rFonts w:ascii="Arial" w:hAnsi="Arial" w:cs="Arial"/>
              </w:rPr>
            </w:pPr>
            <w:r w:rsidRPr="0046586A">
              <w:rPr>
                <w:rFonts w:ascii="Arial" w:hAnsi="Arial" w:cs="Arial"/>
              </w:rPr>
              <w:t xml:space="preserve">3.0% p.a. </w:t>
            </w:r>
          </w:p>
        </w:tc>
      </w:tr>
      <w:tr w:rsidR="0056040B" w:rsidRPr="0046586A" w14:paraId="724A2A07" w14:textId="77777777" w:rsidTr="0046586A">
        <w:trPr>
          <w:trHeight w:val="117"/>
        </w:trPr>
        <w:tc>
          <w:tcPr>
            <w:tcW w:w="3198" w:type="dxa"/>
            <w:tcBorders>
              <w:top w:val="single" w:sz="8" w:space="0" w:color="BFBFBF"/>
              <w:left w:val="nil"/>
              <w:bottom w:val="single" w:sz="8" w:space="0" w:color="BFBFBF"/>
              <w:right w:val="nil"/>
            </w:tcBorders>
          </w:tcPr>
          <w:p w14:paraId="06EA40B1" w14:textId="77777777" w:rsidR="0056040B" w:rsidRPr="0046586A" w:rsidRDefault="0056040B" w:rsidP="00A660AD">
            <w:pPr>
              <w:spacing w:line="259" w:lineRule="auto"/>
              <w:ind w:left="108"/>
              <w:rPr>
                <w:rFonts w:ascii="Arial" w:hAnsi="Arial" w:cs="Arial"/>
              </w:rPr>
            </w:pPr>
            <w:r w:rsidRPr="0046586A">
              <w:rPr>
                <w:rFonts w:ascii="Arial" w:hAnsi="Arial" w:cs="Arial"/>
              </w:rPr>
              <w:t xml:space="preserve">Discount rate </w:t>
            </w:r>
          </w:p>
        </w:tc>
        <w:tc>
          <w:tcPr>
            <w:tcW w:w="1464" w:type="dxa"/>
            <w:tcBorders>
              <w:top w:val="single" w:sz="8" w:space="0" w:color="BFBFBF"/>
              <w:left w:val="nil"/>
              <w:bottom w:val="single" w:sz="8" w:space="0" w:color="BFBFBF"/>
              <w:right w:val="nil"/>
            </w:tcBorders>
          </w:tcPr>
          <w:p w14:paraId="63C0841D" w14:textId="77777777" w:rsidR="0056040B" w:rsidRPr="0046586A" w:rsidRDefault="0056040B" w:rsidP="00A660AD">
            <w:pPr>
              <w:spacing w:after="160" w:line="259" w:lineRule="auto"/>
              <w:rPr>
                <w:rFonts w:ascii="Arial" w:hAnsi="Arial" w:cs="Arial"/>
              </w:rPr>
            </w:pPr>
          </w:p>
        </w:tc>
        <w:tc>
          <w:tcPr>
            <w:tcW w:w="4631" w:type="dxa"/>
            <w:tcBorders>
              <w:top w:val="single" w:sz="8" w:space="0" w:color="BFBFBF"/>
              <w:left w:val="nil"/>
              <w:bottom w:val="single" w:sz="8" w:space="0" w:color="BFBFBF"/>
              <w:right w:val="nil"/>
            </w:tcBorders>
          </w:tcPr>
          <w:p w14:paraId="6B99471E" w14:textId="77777777" w:rsidR="0056040B" w:rsidRPr="0046586A" w:rsidRDefault="0056040B" w:rsidP="00A660AD">
            <w:pPr>
              <w:spacing w:line="259" w:lineRule="auto"/>
              <w:ind w:left="1409"/>
              <w:rPr>
                <w:rFonts w:ascii="Arial" w:hAnsi="Arial" w:cs="Arial"/>
              </w:rPr>
            </w:pPr>
            <w:r w:rsidRPr="0046586A">
              <w:rPr>
                <w:rFonts w:ascii="Arial" w:hAnsi="Arial" w:cs="Arial"/>
              </w:rPr>
              <w:t xml:space="preserve">4.0% p.a. </w:t>
            </w:r>
          </w:p>
        </w:tc>
      </w:tr>
      <w:tr w:rsidR="0056040B" w:rsidRPr="0046586A" w14:paraId="6FB5EC16" w14:textId="77777777" w:rsidTr="0046586A">
        <w:trPr>
          <w:trHeight w:val="118"/>
        </w:trPr>
        <w:tc>
          <w:tcPr>
            <w:tcW w:w="3198" w:type="dxa"/>
            <w:tcBorders>
              <w:top w:val="single" w:sz="8" w:space="0" w:color="BFBFBF"/>
              <w:left w:val="nil"/>
              <w:bottom w:val="single" w:sz="8" w:space="0" w:color="BFBFBF"/>
              <w:right w:val="nil"/>
            </w:tcBorders>
          </w:tcPr>
          <w:p w14:paraId="223B508C" w14:textId="77777777" w:rsidR="0056040B" w:rsidRPr="0046586A" w:rsidRDefault="0056040B" w:rsidP="00A660AD">
            <w:pPr>
              <w:spacing w:line="259" w:lineRule="auto"/>
              <w:ind w:left="108"/>
              <w:rPr>
                <w:rFonts w:ascii="Arial" w:hAnsi="Arial" w:cs="Arial"/>
              </w:rPr>
            </w:pPr>
            <w:r w:rsidRPr="0046586A">
              <w:rPr>
                <w:rFonts w:ascii="Arial" w:hAnsi="Arial" w:cs="Arial"/>
                <w:color w:val="A6A6A6"/>
              </w:rPr>
              <w:t xml:space="preserve">Demographic assumptions </w:t>
            </w:r>
          </w:p>
        </w:tc>
        <w:tc>
          <w:tcPr>
            <w:tcW w:w="1464" w:type="dxa"/>
            <w:tcBorders>
              <w:top w:val="single" w:sz="8" w:space="0" w:color="BFBFBF"/>
              <w:left w:val="nil"/>
              <w:bottom w:val="single" w:sz="8" w:space="0" w:color="BFBFBF"/>
              <w:right w:val="nil"/>
            </w:tcBorders>
          </w:tcPr>
          <w:p w14:paraId="588DC407" w14:textId="77777777" w:rsidR="0056040B" w:rsidRPr="0046586A" w:rsidRDefault="0056040B" w:rsidP="00A660AD">
            <w:pPr>
              <w:spacing w:line="259" w:lineRule="auto"/>
              <w:ind w:left="355"/>
              <w:jc w:val="center"/>
              <w:rPr>
                <w:rFonts w:ascii="Arial" w:hAnsi="Arial" w:cs="Arial"/>
              </w:rPr>
            </w:pPr>
            <w:r w:rsidRPr="0046586A">
              <w:rPr>
                <w:rFonts w:ascii="Arial" w:hAnsi="Arial" w:cs="Arial"/>
                <w:color w:val="A6A6A6"/>
              </w:rPr>
              <w:t xml:space="preserve"> </w:t>
            </w:r>
          </w:p>
        </w:tc>
        <w:tc>
          <w:tcPr>
            <w:tcW w:w="4631" w:type="dxa"/>
            <w:tcBorders>
              <w:top w:val="single" w:sz="8" w:space="0" w:color="BFBFBF"/>
              <w:left w:val="nil"/>
              <w:bottom w:val="single" w:sz="8" w:space="0" w:color="BFBFBF"/>
              <w:right w:val="nil"/>
            </w:tcBorders>
          </w:tcPr>
          <w:p w14:paraId="51A63116" w14:textId="77777777" w:rsidR="0056040B" w:rsidRPr="0046586A" w:rsidRDefault="0056040B" w:rsidP="00A660AD">
            <w:pPr>
              <w:spacing w:after="160" w:line="259" w:lineRule="auto"/>
              <w:rPr>
                <w:rFonts w:ascii="Arial" w:hAnsi="Arial" w:cs="Arial"/>
              </w:rPr>
            </w:pPr>
          </w:p>
        </w:tc>
      </w:tr>
      <w:tr w:rsidR="0056040B" w:rsidRPr="0046586A" w14:paraId="71278A88" w14:textId="77777777" w:rsidTr="0046586A">
        <w:trPr>
          <w:trHeight w:val="112"/>
        </w:trPr>
        <w:tc>
          <w:tcPr>
            <w:tcW w:w="3198" w:type="dxa"/>
            <w:tcBorders>
              <w:top w:val="single" w:sz="8" w:space="0" w:color="BFBFBF"/>
              <w:left w:val="nil"/>
              <w:bottom w:val="single" w:sz="8" w:space="0" w:color="BFBFBF"/>
              <w:right w:val="nil"/>
            </w:tcBorders>
          </w:tcPr>
          <w:p w14:paraId="312EF2B1" w14:textId="77777777" w:rsidR="0056040B" w:rsidRPr="0046586A" w:rsidRDefault="0056040B" w:rsidP="00A660AD">
            <w:pPr>
              <w:spacing w:line="259" w:lineRule="auto"/>
              <w:ind w:left="108"/>
              <w:rPr>
                <w:rFonts w:ascii="Arial" w:hAnsi="Arial" w:cs="Arial"/>
              </w:rPr>
            </w:pPr>
            <w:r w:rsidRPr="0046586A">
              <w:rPr>
                <w:rFonts w:ascii="Arial" w:hAnsi="Arial" w:cs="Arial"/>
              </w:rPr>
              <w:t xml:space="preserve">Post-retirement mortality </w:t>
            </w:r>
          </w:p>
        </w:tc>
        <w:tc>
          <w:tcPr>
            <w:tcW w:w="1464" w:type="dxa"/>
            <w:tcBorders>
              <w:top w:val="single" w:sz="8" w:space="0" w:color="BFBFBF"/>
              <w:left w:val="nil"/>
              <w:bottom w:val="single" w:sz="8" w:space="0" w:color="BFBFBF"/>
              <w:right w:val="nil"/>
            </w:tcBorders>
          </w:tcPr>
          <w:p w14:paraId="71213CF3" w14:textId="77777777" w:rsidR="0056040B" w:rsidRPr="0046586A" w:rsidRDefault="0056040B" w:rsidP="00A660AD">
            <w:pPr>
              <w:spacing w:after="160" w:line="259" w:lineRule="auto"/>
              <w:rPr>
                <w:rFonts w:ascii="Arial" w:hAnsi="Arial" w:cs="Arial"/>
              </w:rPr>
            </w:pPr>
          </w:p>
        </w:tc>
        <w:tc>
          <w:tcPr>
            <w:tcW w:w="4631" w:type="dxa"/>
            <w:tcBorders>
              <w:top w:val="single" w:sz="8" w:space="0" w:color="BFBFBF"/>
              <w:left w:val="nil"/>
              <w:bottom w:val="single" w:sz="8" w:space="0" w:color="BFBFBF"/>
              <w:right w:val="nil"/>
            </w:tcBorders>
          </w:tcPr>
          <w:p w14:paraId="232C2F83" w14:textId="77777777" w:rsidR="0056040B" w:rsidRPr="0046586A" w:rsidRDefault="0056040B" w:rsidP="00A660AD">
            <w:pPr>
              <w:spacing w:line="259" w:lineRule="auto"/>
              <w:ind w:left="1800"/>
              <w:rPr>
                <w:rFonts w:ascii="Arial" w:hAnsi="Arial" w:cs="Arial"/>
              </w:rPr>
            </w:pPr>
            <w:r w:rsidRPr="0046586A">
              <w:rPr>
                <w:rFonts w:ascii="Arial" w:hAnsi="Arial" w:cs="Arial"/>
              </w:rPr>
              <w:t xml:space="preserve"> </w:t>
            </w:r>
          </w:p>
        </w:tc>
      </w:tr>
      <w:tr w:rsidR="0056040B" w:rsidRPr="0046586A" w14:paraId="448EED19" w14:textId="77777777" w:rsidTr="0046586A">
        <w:trPr>
          <w:trHeight w:val="117"/>
        </w:trPr>
        <w:tc>
          <w:tcPr>
            <w:tcW w:w="3198" w:type="dxa"/>
            <w:tcBorders>
              <w:top w:val="single" w:sz="8" w:space="0" w:color="BFBFBF"/>
              <w:left w:val="nil"/>
              <w:bottom w:val="single" w:sz="8" w:space="0" w:color="BFBFBF"/>
              <w:right w:val="nil"/>
            </w:tcBorders>
          </w:tcPr>
          <w:p w14:paraId="14FA6A5C" w14:textId="77777777" w:rsidR="0056040B" w:rsidRPr="0046586A" w:rsidRDefault="0056040B" w:rsidP="00A660AD">
            <w:pPr>
              <w:spacing w:after="160" w:line="259" w:lineRule="auto"/>
              <w:rPr>
                <w:rFonts w:ascii="Arial" w:hAnsi="Arial" w:cs="Arial"/>
              </w:rPr>
            </w:pPr>
          </w:p>
        </w:tc>
        <w:tc>
          <w:tcPr>
            <w:tcW w:w="1464" w:type="dxa"/>
            <w:tcBorders>
              <w:top w:val="single" w:sz="8" w:space="0" w:color="BFBFBF"/>
              <w:left w:val="nil"/>
              <w:bottom w:val="single" w:sz="8" w:space="0" w:color="BFBFBF"/>
              <w:right w:val="nil"/>
            </w:tcBorders>
          </w:tcPr>
          <w:p w14:paraId="65CF1513" w14:textId="77777777" w:rsidR="0056040B" w:rsidRPr="0046586A" w:rsidRDefault="0056040B" w:rsidP="00A660AD">
            <w:pPr>
              <w:spacing w:line="259" w:lineRule="auto"/>
              <w:rPr>
                <w:rFonts w:ascii="Arial" w:hAnsi="Arial" w:cs="Arial"/>
              </w:rPr>
            </w:pPr>
            <w:r w:rsidRPr="0046586A">
              <w:rPr>
                <w:rFonts w:ascii="Arial" w:eastAsia="Segoe UI" w:hAnsi="Arial" w:cs="Arial"/>
                <w:i/>
              </w:rPr>
              <w:t xml:space="preserve">Base tables </w:t>
            </w:r>
          </w:p>
        </w:tc>
        <w:tc>
          <w:tcPr>
            <w:tcW w:w="4631" w:type="dxa"/>
            <w:tcBorders>
              <w:top w:val="single" w:sz="8" w:space="0" w:color="BFBFBF"/>
              <w:left w:val="nil"/>
              <w:bottom w:val="single" w:sz="8" w:space="0" w:color="BFBFBF"/>
              <w:right w:val="nil"/>
            </w:tcBorders>
          </w:tcPr>
          <w:p w14:paraId="546868F2" w14:textId="77777777" w:rsidR="0056040B" w:rsidRPr="0046586A" w:rsidRDefault="0056040B" w:rsidP="00A660AD">
            <w:pPr>
              <w:spacing w:line="259" w:lineRule="auto"/>
              <w:ind w:left="602"/>
              <w:rPr>
                <w:rFonts w:ascii="Arial" w:hAnsi="Arial" w:cs="Arial"/>
              </w:rPr>
            </w:pPr>
            <w:r w:rsidRPr="0046586A">
              <w:rPr>
                <w:rFonts w:ascii="Arial" w:hAnsi="Arial" w:cs="Arial"/>
              </w:rPr>
              <w:t xml:space="preserve">Based on Club Vita analysis </w:t>
            </w:r>
          </w:p>
        </w:tc>
      </w:tr>
      <w:tr w:rsidR="0056040B" w:rsidRPr="0046586A" w14:paraId="7DC0343D" w14:textId="77777777" w:rsidTr="0046586A">
        <w:trPr>
          <w:trHeight w:val="117"/>
        </w:trPr>
        <w:tc>
          <w:tcPr>
            <w:tcW w:w="4663" w:type="dxa"/>
            <w:gridSpan w:val="2"/>
            <w:tcBorders>
              <w:top w:val="single" w:sz="8" w:space="0" w:color="BFBFBF"/>
              <w:left w:val="nil"/>
              <w:bottom w:val="single" w:sz="8" w:space="0" w:color="BFBFBF"/>
              <w:right w:val="nil"/>
            </w:tcBorders>
          </w:tcPr>
          <w:p w14:paraId="3A2AA21D" w14:textId="77777777" w:rsidR="0056040B" w:rsidRPr="0046586A" w:rsidRDefault="0056040B" w:rsidP="00A660AD">
            <w:pPr>
              <w:spacing w:line="259" w:lineRule="auto"/>
              <w:ind w:left="1168"/>
              <w:jc w:val="center"/>
              <w:rPr>
                <w:rFonts w:ascii="Arial" w:hAnsi="Arial" w:cs="Arial"/>
              </w:rPr>
            </w:pPr>
            <w:r w:rsidRPr="0046586A">
              <w:rPr>
                <w:rFonts w:ascii="Arial" w:eastAsia="Segoe UI" w:hAnsi="Arial" w:cs="Arial"/>
                <w:i/>
              </w:rPr>
              <w:t xml:space="preserve">Projection model </w:t>
            </w:r>
          </w:p>
        </w:tc>
        <w:tc>
          <w:tcPr>
            <w:tcW w:w="4631" w:type="dxa"/>
            <w:tcBorders>
              <w:top w:val="single" w:sz="8" w:space="0" w:color="BFBFBF"/>
              <w:left w:val="nil"/>
              <w:bottom w:val="single" w:sz="8" w:space="0" w:color="BFBFBF"/>
              <w:right w:val="nil"/>
            </w:tcBorders>
          </w:tcPr>
          <w:p w14:paraId="1099F7B2" w14:textId="77777777" w:rsidR="0056040B" w:rsidRPr="0046586A" w:rsidRDefault="0056040B" w:rsidP="00A660AD">
            <w:pPr>
              <w:spacing w:line="259" w:lineRule="auto"/>
              <w:ind w:left="1380"/>
              <w:rPr>
                <w:rFonts w:ascii="Arial" w:hAnsi="Arial" w:cs="Arial"/>
              </w:rPr>
            </w:pPr>
            <w:r w:rsidRPr="0046586A">
              <w:rPr>
                <w:rFonts w:ascii="Arial" w:hAnsi="Arial" w:cs="Arial"/>
              </w:rPr>
              <w:t xml:space="preserve">CMI 2018 </w:t>
            </w:r>
          </w:p>
        </w:tc>
      </w:tr>
      <w:tr w:rsidR="0056040B" w:rsidRPr="0046586A" w14:paraId="3FADB71A" w14:textId="77777777" w:rsidTr="0046586A">
        <w:trPr>
          <w:trHeight w:val="118"/>
        </w:trPr>
        <w:tc>
          <w:tcPr>
            <w:tcW w:w="4663" w:type="dxa"/>
            <w:gridSpan w:val="2"/>
            <w:tcBorders>
              <w:top w:val="single" w:sz="8" w:space="0" w:color="BFBFBF"/>
              <w:left w:val="nil"/>
              <w:bottom w:val="single" w:sz="8" w:space="0" w:color="BFBFBF"/>
              <w:right w:val="nil"/>
            </w:tcBorders>
          </w:tcPr>
          <w:p w14:paraId="51A0FA6D" w14:textId="77777777" w:rsidR="0056040B" w:rsidRPr="0046586A" w:rsidRDefault="0056040B" w:rsidP="00A660AD">
            <w:pPr>
              <w:spacing w:line="259" w:lineRule="auto"/>
              <w:ind w:right="104"/>
              <w:jc w:val="center"/>
              <w:rPr>
                <w:rFonts w:ascii="Arial" w:hAnsi="Arial" w:cs="Arial"/>
              </w:rPr>
            </w:pPr>
            <w:r w:rsidRPr="0046586A">
              <w:rPr>
                <w:rFonts w:ascii="Arial" w:eastAsia="Segoe UI" w:hAnsi="Arial" w:cs="Arial"/>
                <w:i/>
              </w:rPr>
              <w:t xml:space="preserve">Long-term rate of improvement </w:t>
            </w:r>
          </w:p>
        </w:tc>
        <w:tc>
          <w:tcPr>
            <w:tcW w:w="4631" w:type="dxa"/>
            <w:tcBorders>
              <w:top w:val="single" w:sz="8" w:space="0" w:color="BFBFBF"/>
              <w:left w:val="nil"/>
              <w:bottom w:val="single" w:sz="8" w:space="0" w:color="BFBFBF"/>
              <w:right w:val="nil"/>
            </w:tcBorders>
          </w:tcPr>
          <w:p w14:paraId="27B40197" w14:textId="77777777" w:rsidR="0056040B" w:rsidRPr="0046586A" w:rsidRDefault="0056040B" w:rsidP="00A660AD">
            <w:pPr>
              <w:spacing w:line="259" w:lineRule="auto"/>
              <w:ind w:left="1356"/>
              <w:rPr>
                <w:rFonts w:ascii="Arial" w:hAnsi="Arial" w:cs="Arial"/>
              </w:rPr>
            </w:pPr>
            <w:r w:rsidRPr="0046586A">
              <w:rPr>
                <w:rFonts w:ascii="Arial" w:hAnsi="Arial" w:cs="Arial"/>
              </w:rPr>
              <w:t xml:space="preserve">1.25% p.a. </w:t>
            </w:r>
          </w:p>
        </w:tc>
      </w:tr>
      <w:tr w:rsidR="0056040B" w:rsidRPr="0046586A" w14:paraId="6A1F39DF" w14:textId="77777777" w:rsidTr="0046586A">
        <w:trPr>
          <w:trHeight w:val="117"/>
        </w:trPr>
        <w:tc>
          <w:tcPr>
            <w:tcW w:w="4663" w:type="dxa"/>
            <w:gridSpan w:val="2"/>
            <w:tcBorders>
              <w:top w:val="single" w:sz="8" w:space="0" w:color="BFBFBF"/>
              <w:left w:val="nil"/>
              <w:bottom w:val="single" w:sz="8" w:space="0" w:color="BFBFBF"/>
              <w:right w:val="nil"/>
            </w:tcBorders>
          </w:tcPr>
          <w:p w14:paraId="06563199" w14:textId="77777777" w:rsidR="0056040B" w:rsidRPr="0046586A" w:rsidRDefault="0056040B" w:rsidP="00A660AD">
            <w:pPr>
              <w:spacing w:line="259" w:lineRule="auto"/>
              <w:ind w:left="734"/>
              <w:jc w:val="center"/>
              <w:rPr>
                <w:rFonts w:ascii="Arial" w:hAnsi="Arial" w:cs="Arial"/>
              </w:rPr>
            </w:pPr>
            <w:r w:rsidRPr="0046586A">
              <w:rPr>
                <w:rFonts w:ascii="Arial" w:eastAsia="Segoe UI" w:hAnsi="Arial" w:cs="Arial"/>
                <w:i/>
              </w:rPr>
              <w:t xml:space="preserve">Smoothing parameter </w:t>
            </w:r>
          </w:p>
        </w:tc>
        <w:tc>
          <w:tcPr>
            <w:tcW w:w="4631" w:type="dxa"/>
            <w:tcBorders>
              <w:top w:val="single" w:sz="8" w:space="0" w:color="BFBFBF"/>
              <w:left w:val="nil"/>
              <w:bottom w:val="single" w:sz="8" w:space="0" w:color="BFBFBF"/>
              <w:right w:val="nil"/>
            </w:tcBorders>
          </w:tcPr>
          <w:p w14:paraId="33B96332" w14:textId="77777777" w:rsidR="0056040B" w:rsidRPr="0046586A" w:rsidRDefault="0056040B" w:rsidP="00A660AD">
            <w:pPr>
              <w:spacing w:line="259" w:lineRule="auto"/>
              <w:ind w:left="1671"/>
              <w:rPr>
                <w:rFonts w:ascii="Arial" w:hAnsi="Arial" w:cs="Arial"/>
              </w:rPr>
            </w:pPr>
            <w:r w:rsidRPr="0046586A">
              <w:rPr>
                <w:rFonts w:ascii="Arial" w:hAnsi="Arial" w:cs="Arial"/>
              </w:rPr>
              <w:t xml:space="preserve">7.0 </w:t>
            </w:r>
          </w:p>
        </w:tc>
      </w:tr>
    </w:tbl>
    <w:p w14:paraId="4AFC0F81" w14:textId="77777777" w:rsidR="0056040B" w:rsidRPr="0046586A" w:rsidRDefault="0056040B" w:rsidP="0056040B">
      <w:pPr>
        <w:tabs>
          <w:tab w:val="center" w:pos="2334"/>
          <w:tab w:val="center" w:pos="6731"/>
        </w:tabs>
        <w:spacing w:after="9" w:line="259" w:lineRule="auto"/>
        <w:rPr>
          <w:rFonts w:ascii="Arial" w:hAnsi="Arial" w:cs="Arial"/>
        </w:rPr>
      </w:pPr>
      <w:r w:rsidRPr="0046586A">
        <w:rPr>
          <w:rFonts w:ascii="Arial" w:eastAsia="Calibri" w:hAnsi="Arial" w:cs="Arial"/>
        </w:rPr>
        <w:tab/>
      </w:r>
      <w:r w:rsidRPr="0046586A">
        <w:rPr>
          <w:rFonts w:ascii="Arial" w:eastAsia="Segoe UI" w:hAnsi="Arial" w:cs="Arial"/>
          <w:i/>
        </w:rPr>
        <w:t xml:space="preserve">Initial addition to improvements </w:t>
      </w:r>
      <w:r w:rsidRPr="0046586A">
        <w:rPr>
          <w:rFonts w:ascii="Arial" w:eastAsia="Segoe UI" w:hAnsi="Arial" w:cs="Arial"/>
          <w:i/>
        </w:rPr>
        <w:tab/>
      </w:r>
      <w:r w:rsidRPr="0046586A">
        <w:rPr>
          <w:rFonts w:ascii="Arial" w:hAnsi="Arial" w:cs="Arial"/>
        </w:rPr>
        <w:t xml:space="preserve">0.5% p.a. for males and 0.25% p.a. for females </w:t>
      </w:r>
    </w:p>
    <w:p w14:paraId="42EBAC7E" w14:textId="77777777" w:rsidR="0056040B" w:rsidRPr="0046586A" w:rsidRDefault="0056040B" w:rsidP="0056040B">
      <w:pPr>
        <w:spacing w:line="259" w:lineRule="auto"/>
        <w:rPr>
          <w:rFonts w:ascii="Arial" w:hAnsi="Arial" w:cs="Arial"/>
        </w:rPr>
      </w:pPr>
      <w:r w:rsidRPr="0046586A">
        <w:rPr>
          <w:rFonts w:ascii="Arial" w:hAnsi="Arial" w:cs="Arial"/>
        </w:rPr>
        <w:t xml:space="preserve"> </w:t>
      </w:r>
    </w:p>
    <w:p w14:paraId="66453570" w14:textId="77777777" w:rsidR="0056040B" w:rsidRPr="0046586A" w:rsidRDefault="0056040B" w:rsidP="0056040B">
      <w:pPr>
        <w:spacing w:after="403"/>
        <w:ind w:left="-5"/>
        <w:rPr>
          <w:rFonts w:ascii="Arial" w:hAnsi="Arial" w:cs="Arial"/>
        </w:rPr>
      </w:pPr>
      <w:r w:rsidRPr="0046586A">
        <w:rPr>
          <w:rFonts w:ascii="Arial" w:hAnsi="Arial" w:cs="Arial"/>
        </w:rPr>
        <w:t xml:space="preserve">Full details of the demographic and other assumptions adopted as well as details of the derivation of the financial assumptions used can be found in the 2019 valuation report. </w:t>
      </w:r>
    </w:p>
    <w:p w14:paraId="081FF776" w14:textId="77777777" w:rsidR="0056040B" w:rsidRPr="0046586A" w:rsidRDefault="0056040B" w:rsidP="0056040B">
      <w:pPr>
        <w:pStyle w:val="Heading1"/>
        <w:spacing w:after="111"/>
        <w:ind w:left="-5"/>
        <w:rPr>
          <w:rFonts w:ascii="Arial" w:hAnsi="Arial" w:cs="Arial"/>
          <w:sz w:val="24"/>
          <w:szCs w:val="24"/>
        </w:rPr>
      </w:pPr>
      <w:r w:rsidRPr="0046586A">
        <w:rPr>
          <w:rFonts w:ascii="Arial" w:hAnsi="Arial" w:cs="Arial"/>
          <w:sz w:val="24"/>
          <w:szCs w:val="24"/>
        </w:rPr>
        <w:t xml:space="preserve">Updated position since the 2019 valuation </w:t>
      </w:r>
    </w:p>
    <w:p w14:paraId="4D652150" w14:textId="77777777" w:rsidR="0056040B" w:rsidRPr="0046586A" w:rsidRDefault="0056040B" w:rsidP="0056040B">
      <w:pPr>
        <w:pStyle w:val="Heading2"/>
        <w:ind w:left="-5"/>
        <w:rPr>
          <w:rFonts w:ascii="Arial" w:hAnsi="Arial" w:cs="Arial"/>
          <w:szCs w:val="24"/>
        </w:rPr>
      </w:pPr>
      <w:r w:rsidRPr="0046586A">
        <w:rPr>
          <w:rFonts w:ascii="Arial" w:hAnsi="Arial" w:cs="Arial"/>
          <w:szCs w:val="24"/>
        </w:rPr>
        <w:t xml:space="preserve">Assets </w:t>
      </w:r>
    </w:p>
    <w:p w14:paraId="3BBBE3C9" w14:textId="77777777" w:rsidR="0056040B" w:rsidRPr="0046586A" w:rsidRDefault="0056040B" w:rsidP="0056040B">
      <w:pPr>
        <w:spacing w:after="316"/>
        <w:ind w:left="-5"/>
        <w:rPr>
          <w:rFonts w:ascii="Arial" w:hAnsi="Arial" w:cs="Arial"/>
        </w:rPr>
      </w:pPr>
      <w:r w:rsidRPr="0046586A">
        <w:rPr>
          <w:rFonts w:ascii="Arial" w:hAnsi="Arial" w:cs="Arial"/>
        </w:rPr>
        <w:t xml:space="preserve">Returns over the year to 31 March 2021 have been strong, helping to offset the fall in asset values at the end of the previous year. As </w:t>
      </w:r>
      <w:proofErr w:type="gramStart"/>
      <w:r w:rsidRPr="0046586A">
        <w:rPr>
          <w:rFonts w:ascii="Arial" w:hAnsi="Arial" w:cs="Arial"/>
        </w:rPr>
        <w:t>at</w:t>
      </w:r>
      <w:proofErr w:type="gramEnd"/>
      <w:r w:rsidRPr="0046586A">
        <w:rPr>
          <w:rFonts w:ascii="Arial" w:hAnsi="Arial" w:cs="Arial"/>
        </w:rPr>
        <w:t xml:space="preserve"> 31 March 2021, in market value terms, the Fund assets were more than where they were projected to be based on the previous valuation. </w:t>
      </w:r>
    </w:p>
    <w:p w14:paraId="321E7B2D" w14:textId="77777777" w:rsidR="0056040B" w:rsidRPr="0046586A" w:rsidRDefault="0056040B" w:rsidP="0056040B">
      <w:pPr>
        <w:pStyle w:val="Heading2"/>
        <w:ind w:left="-5"/>
        <w:rPr>
          <w:rFonts w:ascii="Arial" w:hAnsi="Arial" w:cs="Arial"/>
          <w:szCs w:val="24"/>
        </w:rPr>
      </w:pPr>
      <w:r w:rsidRPr="0046586A">
        <w:rPr>
          <w:rFonts w:ascii="Arial" w:hAnsi="Arial" w:cs="Arial"/>
          <w:szCs w:val="24"/>
        </w:rPr>
        <w:t xml:space="preserve">Liabilities </w:t>
      </w:r>
    </w:p>
    <w:p w14:paraId="56682911" w14:textId="77777777" w:rsidR="0056040B" w:rsidRPr="0046586A" w:rsidRDefault="0056040B" w:rsidP="0056040B">
      <w:pPr>
        <w:ind w:left="-5"/>
        <w:rPr>
          <w:rFonts w:ascii="Arial" w:hAnsi="Arial" w:cs="Arial"/>
        </w:rPr>
      </w:pPr>
      <w:r w:rsidRPr="0046586A">
        <w:rPr>
          <w:rFonts w:ascii="Arial" w:hAnsi="Arial" w:cs="Arial"/>
        </w:rPr>
        <w:t xml:space="preserve">The key assumption which has the greatest impact on the valuation of liabilities is the real discount rate (the discount rate relative to CPI inflation) – the higher the real discount </w:t>
      </w:r>
      <w:proofErr w:type="gramStart"/>
      <w:r w:rsidRPr="0046586A">
        <w:rPr>
          <w:rFonts w:ascii="Arial" w:hAnsi="Arial" w:cs="Arial"/>
        </w:rPr>
        <w:t>rate</w:t>
      </w:r>
      <w:proofErr w:type="gramEnd"/>
      <w:r w:rsidRPr="0046586A">
        <w:rPr>
          <w:rFonts w:ascii="Arial" w:hAnsi="Arial" w:cs="Arial"/>
        </w:rPr>
        <w:t xml:space="preserve"> the lower the value of liabilities. As </w:t>
      </w:r>
      <w:proofErr w:type="gramStart"/>
      <w:r w:rsidRPr="0046586A">
        <w:rPr>
          <w:rFonts w:ascii="Arial" w:hAnsi="Arial" w:cs="Arial"/>
        </w:rPr>
        <w:t>at</w:t>
      </w:r>
      <w:proofErr w:type="gramEnd"/>
      <w:r w:rsidRPr="0046586A">
        <w:rPr>
          <w:rFonts w:ascii="Arial" w:hAnsi="Arial" w:cs="Arial"/>
        </w:rPr>
        <w:t xml:space="preserve"> 31 March 2021, the real discount rate is estimated to be lower than at the 2019 valuation, mainly due to the increase in long term inflation implied by the market. </w:t>
      </w:r>
    </w:p>
    <w:p w14:paraId="74FC4218" w14:textId="77777777" w:rsidR="0056040B" w:rsidRPr="0046586A" w:rsidRDefault="0056040B" w:rsidP="0056040B">
      <w:pPr>
        <w:ind w:left="-5"/>
        <w:rPr>
          <w:rFonts w:ascii="Arial" w:hAnsi="Arial" w:cs="Arial"/>
        </w:rPr>
      </w:pPr>
      <w:r w:rsidRPr="0046586A">
        <w:rPr>
          <w:rFonts w:ascii="Arial" w:hAnsi="Arial" w:cs="Arial"/>
        </w:rPr>
        <w:t xml:space="preserve">Please note that we have updated the derivation of the CPI inflation assumption to be 0.65% p.a. below market implied RPI inflation. The assumption adopted at the 2019 valuation was that this difference would be 1.0% p.a. This update was made following the Government’s response to the consultation on the reform of RPI in November 2020, and the expectation that the UK Statistics Authority will implement the proposed changes to bring RPI in line with CPIH from 2030. This change has led to a small increase in the value of liabilities.  </w:t>
      </w:r>
    </w:p>
    <w:p w14:paraId="0C809985" w14:textId="77777777" w:rsidR="0056040B" w:rsidRPr="0046586A" w:rsidRDefault="0056040B" w:rsidP="0056040B">
      <w:pPr>
        <w:spacing w:after="316"/>
        <w:ind w:left="-5"/>
        <w:rPr>
          <w:rFonts w:ascii="Arial" w:hAnsi="Arial" w:cs="Arial"/>
        </w:rPr>
      </w:pPr>
      <w:r w:rsidRPr="0046586A">
        <w:rPr>
          <w:rFonts w:ascii="Arial" w:hAnsi="Arial" w:cs="Arial"/>
        </w:rPr>
        <w:t xml:space="preserve">It is currently unclear what the impact of the COVID-19 pandemic is on the Fund’s funding position. It is expected that COVID-related deaths will not have a material impact on the Fund’s current funding level, however, impact on future mortality rates may be more significant and we will be reviewing the Fund’s mortality assumption as part of the next valuation.  </w:t>
      </w:r>
    </w:p>
    <w:p w14:paraId="3C8E2E1A" w14:textId="77777777" w:rsidR="0056040B" w:rsidRPr="0046586A" w:rsidRDefault="0056040B" w:rsidP="0056040B">
      <w:pPr>
        <w:pStyle w:val="Heading2"/>
        <w:ind w:left="-5"/>
        <w:rPr>
          <w:rFonts w:ascii="Arial" w:hAnsi="Arial" w:cs="Arial"/>
          <w:szCs w:val="24"/>
        </w:rPr>
      </w:pPr>
      <w:r w:rsidRPr="0046586A">
        <w:rPr>
          <w:rFonts w:ascii="Arial" w:hAnsi="Arial" w:cs="Arial"/>
          <w:szCs w:val="24"/>
        </w:rPr>
        <w:t xml:space="preserve">Overall position </w:t>
      </w:r>
    </w:p>
    <w:p w14:paraId="358B6A6C" w14:textId="77777777" w:rsidR="0056040B" w:rsidRPr="0046586A" w:rsidRDefault="0056040B" w:rsidP="0056040B">
      <w:pPr>
        <w:ind w:left="-5"/>
        <w:rPr>
          <w:rFonts w:ascii="Arial" w:hAnsi="Arial" w:cs="Arial"/>
        </w:rPr>
      </w:pPr>
      <w:r w:rsidRPr="0046586A">
        <w:rPr>
          <w:rFonts w:ascii="Arial" w:hAnsi="Arial" w:cs="Arial"/>
        </w:rPr>
        <w:t xml:space="preserve">Overall, we estimate that the funding position has improved since the 2019 valuation, when compared on a consistent basis (updated for changes in market conditions and the derivation of CPI inflation as noted above).  </w:t>
      </w:r>
    </w:p>
    <w:p w14:paraId="407E75F2" w14:textId="77777777" w:rsidR="0056040B" w:rsidRPr="0046586A" w:rsidRDefault="0056040B" w:rsidP="0056040B">
      <w:pPr>
        <w:ind w:left="-5"/>
        <w:rPr>
          <w:rFonts w:ascii="Arial" w:hAnsi="Arial" w:cs="Arial"/>
        </w:rPr>
      </w:pPr>
      <w:r w:rsidRPr="0046586A">
        <w:rPr>
          <w:rFonts w:ascii="Arial" w:hAnsi="Arial" w:cs="Arial"/>
        </w:rPr>
        <w:t xml:space="preserve">However, the change in the real discount rate since 31 March 2019 will place a higher value on the cost of future accrual which would result in higher primary contribution rates than those previously certified. Deficit contributions would be expected to decrease </w:t>
      </w:r>
      <w:proofErr w:type="gramStart"/>
      <w:r w:rsidRPr="0046586A">
        <w:rPr>
          <w:rFonts w:ascii="Arial" w:hAnsi="Arial" w:cs="Arial"/>
        </w:rPr>
        <w:t>as a result of</w:t>
      </w:r>
      <w:proofErr w:type="gramEnd"/>
      <w:r w:rsidRPr="0046586A">
        <w:rPr>
          <w:rFonts w:ascii="Arial" w:hAnsi="Arial" w:cs="Arial"/>
        </w:rPr>
        <w:t xml:space="preserve"> the improved funding position, offsetting some of the increase in primary rate for those employers that were in deficit at the 2019 valuation.  </w:t>
      </w:r>
    </w:p>
    <w:p w14:paraId="4E7F8E0B" w14:textId="77777777" w:rsidR="0056040B" w:rsidRPr="0046586A" w:rsidRDefault="0056040B" w:rsidP="0056040B">
      <w:pPr>
        <w:ind w:left="-5"/>
        <w:rPr>
          <w:rFonts w:ascii="Arial" w:hAnsi="Arial" w:cs="Arial"/>
        </w:rPr>
      </w:pPr>
      <w:r w:rsidRPr="0046586A">
        <w:rPr>
          <w:rFonts w:ascii="Arial" w:hAnsi="Arial" w:cs="Arial"/>
        </w:rPr>
        <w:t xml:space="preserve">Future investment returns that will be achieved by the Fund in the short term are more uncertain than usual, </w:t>
      </w:r>
      <w:proofErr w:type="gramStart"/>
      <w:r w:rsidRPr="0046586A">
        <w:rPr>
          <w:rFonts w:ascii="Arial" w:hAnsi="Arial" w:cs="Arial"/>
        </w:rPr>
        <w:t>in particular the</w:t>
      </w:r>
      <w:proofErr w:type="gramEnd"/>
      <w:r w:rsidRPr="0046586A">
        <w:rPr>
          <w:rFonts w:ascii="Arial" w:hAnsi="Arial" w:cs="Arial"/>
        </w:rPr>
        <w:t xml:space="preserve"> return from equites due to actual and potential reductions and suspensions of dividends.  </w:t>
      </w:r>
    </w:p>
    <w:p w14:paraId="0E7920A1" w14:textId="77777777" w:rsidR="0056040B" w:rsidRPr="0046586A" w:rsidRDefault="0056040B" w:rsidP="0056040B">
      <w:pPr>
        <w:ind w:left="-5"/>
        <w:rPr>
          <w:rFonts w:ascii="Arial" w:hAnsi="Arial" w:cs="Arial"/>
        </w:rPr>
      </w:pPr>
      <w:r w:rsidRPr="0046586A">
        <w:rPr>
          <w:rFonts w:ascii="Arial" w:hAnsi="Arial" w:cs="Arial"/>
        </w:rPr>
        <w:t xml:space="preserve">There is also uncertainty around future benefits due to the McCloud/Sargeant cases and the cost cap process.   </w:t>
      </w:r>
    </w:p>
    <w:p w14:paraId="57E571CA" w14:textId="77777777" w:rsidR="0056040B" w:rsidRPr="0046586A" w:rsidRDefault="0056040B" w:rsidP="0056040B">
      <w:pPr>
        <w:spacing w:line="259" w:lineRule="auto"/>
        <w:rPr>
          <w:rFonts w:ascii="Arial" w:hAnsi="Arial" w:cs="Arial"/>
        </w:rPr>
      </w:pPr>
      <w:r w:rsidRPr="0046586A">
        <w:rPr>
          <w:rFonts w:ascii="Arial" w:hAnsi="Arial" w:cs="Arial"/>
        </w:rPr>
        <w:t xml:space="preserve"> </w:t>
      </w:r>
    </w:p>
    <w:p w14:paraId="184B4028" w14:textId="77777777" w:rsidR="0056040B" w:rsidRPr="0046586A" w:rsidRDefault="0056040B" w:rsidP="0056040B">
      <w:pPr>
        <w:spacing w:line="259" w:lineRule="auto"/>
        <w:rPr>
          <w:rFonts w:ascii="Arial" w:hAnsi="Arial" w:cs="Arial"/>
        </w:rPr>
      </w:pPr>
      <w:r w:rsidRPr="0046586A">
        <w:rPr>
          <w:rFonts w:ascii="Arial" w:hAnsi="Arial" w:cs="Arial"/>
        </w:rPr>
        <w:t xml:space="preserve"> </w:t>
      </w:r>
    </w:p>
    <w:p w14:paraId="19E8F5FB" w14:textId="77777777" w:rsidR="0056040B" w:rsidRPr="0046586A" w:rsidRDefault="0056040B" w:rsidP="0056040B">
      <w:pPr>
        <w:spacing w:line="259" w:lineRule="auto"/>
        <w:rPr>
          <w:rFonts w:ascii="Arial" w:hAnsi="Arial" w:cs="Arial"/>
        </w:rPr>
      </w:pPr>
      <w:r w:rsidRPr="0046586A">
        <w:rPr>
          <w:rFonts w:ascii="Arial" w:hAnsi="Arial" w:cs="Arial"/>
        </w:rPr>
        <w:t xml:space="preserve"> </w:t>
      </w:r>
    </w:p>
    <w:p w14:paraId="1931618C" w14:textId="77777777" w:rsidR="0056040B" w:rsidRPr="0046586A" w:rsidRDefault="0056040B" w:rsidP="0056040B">
      <w:pPr>
        <w:spacing w:after="3" w:line="259" w:lineRule="auto"/>
        <w:ind w:left="-5"/>
        <w:rPr>
          <w:rFonts w:ascii="Arial" w:hAnsi="Arial" w:cs="Arial"/>
        </w:rPr>
      </w:pPr>
      <w:r w:rsidRPr="0046586A">
        <w:rPr>
          <w:rFonts w:ascii="Arial" w:eastAsia="Segoe UI" w:hAnsi="Arial" w:cs="Arial"/>
          <w:b/>
        </w:rPr>
        <w:t xml:space="preserve">Barry McKay FFA  </w:t>
      </w:r>
    </w:p>
    <w:p w14:paraId="1677F6A7" w14:textId="77777777" w:rsidR="0056040B" w:rsidRPr="0046586A" w:rsidRDefault="0056040B" w:rsidP="0056040B">
      <w:pPr>
        <w:spacing w:after="3" w:line="259" w:lineRule="auto"/>
        <w:ind w:left="-5"/>
        <w:rPr>
          <w:rFonts w:ascii="Arial" w:hAnsi="Arial" w:cs="Arial"/>
        </w:rPr>
      </w:pPr>
      <w:r w:rsidRPr="0046586A">
        <w:rPr>
          <w:rFonts w:ascii="Arial" w:eastAsia="Segoe UI" w:hAnsi="Arial" w:cs="Arial"/>
          <w:b/>
        </w:rPr>
        <w:t>Partner, Barnett Waddingham LLP</w:t>
      </w:r>
      <w:r w:rsidRPr="0046586A">
        <w:rPr>
          <w:rFonts w:ascii="Arial" w:hAnsi="Arial" w:cs="Arial"/>
        </w:rPr>
        <w:t xml:space="preserve"> </w:t>
      </w:r>
    </w:p>
    <w:p w14:paraId="731C1C41" w14:textId="1874CEEB" w:rsidR="00165B15" w:rsidRDefault="00165B15">
      <w:pPr>
        <w:rPr>
          <w:rFonts w:ascii="Arial" w:hAnsi="Arial" w:cs="Arial"/>
        </w:rPr>
      </w:pPr>
    </w:p>
    <w:p w14:paraId="5432D706" w14:textId="3D6FF039" w:rsidR="00165B15" w:rsidRDefault="00165B15">
      <w:pPr>
        <w:rPr>
          <w:rFonts w:ascii="Arial" w:hAnsi="Arial" w:cs="Arial"/>
        </w:rPr>
      </w:pPr>
    </w:p>
    <w:p w14:paraId="0A5F9BE5" w14:textId="10EC43DC" w:rsidR="00165B15" w:rsidRDefault="00165B15">
      <w:pPr>
        <w:rPr>
          <w:rFonts w:ascii="Arial" w:hAnsi="Arial" w:cs="Arial"/>
        </w:rPr>
      </w:pPr>
    </w:p>
    <w:p w14:paraId="52F41414" w14:textId="77777777" w:rsidR="00165B15" w:rsidRPr="00E35F96" w:rsidRDefault="00165B15">
      <w:pPr>
        <w:rPr>
          <w:rFonts w:ascii="Arial" w:hAnsi="Arial" w:cs="Arial"/>
        </w:rPr>
      </w:pPr>
    </w:p>
    <w:p w14:paraId="02B02788" w14:textId="77777777" w:rsidR="0046586A" w:rsidRDefault="0046586A">
      <w:r>
        <w:br w:type="page"/>
      </w:r>
    </w:p>
    <w:tbl>
      <w:tblPr>
        <w:tblW w:w="5351" w:type="pct"/>
        <w:tblCellMar>
          <w:top w:w="30" w:type="dxa"/>
          <w:left w:w="30" w:type="dxa"/>
          <w:bottom w:w="30" w:type="dxa"/>
          <w:right w:w="30" w:type="dxa"/>
        </w:tblCellMar>
        <w:tblLook w:val="04A0" w:firstRow="1" w:lastRow="0" w:firstColumn="1" w:lastColumn="0" w:noHBand="0" w:noVBand="1"/>
      </w:tblPr>
      <w:tblGrid>
        <w:gridCol w:w="1832"/>
        <w:gridCol w:w="298"/>
        <w:gridCol w:w="2912"/>
        <w:gridCol w:w="1328"/>
        <w:gridCol w:w="50"/>
        <w:gridCol w:w="1220"/>
        <w:gridCol w:w="546"/>
        <w:gridCol w:w="146"/>
        <w:gridCol w:w="602"/>
        <w:gridCol w:w="58"/>
        <w:gridCol w:w="686"/>
        <w:gridCol w:w="322"/>
      </w:tblGrid>
      <w:tr w:rsidR="00E266F9" w:rsidRPr="00227E88" w14:paraId="6D163B94" w14:textId="77777777" w:rsidTr="00A71BC4">
        <w:tc>
          <w:tcPr>
            <w:tcW w:w="4093" w:type="pct"/>
            <w:gridSpan w:val="7"/>
            <w:tcBorders>
              <w:top w:val="single" w:sz="6" w:space="0" w:color="FFFFFF"/>
              <w:left w:val="single" w:sz="6" w:space="0" w:color="FFFFFF"/>
              <w:bottom w:val="single" w:sz="6" w:space="0" w:color="FFFFFF"/>
              <w:right w:val="single" w:sz="6" w:space="0" w:color="FFFFFF"/>
            </w:tcBorders>
            <w:shd w:val="clear" w:color="auto" w:fill="FFFFFF"/>
            <w:tcMar>
              <w:top w:w="24" w:type="dxa"/>
              <w:left w:w="120" w:type="dxa"/>
              <w:bottom w:w="24" w:type="dxa"/>
              <w:right w:w="120" w:type="dxa"/>
            </w:tcMar>
            <w:vAlign w:val="center"/>
          </w:tcPr>
          <w:p w14:paraId="6D163B89" w14:textId="324E58C4" w:rsidR="00DF6F04" w:rsidRPr="00E35F96" w:rsidRDefault="00815201" w:rsidP="00DF6F04">
            <w:pPr>
              <w:rPr>
                <w:rFonts w:ascii="Arial" w:hAnsi="Arial" w:cs="Arial"/>
                <w:b/>
                <w:bCs/>
                <w:color w:val="000000"/>
                <w:sz w:val="28"/>
                <w:szCs w:val="28"/>
              </w:rPr>
            </w:pPr>
            <w:r w:rsidRPr="00E35F96">
              <w:rPr>
                <w:rFonts w:ascii="Arial" w:hAnsi="Arial" w:cs="Arial"/>
              </w:rPr>
              <w:br w:type="page"/>
            </w:r>
            <w:r w:rsidR="00E266F9" w:rsidRPr="00E35F96">
              <w:rPr>
                <w:rFonts w:ascii="Arial" w:hAnsi="Arial" w:cs="Arial"/>
              </w:rPr>
              <w:br w:type="page"/>
            </w:r>
            <w:r w:rsidR="00DF6F04" w:rsidRPr="00E35F96">
              <w:rPr>
                <w:rFonts w:ascii="Arial" w:hAnsi="Arial" w:cs="Arial"/>
                <w:b/>
                <w:bCs/>
                <w:color w:val="C00000"/>
                <w:sz w:val="28"/>
                <w:szCs w:val="28"/>
              </w:rPr>
              <w:t xml:space="preserve">Appendix </w:t>
            </w:r>
            <w:r w:rsidR="001D4337">
              <w:rPr>
                <w:rFonts w:ascii="Arial" w:hAnsi="Arial" w:cs="Arial"/>
                <w:b/>
                <w:bCs/>
                <w:color w:val="C00000"/>
                <w:sz w:val="28"/>
                <w:szCs w:val="28"/>
              </w:rPr>
              <w:t>8</w:t>
            </w:r>
            <w:r w:rsidR="00DF6F04" w:rsidRPr="00E35F96">
              <w:rPr>
                <w:rFonts w:ascii="Arial" w:hAnsi="Arial" w:cs="Arial"/>
                <w:b/>
                <w:bCs/>
                <w:color w:val="C00000"/>
                <w:sz w:val="28"/>
                <w:szCs w:val="28"/>
              </w:rPr>
              <w:t xml:space="preserve">: Pension Fund Risk Register </w:t>
            </w:r>
          </w:p>
          <w:p w14:paraId="6D163B8A" w14:textId="77777777" w:rsidR="00E266F9" w:rsidRPr="00E35F96" w:rsidRDefault="00E266F9" w:rsidP="00DF6F04">
            <w:pPr>
              <w:rPr>
                <w:rFonts w:ascii="Arial" w:hAnsi="Arial" w:cs="Arial"/>
                <w:color w:val="000000"/>
              </w:rPr>
            </w:pPr>
          </w:p>
          <w:p w14:paraId="6D163B8B" w14:textId="77777777" w:rsidR="00E266F9" w:rsidRPr="00227E88" w:rsidRDefault="00E266F9" w:rsidP="00E266F9">
            <w:pPr>
              <w:rPr>
                <w:rFonts w:ascii="Arial" w:hAnsi="Arial" w:cs="Arial"/>
                <w:b/>
                <w:i/>
                <w:color w:val="000000"/>
              </w:rPr>
            </w:pPr>
            <w:r w:rsidRPr="00227E88">
              <w:rPr>
                <w:rFonts w:ascii="Arial" w:hAnsi="Arial" w:cs="Arial"/>
                <w:b/>
                <w:i/>
                <w:color w:val="000000"/>
              </w:rPr>
              <w:t>Key to the risk / impact</w:t>
            </w:r>
          </w:p>
          <w:p w14:paraId="6D163B8C" w14:textId="77777777" w:rsidR="00E266F9" w:rsidRPr="00227E88" w:rsidRDefault="00E266F9" w:rsidP="00E266F9">
            <w:pPr>
              <w:rPr>
                <w:rFonts w:ascii="Arial" w:hAnsi="Arial" w:cs="Arial"/>
                <w:color w:val="000000"/>
              </w:rPr>
            </w:pPr>
          </w:p>
          <w:p w14:paraId="6D163B8D" w14:textId="77777777" w:rsidR="00E266F9" w:rsidRPr="00E35F96" w:rsidRDefault="00E266F9" w:rsidP="00E266F9">
            <w:pPr>
              <w:jc w:val="both"/>
              <w:rPr>
                <w:rFonts w:ascii="Arial" w:hAnsi="Arial" w:cs="Arial"/>
                <w:color w:val="000000"/>
              </w:rPr>
            </w:pPr>
            <w:r w:rsidRPr="00227E88">
              <w:rPr>
                <w:rFonts w:ascii="Arial" w:hAnsi="Arial" w:cs="Arial"/>
                <w:color w:val="000000"/>
              </w:rPr>
              <w:t xml:space="preserve">Scores between 0 and 5 are attributed to the impact of the risk. Scores between 0 and 5 are attributed to the likelihood of the risk from extremely unlikely (1) to extremely likely (6). The scores for each risk are combined and assigned red, </w:t>
            </w:r>
            <w:proofErr w:type="gramStart"/>
            <w:r w:rsidRPr="00227E88">
              <w:rPr>
                <w:rFonts w:ascii="Arial" w:hAnsi="Arial" w:cs="Arial"/>
                <w:color w:val="000000"/>
              </w:rPr>
              <w:t>amber</w:t>
            </w:r>
            <w:proofErr w:type="gramEnd"/>
            <w:r w:rsidRPr="00227E88">
              <w:rPr>
                <w:rFonts w:ascii="Arial" w:hAnsi="Arial" w:cs="Arial"/>
                <w:color w:val="000000"/>
              </w:rPr>
              <w:t xml:space="preserve"> or green in the heat map in accordance with the table below</w:t>
            </w:r>
            <w:r w:rsidRPr="00E35F96">
              <w:rPr>
                <w:rFonts w:ascii="Arial" w:hAnsi="Arial" w:cs="Arial"/>
                <w:color w:val="000000"/>
              </w:rPr>
              <w:t>.</w:t>
            </w:r>
          </w:p>
          <w:p w14:paraId="6D163B8E" w14:textId="77777777" w:rsidR="00E266F9" w:rsidRPr="00E35F96" w:rsidRDefault="00E266F9" w:rsidP="00E266F9">
            <w:pPr>
              <w:jc w:val="both"/>
              <w:rPr>
                <w:rFonts w:ascii="Arial" w:hAnsi="Arial" w:cs="Arial"/>
                <w:color w:val="000000"/>
              </w:rPr>
            </w:pPr>
          </w:p>
          <w:p w14:paraId="6D163B8F" w14:textId="77777777" w:rsidR="00E266F9" w:rsidRPr="00E35F96" w:rsidRDefault="00E266F9" w:rsidP="00E266F9">
            <w:pPr>
              <w:jc w:val="both"/>
              <w:rPr>
                <w:rFonts w:ascii="Arial" w:hAnsi="Arial" w:cs="Arial"/>
                <w:color w:val="000000"/>
              </w:rPr>
            </w:pPr>
            <w:r w:rsidRPr="00E35F96">
              <w:rPr>
                <w:rFonts w:ascii="Arial" w:hAnsi="Arial" w:cs="Arial"/>
                <w:noProof/>
              </w:rPr>
              <w:drawing>
                <wp:inline distT="0" distB="0" distL="0" distR="0" wp14:anchorId="6D164090" wp14:editId="764034C2">
                  <wp:extent cx="5005451" cy="3133493"/>
                  <wp:effectExtent l="0" t="0" r="508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9"/>
                          <a:stretch>
                            <a:fillRect/>
                          </a:stretch>
                        </pic:blipFill>
                        <pic:spPr>
                          <a:xfrm>
                            <a:off x="0" y="0"/>
                            <a:ext cx="5087231" cy="3184689"/>
                          </a:xfrm>
                          <a:prstGeom prst="rect">
                            <a:avLst/>
                          </a:prstGeom>
                        </pic:spPr>
                      </pic:pic>
                    </a:graphicData>
                  </a:graphic>
                </wp:inline>
              </w:drawing>
            </w:r>
          </w:p>
          <w:p w14:paraId="6D163B90" w14:textId="77777777" w:rsidR="00E266F9" w:rsidRPr="00E35F96" w:rsidRDefault="00E266F9" w:rsidP="00DF6F04">
            <w:pPr>
              <w:rPr>
                <w:rFonts w:ascii="Arial" w:hAnsi="Arial" w:cs="Arial"/>
                <w:color w:val="000000"/>
              </w:rPr>
            </w:pPr>
          </w:p>
          <w:p w14:paraId="6D163B91" w14:textId="77777777" w:rsidR="00E266F9" w:rsidRPr="00E35F96" w:rsidRDefault="00E266F9" w:rsidP="00DF6F04">
            <w:pPr>
              <w:rPr>
                <w:rFonts w:ascii="Arial" w:hAnsi="Arial" w:cs="Arial"/>
                <w:color w:val="000000"/>
              </w:rPr>
            </w:pPr>
          </w:p>
          <w:p w14:paraId="6D163B92" w14:textId="77777777" w:rsidR="00E266F9" w:rsidRPr="00E35F96" w:rsidRDefault="00E266F9" w:rsidP="00DF6F04">
            <w:pPr>
              <w:rPr>
                <w:rFonts w:ascii="Arial" w:hAnsi="Arial" w:cs="Arial"/>
                <w:color w:val="000000"/>
              </w:rPr>
            </w:pPr>
          </w:p>
        </w:tc>
        <w:tc>
          <w:tcPr>
            <w:tcW w:w="907" w:type="pct"/>
            <w:gridSpan w:val="5"/>
            <w:tcBorders>
              <w:top w:val="single" w:sz="6" w:space="0" w:color="FFFFFF"/>
              <w:left w:val="single" w:sz="6" w:space="0" w:color="FFFFFF"/>
              <w:bottom w:val="single" w:sz="6" w:space="0" w:color="FFFFFF"/>
              <w:right w:val="single" w:sz="6" w:space="0" w:color="FFFFFF"/>
            </w:tcBorders>
            <w:shd w:val="clear" w:color="auto" w:fill="FFFFFF"/>
            <w:tcMar>
              <w:top w:w="24" w:type="dxa"/>
              <w:left w:w="120" w:type="dxa"/>
              <w:bottom w:w="24" w:type="dxa"/>
              <w:right w:w="120" w:type="dxa"/>
            </w:tcMar>
          </w:tcPr>
          <w:p w14:paraId="6D163B93" w14:textId="77777777" w:rsidR="00DF6F04" w:rsidRPr="00E35F96" w:rsidRDefault="00DF6F04" w:rsidP="00DF6F04">
            <w:pPr>
              <w:jc w:val="right"/>
              <w:rPr>
                <w:rFonts w:ascii="Arial" w:hAnsi="Arial" w:cs="Arial"/>
                <w:color w:val="000000"/>
                <w:sz w:val="16"/>
                <w:szCs w:val="16"/>
              </w:rPr>
            </w:pPr>
          </w:p>
        </w:tc>
      </w:tr>
      <w:tr w:rsidR="00E266F9" w:rsidRPr="00227E88" w14:paraId="6D163B9A" w14:textId="77777777" w:rsidTr="0046586A">
        <w:tc>
          <w:tcPr>
            <w:tcW w:w="916" w:type="pct"/>
            <w:tcBorders>
              <w:top w:val="single" w:sz="6" w:space="0" w:color="78786E"/>
              <w:left w:val="single" w:sz="6" w:space="0" w:color="78786E"/>
              <w:bottom w:val="single" w:sz="6" w:space="0" w:color="78786E"/>
              <w:right w:val="single" w:sz="6" w:space="0" w:color="78786E"/>
            </w:tcBorders>
            <w:shd w:val="clear" w:color="auto" w:fill="CCCCCC"/>
            <w:vAlign w:val="center"/>
          </w:tcPr>
          <w:p w14:paraId="6D163B9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 Risk Title </w:t>
            </w:r>
          </w:p>
        </w:tc>
        <w:tc>
          <w:tcPr>
            <w:tcW w:w="1605"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9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9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1" w:type="pct"/>
            <w:gridSpan w:val="4"/>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9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834" w:type="pct"/>
            <w:gridSpan w:val="4"/>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9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Risk - Latest Note</w:t>
            </w:r>
          </w:p>
        </w:tc>
      </w:tr>
      <w:tr w:rsidR="00E266F9" w:rsidRPr="00227E88" w14:paraId="6D163BA0" w14:textId="77777777" w:rsidTr="0046586A">
        <w:trPr>
          <w:trHeight w:val="1443"/>
        </w:trPr>
        <w:tc>
          <w:tcPr>
            <w:tcW w:w="916" w:type="pct"/>
            <w:tcBorders>
              <w:top w:val="single" w:sz="6" w:space="0" w:color="78786E"/>
              <w:left w:val="single" w:sz="6" w:space="0" w:color="78786E"/>
              <w:bottom w:val="single" w:sz="6" w:space="0" w:color="78786E"/>
              <w:right w:val="single" w:sz="6" w:space="0" w:color="78786E"/>
            </w:tcBorders>
            <w:shd w:val="clear" w:color="auto" w:fill="FFFFFF"/>
            <w:vAlign w:val="center"/>
          </w:tcPr>
          <w:p w14:paraId="6D163B9B"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Underlying financial information is incorrect </w:t>
            </w:r>
          </w:p>
        </w:tc>
        <w:tc>
          <w:tcPr>
            <w:tcW w:w="1605"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9C"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Information contained in Report &amp; Accounts is inaccurate due to poor financial controls and recording of financial information leading to qualification of accounts and inaccurate valuations with financial and reputational impact </w:t>
            </w:r>
          </w:p>
        </w:tc>
        <w:tc>
          <w:tcPr>
            <w:tcW w:w="66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9D" w14:textId="77777777" w:rsidR="00DF6F04" w:rsidRPr="00E35F96" w:rsidRDefault="00DF6F04" w:rsidP="00E03107">
            <w:pPr>
              <w:ind w:right="-166"/>
              <w:rPr>
                <w:rFonts w:ascii="Arial" w:hAnsi="Arial" w:cs="Arial"/>
                <w:color w:val="000000"/>
                <w:sz w:val="16"/>
                <w:szCs w:val="16"/>
              </w:rPr>
            </w:pPr>
            <w:r w:rsidRPr="00E35F96">
              <w:rPr>
                <w:rFonts w:ascii="Arial" w:hAnsi="Arial" w:cs="Arial"/>
                <w:color w:val="000000"/>
                <w:sz w:val="16"/>
                <w:szCs w:val="16"/>
              </w:rPr>
              <w:t xml:space="preserve">Finance </w:t>
            </w:r>
          </w:p>
        </w:tc>
        <w:tc>
          <w:tcPr>
            <w:tcW w:w="981" w:type="pct"/>
            <w:gridSpan w:val="4"/>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9E"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92" wp14:editId="1834F93B">
                  <wp:extent cx="1092835" cy="936625"/>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834" w:type="pct"/>
            <w:gridSpan w:val="4"/>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9F"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Reviewed </w:t>
            </w:r>
            <w:r w:rsidR="00E266F9" w:rsidRPr="00E35F96">
              <w:rPr>
                <w:rFonts w:ascii="Arial" w:hAnsi="Arial" w:cs="Arial"/>
                <w:color w:val="000000"/>
                <w:sz w:val="16"/>
                <w:szCs w:val="16"/>
              </w:rPr>
              <w:t>August 2018</w:t>
            </w:r>
            <w:r w:rsidRPr="00E35F96">
              <w:rPr>
                <w:rFonts w:ascii="Arial" w:hAnsi="Arial" w:cs="Arial"/>
                <w:color w:val="000000"/>
                <w:sz w:val="16"/>
                <w:szCs w:val="16"/>
              </w:rPr>
              <w:t xml:space="preserve"> - ongoing </w:t>
            </w:r>
          </w:p>
        </w:tc>
      </w:tr>
      <w:tr w:rsidR="00E266F9" w:rsidRPr="00227E88" w14:paraId="6D163BA8" w14:textId="77777777" w:rsidTr="0046586A">
        <w:tc>
          <w:tcPr>
            <w:tcW w:w="91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A1"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49"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A2"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2145" w:type="pct"/>
            <w:gridSpan w:val="3"/>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A3"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10"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A4"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47" w:type="pct"/>
            <w:gridSpan w:val="3"/>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A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72" w:type="pct"/>
            <w:gridSpan w:val="2"/>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A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6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A7"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E266F9" w:rsidRPr="00227E88" w14:paraId="6D163BAF" w14:textId="77777777" w:rsidTr="0046586A">
        <w:tc>
          <w:tcPr>
            <w:tcW w:w="916" w:type="pct"/>
            <w:tcBorders>
              <w:top w:val="single" w:sz="6" w:space="0" w:color="78786E"/>
              <w:left w:val="single" w:sz="6" w:space="0" w:color="78786E"/>
              <w:bottom w:val="single" w:sz="6" w:space="0" w:color="78786E"/>
              <w:right w:val="single" w:sz="6" w:space="0" w:color="78786E"/>
            </w:tcBorders>
            <w:shd w:val="clear" w:color="auto" w:fill="CCCCCC"/>
            <w:vAlign w:val="center"/>
          </w:tcPr>
          <w:p w14:paraId="6D163BA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605"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A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A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1" w:type="pct"/>
            <w:gridSpan w:val="4"/>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A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330"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A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504"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A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E266F9" w:rsidRPr="00227E88" w14:paraId="6D163BB6" w14:textId="77777777" w:rsidTr="0046586A">
        <w:tc>
          <w:tcPr>
            <w:tcW w:w="916" w:type="pct"/>
            <w:tcBorders>
              <w:top w:val="single" w:sz="6" w:space="0" w:color="78786E"/>
              <w:left w:val="single" w:sz="6" w:space="0" w:color="78786E"/>
              <w:bottom w:val="single" w:sz="6" w:space="0" w:color="78786E"/>
              <w:right w:val="single" w:sz="6" w:space="0" w:color="78786E"/>
            </w:tcBorders>
            <w:shd w:val="clear" w:color="auto" w:fill="FFFFFF"/>
            <w:vAlign w:val="center"/>
          </w:tcPr>
          <w:p w14:paraId="6D163BB0"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Underlying financial information incorrect: Monitoring Reconciliations of key financial transactions. </w:t>
            </w:r>
          </w:p>
        </w:tc>
        <w:tc>
          <w:tcPr>
            <w:tcW w:w="1605"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B1"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Quarterly &amp; annual reconciliations of all accounting data. Monthly reconciliation of cash book, bank accounts.</w:t>
            </w:r>
          </w:p>
        </w:tc>
        <w:tc>
          <w:tcPr>
            <w:tcW w:w="66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34C28D40" w14:textId="77777777" w:rsidR="009E35A7" w:rsidRDefault="00DF6F04" w:rsidP="00E03107">
            <w:pPr>
              <w:rPr>
                <w:rFonts w:ascii="Arial" w:hAnsi="Arial" w:cs="Arial"/>
                <w:color w:val="000000"/>
                <w:sz w:val="16"/>
                <w:szCs w:val="16"/>
              </w:rPr>
            </w:pPr>
            <w:r w:rsidRPr="00E35F96">
              <w:rPr>
                <w:rFonts w:ascii="Arial" w:hAnsi="Arial" w:cs="Arial"/>
                <w:color w:val="000000"/>
                <w:sz w:val="16"/>
                <w:szCs w:val="16"/>
              </w:rPr>
              <w:t>David Dickinson</w:t>
            </w:r>
          </w:p>
          <w:p w14:paraId="6D163BB2" w14:textId="3256FB7D" w:rsidR="00DF6F04" w:rsidRPr="00E35F96" w:rsidRDefault="007B499B" w:rsidP="00E03107">
            <w:pPr>
              <w:rPr>
                <w:rFonts w:ascii="Arial" w:hAnsi="Arial" w:cs="Arial"/>
                <w:color w:val="000000"/>
                <w:sz w:val="16"/>
                <w:szCs w:val="16"/>
              </w:rPr>
            </w:pPr>
            <w:r>
              <w:rPr>
                <w:rFonts w:ascii="Arial" w:hAnsi="Arial" w:cs="Arial"/>
                <w:color w:val="000000"/>
                <w:sz w:val="16"/>
                <w:szCs w:val="16"/>
              </w:rPr>
              <w:t>Jesmine Anwar</w:t>
            </w:r>
          </w:p>
        </w:tc>
        <w:tc>
          <w:tcPr>
            <w:tcW w:w="981" w:type="pct"/>
            <w:gridSpan w:val="4"/>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B3" w14:textId="27EBA110" w:rsidR="00DF6F04" w:rsidRPr="00E35F96" w:rsidRDefault="009129F7" w:rsidP="00E03107">
            <w:pPr>
              <w:rPr>
                <w:rFonts w:ascii="Arial" w:hAnsi="Arial" w:cs="Arial"/>
                <w:color w:val="000000"/>
                <w:sz w:val="16"/>
                <w:szCs w:val="16"/>
              </w:rPr>
            </w:pPr>
            <w:r>
              <w:rPr>
                <w:rFonts w:ascii="Arial" w:hAnsi="Arial" w:cs="Arial"/>
                <w:color w:val="000000"/>
                <w:sz w:val="16"/>
                <w:szCs w:val="16"/>
              </w:rPr>
              <w:t>Philip Gregory</w:t>
            </w:r>
            <w:r w:rsidR="00DF6F04" w:rsidRPr="00E35F96">
              <w:rPr>
                <w:rFonts w:ascii="Arial" w:hAnsi="Arial" w:cs="Arial"/>
                <w:color w:val="000000"/>
                <w:sz w:val="16"/>
                <w:szCs w:val="16"/>
              </w:rPr>
              <w:t xml:space="preserve"> </w:t>
            </w:r>
          </w:p>
        </w:tc>
        <w:tc>
          <w:tcPr>
            <w:tcW w:w="330"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B4" w14:textId="1C9B0A5D" w:rsidR="00DF6F04" w:rsidRPr="00E35F96" w:rsidRDefault="00AF5822" w:rsidP="00E03107">
            <w:pPr>
              <w:rPr>
                <w:rFonts w:ascii="Arial" w:hAnsi="Arial" w:cs="Arial"/>
                <w:color w:val="000000"/>
                <w:sz w:val="16"/>
                <w:szCs w:val="16"/>
              </w:rPr>
            </w:pPr>
            <w:r w:rsidRPr="00E35F96">
              <w:rPr>
                <w:rFonts w:ascii="Arial" w:hAnsi="Arial" w:cs="Arial"/>
                <w:color w:val="000000"/>
                <w:sz w:val="16"/>
                <w:szCs w:val="16"/>
              </w:rPr>
              <w:t>30 June 20</w:t>
            </w:r>
            <w:r w:rsidR="00BE4106">
              <w:rPr>
                <w:rFonts w:ascii="Arial" w:hAnsi="Arial" w:cs="Arial"/>
                <w:color w:val="000000"/>
                <w:sz w:val="16"/>
                <w:szCs w:val="16"/>
              </w:rPr>
              <w:t>21</w:t>
            </w:r>
            <w:r w:rsidR="00DF6F04" w:rsidRPr="00E35F96">
              <w:rPr>
                <w:rFonts w:ascii="Arial" w:hAnsi="Arial" w:cs="Arial"/>
                <w:color w:val="000000"/>
                <w:sz w:val="16"/>
                <w:szCs w:val="16"/>
              </w:rPr>
              <w:t xml:space="preserve"> </w:t>
            </w:r>
          </w:p>
        </w:tc>
        <w:tc>
          <w:tcPr>
            <w:tcW w:w="504"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B5" w14:textId="02E95B25"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Reviewed August 201</w:t>
            </w:r>
            <w:r w:rsidR="00421992">
              <w:rPr>
                <w:rFonts w:ascii="Arial" w:hAnsi="Arial" w:cs="Arial"/>
                <w:color w:val="000000"/>
                <w:sz w:val="16"/>
                <w:szCs w:val="16"/>
              </w:rPr>
              <w:t>8</w:t>
            </w:r>
            <w:r w:rsidRPr="00E35F96">
              <w:rPr>
                <w:rFonts w:ascii="Arial" w:hAnsi="Arial" w:cs="Arial"/>
                <w:color w:val="000000"/>
                <w:sz w:val="16"/>
                <w:szCs w:val="16"/>
              </w:rPr>
              <w:t xml:space="preserve"> </w:t>
            </w:r>
            <w:r w:rsidR="00DF6F04" w:rsidRPr="00E35F96">
              <w:rPr>
                <w:rFonts w:ascii="Arial" w:hAnsi="Arial" w:cs="Arial"/>
                <w:color w:val="000000"/>
                <w:sz w:val="16"/>
                <w:szCs w:val="16"/>
              </w:rPr>
              <w:t xml:space="preserve">- controls ongoing </w:t>
            </w:r>
          </w:p>
        </w:tc>
      </w:tr>
    </w:tbl>
    <w:p w14:paraId="6D163BB7" w14:textId="77777777" w:rsidR="00DF6F04" w:rsidRPr="00E35F96" w:rsidRDefault="00DF6F04" w:rsidP="00E03107">
      <w:pPr>
        <w:rPr>
          <w:rFonts w:ascii="Arial" w:hAnsi="Arial" w:cs="Arial"/>
        </w:rPr>
      </w:pPr>
    </w:p>
    <w:tbl>
      <w:tblPr>
        <w:tblW w:w="5392" w:type="pct"/>
        <w:tblInd w:w="-20" w:type="dxa"/>
        <w:tblCellMar>
          <w:top w:w="30" w:type="dxa"/>
          <w:left w:w="30" w:type="dxa"/>
          <w:bottom w:w="30" w:type="dxa"/>
          <w:right w:w="30" w:type="dxa"/>
        </w:tblCellMar>
        <w:tblLook w:val="04A0" w:firstRow="1" w:lastRow="0" w:firstColumn="1" w:lastColumn="0" w:noHBand="0" w:noVBand="1"/>
      </w:tblPr>
      <w:tblGrid>
        <w:gridCol w:w="842"/>
        <w:gridCol w:w="286"/>
        <w:gridCol w:w="229"/>
        <w:gridCol w:w="3743"/>
        <w:gridCol w:w="1233"/>
        <w:gridCol w:w="1961"/>
        <w:gridCol w:w="840"/>
        <w:gridCol w:w="943"/>
      </w:tblGrid>
      <w:tr w:rsidR="00DF6F04" w:rsidRPr="00227E88" w14:paraId="6D163BBD" w14:textId="77777777" w:rsidTr="00E03107">
        <w:tc>
          <w:tcPr>
            <w:tcW w:w="764" w:type="pct"/>
            <w:gridSpan w:val="3"/>
            <w:tcBorders>
              <w:top w:val="single" w:sz="6" w:space="0" w:color="78786E"/>
              <w:left w:val="single" w:sz="6" w:space="0" w:color="78786E"/>
              <w:bottom w:val="single" w:sz="6" w:space="0" w:color="78786E"/>
              <w:right w:val="single" w:sz="6" w:space="0" w:color="78786E"/>
            </w:tcBorders>
            <w:shd w:val="clear" w:color="auto" w:fill="CCCCCC"/>
            <w:vAlign w:val="center"/>
          </w:tcPr>
          <w:p w14:paraId="6D163BB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2 Risk Title </w:t>
            </w:r>
          </w:p>
        </w:tc>
        <w:tc>
          <w:tcPr>
            <w:tcW w:w="190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B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4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B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74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B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942"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B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BC3" w14:textId="77777777" w:rsidTr="00E03107">
        <w:tc>
          <w:tcPr>
            <w:tcW w:w="764" w:type="pct"/>
            <w:gridSpan w:val="3"/>
            <w:tcBorders>
              <w:top w:val="single" w:sz="6" w:space="0" w:color="78786E"/>
              <w:left w:val="single" w:sz="6" w:space="0" w:color="78786E"/>
              <w:bottom w:val="single" w:sz="6" w:space="0" w:color="78786E"/>
              <w:right w:val="single" w:sz="6" w:space="0" w:color="78786E"/>
            </w:tcBorders>
            <w:shd w:val="clear" w:color="auto" w:fill="FFFFFF"/>
            <w:vAlign w:val="center"/>
          </w:tcPr>
          <w:p w14:paraId="6D163BBE"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Poor stakeholder engagement </w:t>
            </w:r>
          </w:p>
        </w:tc>
        <w:tc>
          <w:tcPr>
            <w:tcW w:w="190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BF"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Poor communication with stakeholders giving rise to disaffection and actions against Council </w:t>
            </w:r>
          </w:p>
        </w:tc>
        <w:tc>
          <w:tcPr>
            <w:tcW w:w="64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C0"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74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C1"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94" wp14:editId="4349FE90">
                  <wp:extent cx="1092835" cy="9366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942"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C2" w14:textId="4D5A473F"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Reviewed August 201</w:t>
            </w:r>
            <w:r w:rsidR="00421992">
              <w:rPr>
                <w:rFonts w:ascii="Arial" w:hAnsi="Arial" w:cs="Arial"/>
                <w:color w:val="000000"/>
                <w:sz w:val="16"/>
                <w:szCs w:val="16"/>
              </w:rPr>
              <w:t>8</w:t>
            </w:r>
          </w:p>
        </w:tc>
      </w:tr>
      <w:tr w:rsidR="00DF6F04" w:rsidRPr="00227E88" w14:paraId="6D163BCB" w14:textId="77777777" w:rsidTr="00E03107">
        <w:tc>
          <w:tcPr>
            <w:tcW w:w="453"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C4"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4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C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2067" w:type="pct"/>
            <w:gridSpan w:val="2"/>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C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4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C7"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4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C8"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5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C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9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C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BD2" w14:textId="77777777" w:rsidTr="00E03107">
        <w:tc>
          <w:tcPr>
            <w:tcW w:w="764" w:type="pct"/>
            <w:gridSpan w:val="3"/>
            <w:tcBorders>
              <w:top w:val="single" w:sz="6" w:space="0" w:color="78786E"/>
              <w:left w:val="single" w:sz="6" w:space="0" w:color="78786E"/>
              <w:bottom w:val="single" w:sz="6" w:space="0" w:color="78786E"/>
              <w:right w:val="single" w:sz="6" w:space="0" w:color="78786E"/>
            </w:tcBorders>
            <w:shd w:val="clear" w:color="auto" w:fill="CCCCCC"/>
            <w:vAlign w:val="center"/>
          </w:tcPr>
          <w:p w14:paraId="6D163BC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90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C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4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C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74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C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5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D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49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D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DF6F04" w:rsidRPr="00227E88" w14:paraId="6D163BD9" w14:textId="77777777" w:rsidTr="00E03107">
        <w:tc>
          <w:tcPr>
            <w:tcW w:w="764" w:type="pct"/>
            <w:gridSpan w:val="3"/>
            <w:tcBorders>
              <w:top w:val="single" w:sz="6" w:space="0" w:color="78786E"/>
              <w:left w:val="single" w:sz="6" w:space="0" w:color="78786E"/>
              <w:bottom w:val="single" w:sz="6" w:space="0" w:color="78786E"/>
              <w:right w:val="single" w:sz="6" w:space="0" w:color="78786E"/>
            </w:tcBorders>
            <w:shd w:val="clear" w:color="auto" w:fill="FFFFFF"/>
            <w:vAlign w:val="center"/>
          </w:tcPr>
          <w:p w14:paraId="6D163BD3" w14:textId="77777777" w:rsidR="00DF6F04" w:rsidRPr="00E35F96" w:rsidRDefault="00DF6F04" w:rsidP="00E03107">
            <w:pPr>
              <w:ind w:right="109"/>
              <w:rPr>
                <w:rFonts w:ascii="Arial" w:hAnsi="Arial" w:cs="Arial"/>
                <w:color w:val="000000"/>
                <w:sz w:val="16"/>
                <w:szCs w:val="16"/>
              </w:rPr>
            </w:pPr>
            <w:r w:rsidRPr="00E35F96">
              <w:rPr>
                <w:rFonts w:ascii="Arial" w:hAnsi="Arial" w:cs="Arial"/>
                <w:color w:val="000000"/>
                <w:sz w:val="16"/>
                <w:szCs w:val="16"/>
              </w:rPr>
              <w:t xml:space="preserve">Poor stakeholder engagement and giving rise to disaffection and actions against Council </w:t>
            </w:r>
          </w:p>
        </w:tc>
        <w:tc>
          <w:tcPr>
            <w:tcW w:w="190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D4"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Annual Newsletter on Pension Fund, updates to any changes to scheme Website, presentations. Employer meetings, communications strategy AGM. Pension Specific Website. Increase in FTE.</w:t>
            </w:r>
          </w:p>
        </w:tc>
        <w:tc>
          <w:tcPr>
            <w:tcW w:w="64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D5"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David Dickinson, Justine Spring </w:t>
            </w:r>
          </w:p>
        </w:tc>
        <w:tc>
          <w:tcPr>
            <w:tcW w:w="74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D6" w14:textId="201C801F" w:rsidR="00DF6F04" w:rsidRPr="00E35F96" w:rsidRDefault="00AE3E39" w:rsidP="00E03107">
            <w:pPr>
              <w:rPr>
                <w:rFonts w:ascii="Arial" w:hAnsi="Arial" w:cs="Arial"/>
                <w:color w:val="000000"/>
                <w:sz w:val="16"/>
                <w:szCs w:val="16"/>
              </w:rPr>
            </w:pPr>
            <w:r>
              <w:rPr>
                <w:rFonts w:ascii="Arial" w:hAnsi="Arial" w:cs="Arial"/>
                <w:color w:val="000000"/>
                <w:sz w:val="16"/>
                <w:szCs w:val="16"/>
              </w:rPr>
              <w:t>Philip Gregory</w:t>
            </w:r>
          </w:p>
        </w:tc>
        <w:tc>
          <w:tcPr>
            <w:tcW w:w="45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D7" w14:textId="47CD9525" w:rsidR="00DF6F04" w:rsidRPr="00E35F96" w:rsidRDefault="00AF5822" w:rsidP="00E03107">
            <w:pPr>
              <w:rPr>
                <w:rFonts w:ascii="Arial" w:hAnsi="Arial" w:cs="Arial"/>
                <w:color w:val="000000"/>
                <w:sz w:val="16"/>
                <w:szCs w:val="16"/>
              </w:rPr>
            </w:pPr>
            <w:r w:rsidRPr="00E35F96">
              <w:rPr>
                <w:rFonts w:ascii="Arial" w:hAnsi="Arial" w:cs="Arial"/>
                <w:color w:val="000000"/>
                <w:sz w:val="16"/>
                <w:szCs w:val="16"/>
              </w:rPr>
              <w:t>30 June 20</w:t>
            </w:r>
            <w:r w:rsidR="00AE3E39">
              <w:rPr>
                <w:rFonts w:ascii="Arial" w:hAnsi="Arial" w:cs="Arial"/>
                <w:color w:val="000000"/>
                <w:sz w:val="16"/>
                <w:szCs w:val="16"/>
              </w:rPr>
              <w:t>21</w:t>
            </w:r>
          </w:p>
        </w:tc>
        <w:tc>
          <w:tcPr>
            <w:tcW w:w="49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D8" w14:textId="34DF9724"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Reviewed August 201</w:t>
            </w:r>
            <w:r w:rsidR="00AE3E39">
              <w:rPr>
                <w:rFonts w:ascii="Arial" w:hAnsi="Arial" w:cs="Arial"/>
                <w:color w:val="000000"/>
                <w:sz w:val="16"/>
                <w:szCs w:val="16"/>
              </w:rPr>
              <w:t>9</w:t>
            </w:r>
          </w:p>
        </w:tc>
      </w:tr>
    </w:tbl>
    <w:p w14:paraId="6D163BDA" w14:textId="77777777" w:rsidR="00DF6F04" w:rsidRPr="00E35F96" w:rsidRDefault="00DF6F04" w:rsidP="00E03107">
      <w:pPr>
        <w:rPr>
          <w:rFonts w:ascii="Arial" w:hAnsi="Arial" w:cs="Arial"/>
        </w:rPr>
      </w:pPr>
    </w:p>
    <w:tbl>
      <w:tblPr>
        <w:tblW w:w="5392" w:type="pct"/>
        <w:tblInd w:w="-20" w:type="dxa"/>
        <w:tblCellMar>
          <w:top w:w="30" w:type="dxa"/>
          <w:left w:w="30" w:type="dxa"/>
          <w:bottom w:w="30" w:type="dxa"/>
          <w:right w:w="30" w:type="dxa"/>
        </w:tblCellMar>
        <w:tblLook w:val="04A0" w:firstRow="1" w:lastRow="0" w:firstColumn="1" w:lastColumn="0" w:noHBand="0" w:noVBand="1"/>
      </w:tblPr>
      <w:tblGrid>
        <w:gridCol w:w="286"/>
        <w:gridCol w:w="1218"/>
        <w:gridCol w:w="2818"/>
        <w:gridCol w:w="1226"/>
        <w:gridCol w:w="1961"/>
        <w:gridCol w:w="1032"/>
        <w:gridCol w:w="1536"/>
      </w:tblGrid>
      <w:tr w:rsidR="00DF6F04" w:rsidRPr="00227E88" w14:paraId="6D163BE0" w14:textId="77777777" w:rsidTr="00E03107">
        <w:tc>
          <w:tcPr>
            <w:tcW w:w="821"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BD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3 Risk Title </w:t>
            </w:r>
          </w:p>
        </w:tc>
        <w:tc>
          <w:tcPr>
            <w:tcW w:w="143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D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4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D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74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D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350"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D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BE6" w14:textId="77777777" w:rsidTr="00E03107">
        <w:tc>
          <w:tcPr>
            <w:tcW w:w="821"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BE1"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Reliance on External Systems </w:t>
            </w:r>
          </w:p>
        </w:tc>
        <w:tc>
          <w:tcPr>
            <w:tcW w:w="143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E2" w14:textId="353A1730" w:rsidR="00DF6F04" w:rsidRPr="00E35F96" w:rsidRDefault="007D454A" w:rsidP="00E03107">
            <w:pPr>
              <w:rPr>
                <w:rFonts w:ascii="Arial" w:hAnsi="Arial" w:cs="Arial"/>
                <w:color w:val="000000"/>
                <w:sz w:val="16"/>
                <w:szCs w:val="16"/>
              </w:rPr>
            </w:pPr>
            <w:r w:rsidRPr="00E35F96">
              <w:rPr>
                <w:rFonts w:ascii="Arial" w:hAnsi="Arial" w:cs="Arial"/>
                <w:color w:val="000000"/>
                <w:sz w:val="16"/>
                <w:szCs w:val="16"/>
              </w:rPr>
              <w:t>R</w:t>
            </w:r>
            <w:r w:rsidR="00DF6F04" w:rsidRPr="00E35F96">
              <w:rPr>
                <w:rFonts w:ascii="Arial" w:hAnsi="Arial" w:cs="Arial"/>
                <w:color w:val="000000"/>
                <w:sz w:val="16"/>
                <w:szCs w:val="16"/>
              </w:rPr>
              <w:t xml:space="preserve">eliance on external systems in all aspects of Pensions which includes Lloyds, </w:t>
            </w:r>
            <w:r w:rsidR="00FD091D">
              <w:rPr>
                <w:rFonts w:ascii="Arial" w:hAnsi="Arial" w:cs="Arial"/>
                <w:color w:val="000000"/>
                <w:sz w:val="16"/>
                <w:szCs w:val="16"/>
              </w:rPr>
              <w:t>Northern Trust</w:t>
            </w:r>
            <w:r w:rsidR="00DF6F04" w:rsidRPr="00E35F96">
              <w:rPr>
                <w:rFonts w:ascii="Arial" w:hAnsi="Arial" w:cs="Arial"/>
                <w:color w:val="000000"/>
                <w:sz w:val="16"/>
                <w:szCs w:val="16"/>
              </w:rPr>
              <w:t xml:space="preserve">, Fund Managers, Heywood, Logotech. Failure of systems could result in significant issues. </w:t>
            </w:r>
          </w:p>
        </w:tc>
        <w:tc>
          <w:tcPr>
            <w:tcW w:w="64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E3"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74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E4"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96" wp14:editId="08B7A1A6">
                  <wp:extent cx="1092835" cy="9366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350"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E5"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Updated </w:t>
            </w:r>
            <w:r w:rsidR="00AF5822" w:rsidRPr="00E35F96">
              <w:rPr>
                <w:rFonts w:ascii="Arial" w:hAnsi="Arial" w:cs="Arial"/>
                <w:color w:val="000000"/>
                <w:sz w:val="16"/>
                <w:szCs w:val="16"/>
              </w:rPr>
              <w:t>April 201</w:t>
            </w:r>
            <w:r w:rsidR="00F30919" w:rsidRPr="00E35F96">
              <w:rPr>
                <w:rFonts w:ascii="Arial" w:hAnsi="Arial" w:cs="Arial"/>
                <w:color w:val="000000"/>
                <w:sz w:val="16"/>
                <w:szCs w:val="16"/>
              </w:rPr>
              <w:t>8</w:t>
            </w:r>
            <w:r w:rsidRPr="00E35F96">
              <w:rPr>
                <w:rFonts w:ascii="Arial" w:hAnsi="Arial" w:cs="Arial"/>
                <w:color w:val="000000"/>
                <w:sz w:val="16"/>
                <w:szCs w:val="16"/>
              </w:rPr>
              <w:t xml:space="preserve"> - risk merged with </w:t>
            </w:r>
            <w:r w:rsidR="007D454A" w:rsidRPr="00E35F96">
              <w:rPr>
                <w:rFonts w:ascii="Arial" w:hAnsi="Arial" w:cs="Arial"/>
                <w:color w:val="000000"/>
                <w:sz w:val="16"/>
                <w:szCs w:val="16"/>
              </w:rPr>
              <w:t>several</w:t>
            </w:r>
            <w:r w:rsidRPr="00E35F96">
              <w:rPr>
                <w:rFonts w:ascii="Arial" w:hAnsi="Arial" w:cs="Arial"/>
                <w:color w:val="000000"/>
                <w:sz w:val="16"/>
                <w:szCs w:val="16"/>
              </w:rPr>
              <w:t xml:space="preserve"> separate risks which dealt with risks to individual systems. Systems failure impact</w:t>
            </w:r>
            <w:r w:rsidR="007D454A" w:rsidRPr="00E35F96">
              <w:rPr>
                <w:rFonts w:ascii="Arial" w:hAnsi="Arial" w:cs="Arial"/>
                <w:color w:val="000000"/>
                <w:sz w:val="16"/>
                <w:szCs w:val="16"/>
              </w:rPr>
              <w:t>s</w:t>
            </w:r>
            <w:r w:rsidRPr="00E35F96">
              <w:rPr>
                <w:rFonts w:ascii="Arial" w:hAnsi="Arial" w:cs="Arial"/>
                <w:color w:val="000000"/>
                <w:sz w:val="16"/>
                <w:szCs w:val="16"/>
              </w:rPr>
              <w:t xml:space="preserve"> all areas of Pensions. </w:t>
            </w:r>
          </w:p>
        </w:tc>
      </w:tr>
      <w:tr w:rsidR="00DF6F04" w:rsidRPr="00227E88" w14:paraId="6D163BEE" w14:textId="77777777" w:rsidTr="00E03107">
        <w:tc>
          <w:tcPr>
            <w:tcW w:w="16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E7"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E8"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43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E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4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E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4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EB"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550"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E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800"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BED"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BF5" w14:textId="77777777" w:rsidTr="00E03107">
        <w:tc>
          <w:tcPr>
            <w:tcW w:w="821"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BE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43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F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4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F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74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F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550"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F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800"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F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DF6F04" w:rsidRPr="00227E88" w14:paraId="6D163BFC" w14:textId="77777777" w:rsidTr="00E03107">
        <w:tc>
          <w:tcPr>
            <w:tcW w:w="821"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BF6"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BCP and manual processes</w:t>
            </w:r>
          </w:p>
        </w:tc>
        <w:tc>
          <w:tcPr>
            <w:tcW w:w="143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F7" w14:textId="77777777" w:rsidR="00DF6F04" w:rsidRPr="00E35F96" w:rsidRDefault="00DF6F04" w:rsidP="007D454A">
            <w:pPr>
              <w:rPr>
                <w:rFonts w:ascii="Arial" w:hAnsi="Arial" w:cs="Arial"/>
                <w:color w:val="000000"/>
                <w:sz w:val="16"/>
                <w:szCs w:val="16"/>
              </w:rPr>
            </w:pPr>
            <w:r w:rsidRPr="00E35F96">
              <w:rPr>
                <w:rFonts w:ascii="Arial" w:hAnsi="Arial" w:cs="Arial"/>
                <w:color w:val="000000"/>
                <w:sz w:val="16"/>
                <w:szCs w:val="16"/>
              </w:rPr>
              <w:t xml:space="preserve">BCP includes use of manual process in emergency, backing up of records, working from home etc.  The administration is provided through a hosted environment with </w:t>
            </w:r>
            <w:proofErr w:type="gramStart"/>
            <w:r w:rsidRPr="00E35F96">
              <w:rPr>
                <w:rFonts w:ascii="Arial" w:hAnsi="Arial" w:cs="Arial"/>
                <w:color w:val="000000"/>
                <w:sz w:val="16"/>
                <w:szCs w:val="16"/>
              </w:rPr>
              <w:t>a number of</w:t>
            </w:r>
            <w:proofErr w:type="gramEnd"/>
            <w:r w:rsidRPr="00E35F96">
              <w:rPr>
                <w:rFonts w:ascii="Arial" w:hAnsi="Arial" w:cs="Arial"/>
                <w:color w:val="000000"/>
                <w:sz w:val="16"/>
                <w:szCs w:val="16"/>
              </w:rPr>
              <w:t xml:space="preserve"> disaster recovery options.</w:t>
            </w:r>
          </w:p>
        </w:tc>
        <w:tc>
          <w:tcPr>
            <w:tcW w:w="64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F8"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74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F9" w14:textId="64CB0104" w:rsidR="00DF6F04" w:rsidRPr="00E35F96" w:rsidRDefault="00421992" w:rsidP="00E03107">
            <w:pPr>
              <w:rPr>
                <w:rFonts w:ascii="Arial" w:hAnsi="Arial" w:cs="Arial"/>
                <w:color w:val="000000"/>
                <w:sz w:val="16"/>
                <w:szCs w:val="16"/>
              </w:rPr>
            </w:pPr>
            <w:r>
              <w:rPr>
                <w:rFonts w:ascii="Arial" w:hAnsi="Arial" w:cs="Arial"/>
                <w:color w:val="000000"/>
                <w:sz w:val="16"/>
                <w:szCs w:val="16"/>
              </w:rPr>
              <w:t>Philip Gregory</w:t>
            </w:r>
          </w:p>
        </w:tc>
        <w:tc>
          <w:tcPr>
            <w:tcW w:w="550"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FA" w14:textId="32D12BFE" w:rsidR="00DF6F04" w:rsidRPr="00E35F96" w:rsidRDefault="00AF5822" w:rsidP="00E03107">
            <w:pPr>
              <w:rPr>
                <w:rFonts w:ascii="Arial" w:hAnsi="Arial" w:cs="Arial"/>
                <w:color w:val="000000"/>
                <w:sz w:val="16"/>
                <w:szCs w:val="16"/>
              </w:rPr>
            </w:pPr>
            <w:r w:rsidRPr="00E35F96">
              <w:rPr>
                <w:rFonts w:ascii="Arial" w:hAnsi="Arial" w:cs="Arial"/>
                <w:color w:val="000000"/>
                <w:sz w:val="16"/>
                <w:szCs w:val="16"/>
              </w:rPr>
              <w:t>30 June 20</w:t>
            </w:r>
            <w:r w:rsidR="00421992">
              <w:rPr>
                <w:rFonts w:ascii="Arial" w:hAnsi="Arial" w:cs="Arial"/>
                <w:color w:val="000000"/>
                <w:sz w:val="16"/>
                <w:szCs w:val="16"/>
              </w:rPr>
              <w:t>21</w:t>
            </w:r>
          </w:p>
        </w:tc>
        <w:tc>
          <w:tcPr>
            <w:tcW w:w="800"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BFB" w14:textId="77777777"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Reviewed August 2018</w:t>
            </w:r>
          </w:p>
        </w:tc>
      </w:tr>
    </w:tbl>
    <w:p w14:paraId="6D163BFD" w14:textId="77777777" w:rsidR="00DF6F04" w:rsidRPr="00E35F96" w:rsidRDefault="00DF6F04" w:rsidP="00E03107">
      <w:pPr>
        <w:rPr>
          <w:rFonts w:ascii="Arial" w:hAnsi="Arial" w:cs="Arial"/>
        </w:rPr>
      </w:pPr>
    </w:p>
    <w:tbl>
      <w:tblPr>
        <w:tblW w:w="5402" w:type="pct"/>
        <w:tblInd w:w="-20" w:type="dxa"/>
        <w:tblCellMar>
          <w:top w:w="30" w:type="dxa"/>
          <w:left w:w="30" w:type="dxa"/>
          <w:bottom w:w="30" w:type="dxa"/>
          <w:right w:w="30" w:type="dxa"/>
        </w:tblCellMar>
        <w:tblLook w:val="04A0" w:firstRow="1" w:lastRow="0" w:firstColumn="1" w:lastColumn="0" w:noHBand="0" w:noVBand="1"/>
      </w:tblPr>
      <w:tblGrid>
        <w:gridCol w:w="682"/>
        <w:gridCol w:w="874"/>
        <w:gridCol w:w="3198"/>
        <w:gridCol w:w="1245"/>
        <w:gridCol w:w="1961"/>
        <w:gridCol w:w="923"/>
        <w:gridCol w:w="1212"/>
      </w:tblGrid>
      <w:tr w:rsidR="00DF6F04" w:rsidRPr="00227E88" w14:paraId="6D163C03" w14:textId="77777777" w:rsidTr="007D454A">
        <w:tc>
          <w:tcPr>
            <w:tcW w:w="827"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BF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4 Risk Title </w:t>
            </w:r>
          </w:p>
        </w:tc>
        <w:tc>
          <w:tcPr>
            <w:tcW w:w="161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BF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4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0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803"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0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113"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0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C09" w14:textId="77777777" w:rsidTr="007D454A">
        <w:tc>
          <w:tcPr>
            <w:tcW w:w="82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04"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Recruitment and retention of experienced Treasury and Pensions staff </w:t>
            </w:r>
          </w:p>
        </w:tc>
        <w:tc>
          <w:tcPr>
            <w:tcW w:w="161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05"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The Authority is unable to recruit or retain experienced or suitably qualified staff because the salaries offered are not competitive, the working environment is </w:t>
            </w:r>
            <w:proofErr w:type="gramStart"/>
            <w:r w:rsidRPr="00E35F96">
              <w:rPr>
                <w:rFonts w:ascii="Arial" w:hAnsi="Arial" w:cs="Arial"/>
                <w:color w:val="000000"/>
                <w:sz w:val="16"/>
                <w:szCs w:val="16"/>
              </w:rPr>
              <w:t>unattractive</w:t>
            </w:r>
            <w:proofErr w:type="gramEnd"/>
            <w:r w:rsidRPr="00E35F96">
              <w:rPr>
                <w:rFonts w:ascii="Arial" w:hAnsi="Arial" w:cs="Arial"/>
                <w:color w:val="000000"/>
                <w:sz w:val="16"/>
                <w:szCs w:val="16"/>
              </w:rPr>
              <w:t xml:space="preserve"> or the authority has a bad reputation as an employer. </w:t>
            </w:r>
          </w:p>
        </w:tc>
        <w:tc>
          <w:tcPr>
            <w:tcW w:w="64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06"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80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07" w14:textId="77777777" w:rsidR="00DF6F04" w:rsidRPr="00E35F96" w:rsidRDefault="00F3091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98" wp14:editId="07C10DC9">
                  <wp:extent cx="1092835" cy="936625"/>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113"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08" w14:textId="77777777"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Reviewed August 2018</w:t>
            </w:r>
          </w:p>
        </w:tc>
      </w:tr>
      <w:tr w:rsidR="007D454A" w:rsidRPr="00227E88" w14:paraId="6D163C11" w14:textId="77777777" w:rsidTr="007D454A">
        <w:tc>
          <w:tcPr>
            <w:tcW w:w="36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0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6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0B"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61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0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4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0D"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803"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0E"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8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0F"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28"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10"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C18" w14:textId="77777777" w:rsidTr="007D454A">
        <w:tc>
          <w:tcPr>
            <w:tcW w:w="827"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C1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61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1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4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1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803"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1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8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1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628"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1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DF6F04" w:rsidRPr="00227E88" w14:paraId="6D163C1F" w14:textId="77777777" w:rsidTr="007D454A">
        <w:tc>
          <w:tcPr>
            <w:tcW w:w="82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19"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Continuity of team and ability to cover different roles plus appropriate pay levels</w:t>
            </w:r>
          </w:p>
        </w:tc>
        <w:tc>
          <w:tcPr>
            <w:tcW w:w="161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1A"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Ensure continuity by having other members of the team able to cover essential functions. Benchmarking of salaries for the section both against other local authorities and private sector. </w:t>
            </w:r>
          </w:p>
        </w:tc>
        <w:tc>
          <w:tcPr>
            <w:tcW w:w="64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1B"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David Dickinson Justine Spring </w:t>
            </w:r>
          </w:p>
        </w:tc>
        <w:tc>
          <w:tcPr>
            <w:tcW w:w="80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1C" w14:textId="7099CDFC" w:rsidR="00DF6F04" w:rsidRPr="00E35F96" w:rsidRDefault="000E4FB9" w:rsidP="00E03107">
            <w:pPr>
              <w:rPr>
                <w:rFonts w:ascii="Arial" w:hAnsi="Arial" w:cs="Arial"/>
                <w:color w:val="000000"/>
                <w:sz w:val="16"/>
                <w:szCs w:val="16"/>
              </w:rPr>
            </w:pPr>
            <w:r>
              <w:rPr>
                <w:rFonts w:ascii="Arial" w:hAnsi="Arial" w:cs="Arial"/>
                <w:color w:val="000000"/>
                <w:sz w:val="16"/>
                <w:szCs w:val="16"/>
              </w:rPr>
              <w:t>Philip Gregory</w:t>
            </w:r>
          </w:p>
        </w:tc>
        <w:tc>
          <w:tcPr>
            <w:tcW w:w="48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tcPr>
          <w:p w14:paraId="6D163C1D" w14:textId="6B1800FB" w:rsidR="00DF6F04" w:rsidRPr="00E35F96" w:rsidRDefault="00AF5822" w:rsidP="00E03107">
            <w:pPr>
              <w:rPr>
                <w:rFonts w:ascii="Arial" w:hAnsi="Arial" w:cs="Arial"/>
              </w:rPr>
            </w:pPr>
            <w:r w:rsidRPr="00E35F96">
              <w:rPr>
                <w:rFonts w:ascii="Arial" w:hAnsi="Arial" w:cs="Arial"/>
                <w:color w:val="000000"/>
                <w:sz w:val="16"/>
                <w:szCs w:val="16"/>
              </w:rPr>
              <w:t>30 June 20</w:t>
            </w:r>
            <w:r w:rsidR="000E4FB9">
              <w:rPr>
                <w:rFonts w:ascii="Arial" w:hAnsi="Arial" w:cs="Arial"/>
                <w:color w:val="000000"/>
                <w:sz w:val="16"/>
                <w:szCs w:val="16"/>
              </w:rPr>
              <w:t>21</w:t>
            </w:r>
          </w:p>
        </w:tc>
        <w:tc>
          <w:tcPr>
            <w:tcW w:w="62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1E" w14:textId="77777777"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Reviewed August 2018</w:t>
            </w:r>
            <w:r w:rsidR="00DF6F04" w:rsidRPr="00E35F96">
              <w:rPr>
                <w:rFonts w:ascii="Arial" w:hAnsi="Arial" w:cs="Arial"/>
                <w:color w:val="000000"/>
                <w:sz w:val="16"/>
                <w:szCs w:val="16"/>
              </w:rPr>
              <w:t xml:space="preserve">- ongoing with controls in place </w:t>
            </w:r>
          </w:p>
        </w:tc>
      </w:tr>
      <w:tr w:rsidR="00DF6F04" w:rsidRPr="00227E88" w14:paraId="6D163C27" w14:textId="77777777" w:rsidTr="007D454A">
        <w:tc>
          <w:tcPr>
            <w:tcW w:w="82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20"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Detailed policies and procedures in place to enable others to take on key tasks</w:t>
            </w:r>
          </w:p>
        </w:tc>
        <w:tc>
          <w:tcPr>
            <w:tcW w:w="161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21" w14:textId="77777777" w:rsidR="00DF6F04" w:rsidRPr="00E35F96" w:rsidRDefault="007D454A" w:rsidP="00E03107">
            <w:pPr>
              <w:rPr>
                <w:rFonts w:ascii="Arial" w:hAnsi="Arial" w:cs="Arial"/>
                <w:color w:val="000000"/>
                <w:sz w:val="16"/>
                <w:szCs w:val="16"/>
              </w:rPr>
            </w:pPr>
            <w:r w:rsidRPr="00E35F96">
              <w:rPr>
                <w:rFonts w:ascii="Arial" w:hAnsi="Arial" w:cs="Arial"/>
                <w:color w:val="000000"/>
                <w:sz w:val="16"/>
                <w:szCs w:val="16"/>
              </w:rPr>
              <w:t>Ensure</w:t>
            </w:r>
            <w:r w:rsidR="00DF6F04" w:rsidRPr="00E35F96">
              <w:rPr>
                <w:rFonts w:ascii="Arial" w:hAnsi="Arial" w:cs="Arial"/>
                <w:color w:val="000000"/>
                <w:sz w:val="16"/>
                <w:szCs w:val="16"/>
              </w:rPr>
              <w:t xml:space="preserve"> policies and procedure notes which enable others to ta</w:t>
            </w:r>
            <w:r w:rsidRPr="00E35F96">
              <w:rPr>
                <w:rFonts w:ascii="Arial" w:hAnsi="Arial" w:cs="Arial"/>
                <w:color w:val="000000"/>
                <w:sz w:val="16"/>
                <w:szCs w:val="16"/>
              </w:rPr>
              <w:t xml:space="preserve">ke on key roles. Involvement </w:t>
            </w:r>
            <w:r w:rsidR="00DF6F04" w:rsidRPr="00E35F96">
              <w:rPr>
                <w:rFonts w:ascii="Arial" w:hAnsi="Arial" w:cs="Arial"/>
                <w:color w:val="000000"/>
                <w:sz w:val="16"/>
                <w:szCs w:val="16"/>
              </w:rPr>
              <w:t>differ</w:t>
            </w:r>
            <w:r w:rsidRPr="00E35F96">
              <w:rPr>
                <w:rFonts w:ascii="Arial" w:hAnsi="Arial" w:cs="Arial"/>
                <w:color w:val="000000"/>
                <w:sz w:val="16"/>
                <w:szCs w:val="16"/>
              </w:rPr>
              <w:t>ent team members to ensure specialist knowledge</w:t>
            </w:r>
            <w:r w:rsidR="00DF6F04" w:rsidRPr="00E35F96">
              <w:rPr>
                <w:rFonts w:ascii="Arial" w:hAnsi="Arial" w:cs="Arial"/>
                <w:color w:val="000000"/>
                <w:sz w:val="16"/>
                <w:szCs w:val="16"/>
              </w:rPr>
              <w:t xml:space="preserve"> not confined to</w:t>
            </w:r>
            <w:r w:rsidRPr="00E35F96">
              <w:rPr>
                <w:rFonts w:ascii="Arial" w:hAnsi="Arial" w:cs="Arial"/>
                <w:color w:val="000000"/>
                <w:sz w:val="16"/>
                <w:szCs w:val="16"/>
              </w:rPr>
              <w:t xml:space="preserve"> a few </w:t>
            </w:r>
            <w:r w:rsidR="00DF6F04" w:rsidRPr="00E35F96">
              <w:rPr>
                <w:rFonts w:ascii="Arial" w:hAnsi="Arial" w:cs="Arial"/>
                <w:color w:val="000000"/>
                <w:sz w:val="16"/>
                <w:szCs w:val="16"/>
              </w:rPr>
              <w:t>individuals</w:t>
            </w:r>
          </w:p>
        </w:tc>
        <w:tc>
          <w:tcPr>
            <w:tcW w:w="64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22"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David Dickinson</w:t>
            </w:r>
          </w:p>
          <w:p w14:paraId="6D163C23"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Justine Spring </w:t>
            </w:r>
          </w:p>
        </w:tc>
        <w:tc>
          <w:tcPr>
            <w:tcW w:w="80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24" w14:textId="4BB36729" w:rsidR="00DF6F04" w:rsidRPr="00E35F96" w:rsidRDefault="007B499B" w:rsidP="00E03107">
            <w:pPr>
              <w:rPr>
                <w:rFonts w:ascii="Arial" w:hAnsi="Arial" w:cs="Arial"/>
                <w:color w:val="000000"/>
                <w:sz w:val="16"/>
                <w:szCs w:val="16"/>
              </w:rPr>
            </w:pPr>
            <w:r>
              <w:rPr>
                <w:rFonts w:ascii="Arial" w:hAnsi="Arial" w:cs="Arial"/>
                <w:color w:val="000000"/>
                <w:sz w:val="16"/>
                <w:szCs w:val="16"/>
              </w:rPr>
              <w:t>Philip Gregory</w:t>
            </w:r>
          </w:p>
        </w:tc>
        <w:tc>
          <w:tcPr>
            <w:tcW w:w="48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tcPr>
          <w:p w14:paraId="6D163C25" w14:textId="7E4B473C" w:rsidR="00DF6F04" w:rsidRPr="00E35F96" w:rsidRDefault="00AF5822" w:rsidP="00E03107">
            <w:pPr>
              <w:rPr>
                <w:rFonts w:ascii="Arial" w:hAnsi="Arial" w:cs="Arial"/>
              </w:rPr>
            </w:pPr>
            <w:r w:rsidRPr="00E35F96">
              <w:rPr>
                <w:rFonts w:ascii="Arial" w:hAnsi="Arial" w:cs="Arial"/>
                <w:color w:val="000000"/>
                <w:sz w:val="16"/>
                <w:szCs w:val="16"/>
              </w:rPr>
              <w:t>30 June 20</w:t>
            </w:r>
            <w:r w:rsidR="007B499B">
              <w:rPr>
                <w:rFonts w:ascii="Arial" w:hAnsi="Arial" w:cs="Arial"/>
                <w:color w:val="000000"/>
                <w:sz w:val="16"/>
                <w:szCs w:val="16"/>
              </w:rPr>
              <w:t>21</w:t>
            </w:r>
          </w:p>
        </w:tc>
        <w:tc>
          <w:tcPr>
            <w:tcW w:w="62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26" w14:textId="77777777"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 xml:space="preserve">Reviewed August 2018 - </w:t>
            </w:r>
            <w:r w:rsidR="00DF6F04" w:rsidRPr="00E35F96">
              <w:rPr>
                <w:rFonts w:ascii="Arial" w:hAnsi="Arial" w:cs="Arial"/>
                <w:color w:val="000000"/>
                <w:sz w:val="16"/>
                <w:szCs w:val="16"/>
              </w:rPr>
              <w:t xml:space="preserve">ongoing with controls in place </w:t>
            </w:r>
          </w:p>
        </w:tc>
      </w:tr>
    </w:tbl>
    <w:p w14:paraId="6D163C28" w14:textId="77777777" w:rsidR="00DF6F04" w:rsidRPr="00E35F96" w:rsidRDefault="00DF6F04" w:rsidP="00E03107">
      <w:pPr>
        <w:rPr>
          <w:rFonts w:ascii="Arial" w:hAnsi="Arial" w:cs="Arial"/>
        </w:rPr>
      </w:pPr>
    </w:p>
    <w:tbl>
      <w:tblPr>
        <w:tblW w:w="5366" w:type="pct"/>
        <w:tblInd w:w="30" w:type="dxa"/>
        <w:tblCellMar>
          <w:top w:w="30" w:type="dxa"/>
          <w:left w:w="30" w:type="dxa"/>
          <w:bottom w:w="30" w:type="dxa"/>
          <w:right w:w="30" w:type="dxa"/>
        </w:tblCellMar>
        <w:tblLook w:val="04A0" w:firstRow="1" w:lastRow="0" w:firstColumn="1" w:lastColumn="0" w:noHBand="0" w:noVBand="1"/>
      </w:tblPr>
      <w:tblGrid>
        <w:gridCol w:w="464"/>
        <w:gridCol w:w="1034"/>
        <w:gridCol w:w="2821"/>
        <w:gridCol w:w="1213"/>
        <w:gridCol w:w="1961"/>
        <w:gridCol w:w="1036"/>
        <w:gridCol w:w="1499"/>
      </w:tblGrid>
      <w:tr w:rsidR="00DF6F04" w:rsidRPr="00227E88" w14:paraId="6D163C2E" w14:textId="77777777" w:rsidTr="00E03107">
        <w:tc>
          <w:tcPr>
            <w:tcW w:w="838"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C2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5 Risk Title </w:t>
            </w:r>
          </w:p>
        </w:tc>
        <w:tc>
          <w:tcPr>
            <w:tcW w:w="145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2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50"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2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70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2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355"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2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C34" w14:textId="77777777" w:rsidTr="00E03107">
        <w:tc>
          <w:tcPr>
            <w:tcW w:w="83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2F"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Pension Overpayments </w:t>
            </w:r>
          </w:p>
        </w:tc>
        <w:tc>
          <w:tcPr>
            <w:tcW w:w="145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30"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Pension Overpayments arising </w:t>
            </w:r>
            <w:r w:rsidR="007D454A" w:rsidRPr="00E35F96">
              <w:rPr>
                <w:rFonts w:ascii="Arial" w:hAnsi="Arial" w:cs="Arial"/>
                <w:color w:val="000000"/>
                <w:sz w:val="16"/>
                <w:szCs w:val="16"/>
              </w:rPr>
              <w:t>because of</w:t>
            </w:r>
            <w:r w:rsidRPr="00E35F96">
              <w:rPr>
                <w:rFonts w:ascii="Arial" w:hAnsi="Arial" w:cs="Arial"/>
                <w:color w:val="000000"/>
                <w:sz w:val="16"/>
                <w:szCs w:val="16"/>
              </w:rPr>
              <w:t xml:space="preserve"> non-notification of death, re-employment, or ceasing education. This has financial and reputational consequences. </w:t>
            </w:r>
          </w:p>
        </w:tc>
        <w:tc>
          <w:tcPr>
            <w:tcW w:w="650"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31"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70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32" w14:textId="77777777" w:rsidR="00DF6F04" w:rsidRPr="00E35F96" w:rsidRDefault="00F3091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9A" wp14:editId="143A9F81">
                  <wp:extent cx="1092835" cy="936625"/>
                  <wp:effectExtent l="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355"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33" w14:textId="77777777"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 xml:space="preserve">Reviewed August 2018 </w:t>
            </w:r>
            <w:r w:rsidR="00DF6F04" w:rsidRPr="00E35F96">
              <w:rPr>
                <w:rFonts w:ascii="Arial" w:hAnsi="Arial" w:cs="Arial"/>
                <w:color w:val="000000"/>
                <w:sz w:val="16"/>
                <w:szCs w:val="16"/>
              </w:rPr>
              <w:t>- ongoing</w:t>
            </w:r>
          </w:p>
        </w:tc>
      </w:tr>
      <w:tr w:rsidR="00DF6F04" w:rsidRPr="00227E88" w14:paraId="6D163C3C" w14:textId="77777777" w:rsidTr="00E03107">
        <w:tc>
          <w:tcPr>
            <w:tcW w:w="277"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3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560"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3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45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37"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50"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38"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0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3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56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3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93"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3B"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C43" w14:textId="77777777" w:rsidTr="00E03107">
        <w:tc>
          <w:tcPr>
            <w:tcW w:w="838"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C3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45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3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50"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3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70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4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56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4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93"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4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DF6F04" w:rsidRPr="00227E88" w14:paraId="6D163C4B" w14:textId="77777777" w:rsidTr="00E03107">
        <w:tc>
          <w:tcPr>
            <w:tcW w:w="83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44"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Pension </w:t>
            </w:r>
            <w:r w:rsidR="00E03107" w:rsidRPr="00E35F96">
              <w:rPr>
                <w:rFonts w:ascii="Arial" w:hAnsi="Arial" w:cs="Arial"/>
                <w:color w:val="000000"/>
                <w:sz w:val="16"/>
                <w:szCs w:val="16"/>
              </w:rPr>
              <w:t>Fraud:</w:t>
            </w:r>
            <w:r w:rsidRPr="00E35F96">
              <w:rPr>
                <w:rFonts w:ascii="Arial" w:hAnsi="Arial" w:cs="Arial"/>
                <w:color w:val="000000"/>
                <w:sz w:val="16"/>
                <w:szCs w:val="16"/>
              </w:rPr>
              <w:t xml:space="preserve"> </w:t>
            </w:r>
            <w:smartTag w:uri="urn:schemas-microsoft-com:office:smarttags" w:element="stockticker">
              <w:r w:rsidRPr="00E35F96">
                <w:rPr>
                  <w:rFonts w:ascii="Arial" w:hAnsi="Arial" w:cs="Arial"/>
                  <w:color w:val="000000"/>
                  <w:sz w:val="16"/>
                  <w:szCs w:val="16"/>
                </w:rPr>
                <w:t>NFI</w:t>
              </w:r>
            </w:smartTag>
            <w:r w:rsidRPr="00E35F96">
              <w:rPr>
                <w:rFonts w:ascii="Arial" w:hAnsi="Arial" w:cs="Arial"/>
                <w:color w:val="000000"/>
                <w:sz w:val="16"/>
                <w:szCs w:val="16"/>
              </w:rPr>
              <w:t xml:space="preserve"> </w:t>
            </w:r>
            <w:r w:rsidR="007D454A" w:rsidRPr="00E35F96">
              <w:rPr>
                <w:rFonts w:ascii="Arial" w:hAnsi="Arial" w:cs="Arial"/>
                <w:color w:val="000000"/>
                <w:sz w:val="16"/>
                <w:szCs w:val="16"/>
              </w:rPr>
              <w:t>&amp; Tell Us Once</w:t>
            </w:r>
          </w:p>
        </w:tc>
        <w:tc>
          <w:tcPr>
            <w:tcW w:w="145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45"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Management of </w:t>
            </w:r>
            <w:smartTag w:uri="urn:schemas-microsoft-com:office:smarttags" w:element="stockticker">
              <w:r w:rsidRPr="00E35F96">
                <w:rPr>
                  <w:rFonts w:ascii="Arial" w:hAnsi="Arial" w:cs="Arial"/>
                  <w:color w:val="000000"/>
                  <w:sz w:val="16"/>
                  <w:szCs w:val="16"/>
                </w:rPr>
                <w:t>NFI</w:t>
              </w:r>
            </w:smartTag>
            <w:r w:rsidR="00E03107" w:rsidRPr="00E35F96">
              <w:rPr>
                <w:rFonts w:ascii="Arial" w:hAnsi="Arial" w:cs="Arial"/>
                <w:color w:val="000000"/>
                <w:sz w:val="16"/>
                <w:szCs w:val="16"/>
              </w:rPr>
              <w:t xml:space="preserve"> matches and follow up.</w:t>
            </w:r>
            <w:r w:rsidRPr="00E35F96">
              <w:rPr>
                <w:rFonts w:ascii="Arial" w:hAnsi="Arial" w:cs="Arial"/>
                <w:color w:val="000000"/>
                <w:sz w:val="16"/>
                <w:szCs w:val="16"/>
              </w:rPr>
              <w:t xml:space="preserve"> Checks through other companies that carry out data checks. A tracing agent appointed to run quarterly reports on members to ensure the pension fund database is up to date and prevent overpayments of pensions.</w:t>
            </w:r>
          </w:p>
        </w:tc>
        <w:tc>
          <w:tcPr>
            <w:tcW w:w="650"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46"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David Dickinson</w:t>
            </w:r>
          </w:p>
          <w:p w14:paraId="6D163C47"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Justine Spring</w:t>
            </w:r>
          </w:p>
        </w:tc>
        <w:tc>
          <w:tcPr>
            <w:tcW w:w="70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48" w14:textId="30D28202" w:rsidR="00DF6F04" w:rsidRPr="00E35F96" w:rsidRDefault="003D7916" w:rsidP="00E03107">
            <w:pPr>
              <w:rPr>
                <w:rFonts w:ascii="Arial" w:hAnsi="Arial" w:cs="Arial"/>
                <w:color w:val="000000"/>
                <w:sz w:val="16"/>
                <w:szCs w:val="16"/>
              </w:rPr>
            </w:pPr>
            <w:r>
              <w:rPr>
                <w:rFonts w:ascii="Arial" w:hAnsi="Arial" w:cs="Arial"/>
                <w:color w:val="000000"/>
                <w:sz w:val="16"/>
                <w:szCs w:val="16"/>
              </w:rPr>
              <w:t>Philip Gregory</w:t>
            </w:r>
          </w:p>
        </w:tc>
        <w:tc>
          <w:tcPr>
            <w:tcW w:w="56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49" w14:textId="1C265683" w:rsidR="00DF6F04" w:rsidRPr="00E35F96" w:rsidRDefault="00AF5822" w:rsidP="00E03107">
            <w:pPr>
              <w:rPr>
                <w:rFonts w:ascii="Arial" w:hAnsi="Arial" w:cs="Arial"/>
                <w:color w:val="000000"/>
                <w:sz w:val="16"/>
                <w:szCs w:val="16"/>
              </w:rPr>
            </w:pPr>
            <w:r w:rsidRPr="00E35F96">
              <w:rPr>
                <w:rFonts w:ascii="Arial" w:hAnsi="Arial" w:cs="Arial"/>
                <w:color w:val="000000"/>
                <w:sz w:val="16"/>
                <w:szCs w:val="16"/>
              </w:rPr>
              <w:t>30 June 20</w:t>
            </w:r>
            <w:r w:rsidR="003D7916">
              <w:rPr>
                <w:rFonts w:ascii="Arial" w:hAnsi="Arial" w:cs="Arial"/>
                <w:color w:val="000000"/>
                <w:sz w:val="16"/>
                <w:szCs w:val="16"/>
              </w:rPr>
              <w:t>21</w:t>
            </w:r>
          </w:p>
        </w:tc>
        <w:tc>
          <w:tcPr>
            <w:tcW w:w="79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4A" w14:textId="77777777"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 xml:space="preserve">Reviewed August 2018 </w:t>
            </w:r>
            <w:r w:rsidR="00DF6F04" w:rsidRPr="00E35F96">
              <w:rPr>
                <w:rFonts w:ascii="Arial" w:hAnsi="Arial" w:cs="Arial"/>
                <w:color w:val="000000"/>
                <w:sz w:val="16"/>
                <w:szCs w:val="16"/>
              </w:rPr>
              <w:t>- ongoing</w:t>
            </w:r>
          </w:p>
        </w:tc>
      </w:tr>
    </w:tbl>
    <w:p w14:paraId="6D163C4C"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1182"/>
        <w:gridCol w:w="299"/>
        <w:gridCol w:w="2779"/>
        <w:gridCol w:w="1325"/>
        <w:gridCol w:w="1961"/>
        <w:gridCol w:w="953"/>
        <w:gridCol w:w="1467"/>
      </w:tblGrid>
      <w:tr w:rsidR="00DF6F04" w:rsidRPr="00227E88" w14:paraId="6D163C52" w14:textId="77777777" w:rsidTr="00F30919">
        <w:tc>
          <w:tcPr>
            <w:tcW w:w="743" w:type="pct"/>
            <w:gridSpan w:val="2"/>
            <w:tcBorders>
              <w:top w:val="single" w:sz="6" w:space="0" w:color="78786E"/>
              <w:left w:val="single" w:sz="6" w:space="0" w:color="78786E"/>
              <w:bottom w:val="single" w:sz="6" w:space="0" w:color="78786E"/>
              <w:right w:val="single" w:sz="6" w:space="0" w:color="78786E"/>
            </w:tcBorders>
            <w:shd w:val="clear" w:color="auto" w:fill="BFBFBF"/>
            <w:vAlign w:val="center"/>
          </w:tcPr>
          <w:p w14:paraId="6D163C4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6 Risk Title </w:t>
            </w:r>
          </w:p>
        </w:tc>
        <w:tc>
          <w:tcPr>
            <w:tcW w:w="1394"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4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4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5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214" w:type="pct"/>
            <w:gridSpan w:val="2"/>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5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C58" w14:textId="77777777" w:rsidTr="00F30919">
        <w:tc>
          <w:tcPr>
            <w:tcW w:w="743" w:type="pct"/>
            <w:gridSpan w:val="2"/>
            <w:tcBorders>
              <w:top w:val="single" w:sz="6" w:space="0" w:color="78786E"/>
              <w:left w:val="single" w:sz="6" w:space="0" w:color="78786E"/>
              <w:bottom w:val="single" w:sz="6" w:space="0" w:color="78786E"/>
              <w:right w:val="single" w:sz="6" w:space="0" w:color="78786E"/>
            </w:tcBorders>
            <w:shd w:val="clear" w:color="auto" w:fill="auto"/>
            <w:vAlign w:val="center"/>
          </w:tcPr>
          <w:p w14:paraId="6D163C53"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Management of Third Party Contracts – lack of control could result in financial and reputational risks </w:t>
            </w:r>
          </w:p>
        </w:tc>
        <w:tc>
          <w:tcPr>
            <w:tcW w:w="139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54"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Pensions manage in excess of 20 external contracts, which carry significant financial and reputational risks if not managed appropriately -for example leading to higher costs or legal challenges, </w:t>
            </w:r>
          </w:p>
        </w:tc>
        <w:tc>
          <w:tcPr>
            <w:tcW w:w="665"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55"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56" w14:textId="77777777" w:rsidR="00DF6F04" w:rsidRPr="00E35F96" w:rsidRDefault="00F3091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9C" wp14:editId="2805D648">
                  <wp:extent cx="1092835" cy="936625"/>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214" w:type="pct"/>
            <w:gridSpan w:val="2"/>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57" w14:textId="77777777"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 xml:space="preserve">Fund managers' performance actively reviewed quarterly. Benchmarking undertaken and research undertaken. Reviewed August 2018 </w:t>
            </w:r>
            <w:r w:rsidR="00DF6F04" w:rsidRPr="00E35F96">
              <w:rPr>
                <w:rFonts w:ascii="Arial" w:hAnsi="Arial" w:cs="Arial"/>
                <w:color w:val="000000"/>
                <w:sz w:val="16"/>
                <w:szCs w:val="16"/>
              </w:rPr>
              <w:t>- ongoing</w:t>
            </w:r>
          </w:p>
        </w:tc>
      </w:tr>
      <w:tr w:rsidR="00DF6F04" w:rsidRPr="00227E88" w14:paraId="6D163C60" w14:textId="77777777" w:rsidTr="00F30919">
        <w:tc>
          <w:tcPr>
            <w:tcW w:w="0" w:type="auto"/>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5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50"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5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394"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5B"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5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5D"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78"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5E"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36"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5F"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C67" w14:textId="77777777" w:rsidTr="00F30919">
        <w:tc>
          <w:tcPr>
            <w:tcW w:w="743" w:type="pct"/>
            <w:gridSpan w:val="2"/>
            <w:tcBorders>
              <w:top w:val="single" w:sz="6" w:space="0" w:color="78786E"/>
              <w:left w:val="single" w:sz="6" w:space="0" w:color="78786E"/>
              <w:bottom w:val="single" w:sz="6" w:space="0" w:color="78786E"/>
              <w:right w:val="single" w:sz="6" w:space="0" w:color="78786E"/>
            </w:tcBorders>
            <w:shd w:val="clear" w:color="auto" w:fill="BFBFBF"/>
            <w:vAlign w:val="center"/>
          </w:tcPr>
          <w:p w14:paraId="6D163C6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7 Control Title </w:t>
            </w:r>
          </w:p>
        </w:tc>
        <w:tc>
          <w:tcPr>
            <w:tcW w:w="1394"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6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6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6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78"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6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36"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6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F30919" w:rsidRPr="00227E88" w14:paraId="6D163C6E" w14:textId="77777777" w:rsidTr="00F30919">
        <w:tc>
          <w:tcPr>
            <w:tcW w:w="743" w:type="pct"/>
            <w:gridSpan w:val="2"/>
            <w:tcBorders>
              <w:top w:val="single" w:sz="6" w:space="0" w:color="78786E"/>
              <w:left w:val="single" w:sz="6" w:space="0" w:color="78786E"/>
              <w:bottom w:val="single" w:sz="6" w:space="0" w:color="78786E"/>
              <w:right w:val="single" w:sz="6" w:space="0" w:color="78786E"/>
            </w:tcBorders>
            <w:shd w:val="clear" w:color="auto" w:fill="auto"/>
            <w:vAlign w:val="center"/>
          </w:tcPr>
          <w:p w14:paraId="6D163C68"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Contract Monitoring and Service Level Agreements</w:t>
            </w:r>
          </w:p>
        </w:tc>
        <w:tc>
          <w:tcPr>
            <w:tcW w:w="139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69"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Regular monitoring of key contracts, including performance monitoring, service level agreements, reviewing internal controls reports </w:t>
            </w:r>
          </w:p>
        </w:tc>
        <w:tc>
          <w:tcPr>
            <w:tcW w:w="665"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6A"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6B" w14:textId="05D1935F" w:rsidR="00F30919" w:rsidRPr="00E35F96" w:rsidRDefault="000B3165" w:rsidP="00F30919">
            <w:pPr>
              <w:rPr>
                <w:rFonts w:ascii="Arial" w:hAnsi="Arial" w:cs="Arial"/>
                <w:color w:val="000000"/>
                <w:sz w:val="16"/>
                <w:szCs w:val="16"/>
              </w:rPr>
            </w:pPr>
            <w:r>
              <w:rPr>
                <w:rFonts w:ascii="Arial" w:hAnsi="Arial" w:cs="Arial"/>
                <w:color w:val="000000"/>
                <w:sz w:val="16"/>
                <w:szCs w:val="16"/>
              </w:rPr>
              <w:t>Philip Gregory</w:t>
            </w:r>
          </w:p>
        </w:tc>
        <w:tc>
          <w:tcPr>
            <w:tcW w:w="478"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6C" w14:textId="540F4454"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30 June 20</w:t>
            </w:r>
            <w:r w:rsidR="000B3165">
              <w:rPr>
                <w:rFonts w:ascii="Arial" w:hAnsi="Arial" w:cs="Arial"/>
                <w:color w:val="000000"/>
                <w:sz w:val="16"/>
                <w:szCs w:val="16"/>
              </w:rPr>
              <w:t>21</w:t>
            </w:r>
          </w:p>
        </w:tc>
        <w:tc>
          <w:tcPr>
            <w:tcW w:w="736"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6D"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Reviewed August 2018 - ongoing</w:t>
            </w:r>
          </w:p>
        </w:tc>
      </w:tr>
      <w:tr w:rsidR="00F30919" w:rsidRPr="00227E88" w14:paraId="6D163C75" w14:textId="77777777" w:rsidTr="00F30919">
        <w:tc>
          <w:tcPr>
            <w:tcW w:w="743" w:type="pct"/>
            <w:gridSpan w:val="2"/>
            <w:tcBorders>
              <w:top w:val="single" w:sz="6" w:space="0" w:color="78786E"/>
              <w:left w:val="single" w:sz="6" w:space="0" w:color="78786E"/>
              <w:bottom w:val="single" w:sz="6" w:space="0" w:color="78786E"/>
              <w:right w:val="single" w:sz="6" w:space="0" w:color="78786E"/>
            </w:tcBorders>
            <w:shd w:val="clear" w:color="auto" w:fill="auto"/>
            <w:vAlign w:val="center"/>
          </w:tcPr>
          <w:p w14:paraId="6D163C6F"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Market Testing of contracts and benchmarking</w:t>
            </w:r>
          </w:p>
        </w:tc>
        <w:tc>
          <w:tcPr>
            <w:tcW w:w="139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0"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Market testing of contracts through procurement exercises and/or benchmarking of costs regularly</w:t>
            </w:r>
          </w:p>
        </w:tc>
        <w:tc>
          <w:tcPr>
            <w:tcW w:w="665"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1"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2" w14:textId="68BD39C8" w:rsidR="00F30919" w:rsidRPr="00E35F96" w:rsidRDefault="000B3165" w:rsidP="00F30919">
            <w:pPr>
              <w:rPr>
                <w:rFonts w:ascii="Arial" w:hAnsi="Arial" w:cs="Arial"/>
                <w:color w:val="000000"/>
                <w:sz w:val="16"/>
                <w:szCs w:val="16"/>
              </w:rPr>
            </w:pPr>
            <w:r>
              <w:rPr>
                <w:rFonts w:ascii="Arial" w:hAnsi="Arial" w:cs="Arial"/>
                <w:color w:val="000000"/>
                <w:sz w:val="16"/>
                <w:szCs w:val="16"/>
              </w:rPr>
              <w:t>Philip Gregory</w:t>
            </w:r>
          </w:p>
        </w:tc>
        <w:tc>
          <w:tcPr>
            <w:tcW w:w="478"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3" w14:textId="3E5EA3BE"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30 June 20</w:t>
            </w:r>
            <w:r w:rsidR="000B3165">
              <w:rPr>
                <w:rFonts w:ascii="Arial" w:hAnsi="Arial" w:cs="Arial"/>
                <w:color w:val="000000"/>
                <w:sz w:val="16"/>
                <w:szCs w:val="16"/>
              </w:rPr>
              <w:t>21</w:t>
            </w:r>
          </w:p>
        </w:tc>
        <w:tc>
          <w:tcPr>
            <w:tcW w:w="736"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4"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Reviewed August 2018 - ongoing</w:t>
            </w:r>
          </w:p>
        </w:tc>
      </w:tr>
      <w:tr w:rsidR="00F30919" w:rsidRPr="00227E88" w14:paraId="6D163C7C" w14:textId="77777777" w:rsidTr="00C53854">
        <w:tc>
          <w:tcPr>
            <w:tcW w:w="743" w:type="pct"/>
            <w:gridSpan w:val="2"/>
            <w:tcBorders>
              <w:top w:val="single" w:sz="6" w:space="0" w:color="78786E"/>
              <w:left w:val="single" w:sz="6" w:space="0" w:color="78786E"/>
              <w:bottom w:val="single" w:sz="6" w:space="0" w:color="78786E"/>
              <w:right w:val="single" w:sz="6" w:space="0" w:color="78786E"/>
            </w:tcBorders>
            <w:shd w:val="clear" w:color="auto" w:fill="auto"/>
            <w:vAlign w:val="center"/>
          </w:tcPr>
          <w:p w14:paraId="6D163C76"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Market Intelligence gathering</w:t>
            </w:r>
          </w:p>
        </w:tc>
        <w:tc>
          <w:tcPr>
            <w:tcW w:w="139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7"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Regular reviews of developments in the market place to ensure the section maintains up to date knowledge and can act on market intelligence such as changes to financial standing</w:t>
            </w:r>
          </w:p>
        </w:tc>
        <w:tc>
          <w:tcPr>
            <w:tcW w:w="665"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8"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9" w14:textId="4FBC940D" w:rsidR="00F30919" w:rsidRPr="00E35F96" w:rsidRDefault="000B3165" w:rsidP="00F30919">
            <w:pPr>
              <w:rPr>
                <w:rFonts w:ascii="Arial" w:hAnsi="Arial" w:cs="Arial"/>
                <w:color w:val="000000"/>
                <w:sz w:val="16"/>
                <w:szCs w:val="16"/>
              </w:rPr>
            </w:pPr>
            <w:r>
              <w:rPr>
                <w:rFonts w:ascii="Arial" w:hAnsi="Arial" w:cs="Arial"/>
                <w:color w:val="000000"/>
                <w:sz w:val="16"/>
                <w:szCs w:val="16"/>
              </w:rPr>
              <w:t>Philip Gregory</w:t>
            </w:r>
          </w:p>
        </w:tc>
        <w:tc>
          <w:tcPr>
            <w:tcW w:w="478"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A" w14:textId="1088A35F"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30 June 20</w:t>
            </w:r>
            <w:r w:rsidR="000B3165">
              <w:rPr>
                <w:rFonts w:ascii="Arial" w:hAnsi="Arial" w:cs="Arial"/>
                <w:color w:val="000000"/>
                <w:sz w:val="16"/>
                <w:szCs w:val="16"/>
              </w:rPr>
              <w:t>21</w:t>
            </w:r>
          </w:p>
        </w:tc>
        <w:tc>
          <w:tcPr>
            <w:tcW w:w="736"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7B"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Reviewed August 2018 - ongoing</w:t>
            </w:r>
          </w:p>
        </w:tc>
      </w:tr>
      <w:tr w:rsidR="00DF6F04" w:rsidRPr="00227E88" w14:paraId="6D163C7E" w14:textId="77777777" w:rsidTr="00E03107">
        <w:trPr>
          <w:trHeight w:val="464"/>
        </w:trPr>
        <w:tc>
          <w:tcPr>
            <w:tcW w:w="5000" w:type="pct"/>
            <w:gridSpan w:val="7"/>
            <w:tcBorders>
              <w:top w:val="single" w:sz="6" w:space="0" w:color="78786E"/>
              <w:bottom w:val="single" w:sz="6" w:space="0" w:color="78786E"/>
            </w:tcBorders>
            <w:shd w:val="clear" w:color="auto" w:fill="auto"/>
            <w:vAlign w:val="center"/>
          </w:tcPr>
          <w:p w14:paraId="6D163C7D" w14:textId="77777777" w:rsidR="00DF6F04" w:rsidRPr="00E35F96" w:rsidRDefault="00DF6F04" w:rsidP="00E03107">
            <w:pPr>
              <w:rPr>
                <w:rFonts w:ascii="Arial" w:hAnsi="Arial" w:cs="Arial"/>
                <w:b/>
                <w:bCs/>
                <w:color w:val="000000"/>
                <w:sz w:val="16"/>
                <w:szCs w:val="16"/>
              </w:rPr>
            </w:pPr>
          </w:p>
        </w:tc>
      </w:tr>
      <w:tr w:rsidR="00DF6F04" w:rsidRPr="00227E88" w14:paraId="6D163C84" w14:textId="77777777" w:rsidTr="00F30919">
        <w:trPr>
          <w:trHeight w:val="226"/>
        </w:trPr>
        <w:tc>
          <w:tcPr>
            <w:tcW w:w="743" w:type="pct"/>
            <w:gridSpan w:val="2"/>
            <w:tcBorders>
              <w:top w:val="single" w:sz="6" w:space="0" w:color="78786E"/>
              <w:left w:val="single" w:sz="6" w:space="0" w:color="78786E"/>
              <w:bottom w:val="single" w:sz="6" w:space="0" w:color="78786E"/>
              <w:right w:val="single" w:sz="6" w:space="0" w:color="78786E"/>
            </w:tcBorders>
            <w:shd w:val="clear" w:color="auto" w:fill="BFBFBF"/>
            <w:vAlign w:val="center"/>
          </w:tcPr>
          <w:p w14:paraId="6D163C7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8 Risk Title </w:t>
            </w:r>
          </w:p>
        </w:tc>
        <w:tc>
          <w:tcPr>
            <w:tcW w:w="1394"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8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8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82" w14:textId="77777777" w:rsidR="00DF6F04" w:rsidRPr="00E35F96" w:rsidRDefault="00DF6F04" w:rsidP="00E03107">
            <w:pPr>
              <w:ind w:right="-121"/>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214" w:type="pct"/>
            <w:gridSpan w:val="2"/>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8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C8A" w14:textId="77777777" w:rsidTr="00F30919">
        <w:trPr>
          <w:trHeight w:val="769"/>
        </w:trPr>
        <w:tc>
          <w:tcPr>
            <w:tcW w:w="743" w:type="pct"/>
            <w:gridSpan w:val="2"/>
            <w:tcBorders>
              <w:top w:val="single" w:sz="6" w:space="0" w:color="78786E"/>
              <w:left w:val="single" w:sz="6" w:space="0" w:color="78786E"/>
              <w:bottom w:val="single" w:sz="6" w:space="0" w:color="78786E"/>
              <w:right w:val="single" w:sz="6" w:space="0" w:color="78786E"/>
            </w:tcBorders>
            <w:shd w:val="clear" w:color="auto" w:fill="auto"/>
            <w:vAlign w:val="center"/>
          </w:tcPr>
          <w:p w14:paraId="6D163C85"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Increased Longevity </w:t>
            </w:r>
          </w:p>
        </w:tc>
        <w:tc>
          <w:tcPr>
            <w:tcW w:w="139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86"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Pensioners living longer, drawing pensions for longer than accounted for within the funding position leading to increasing liabilities giving rise to higher costs and major financial implications. Longevity Risk.</w:t>
            </w:r>
          </w:p>
        </w:tc>
        <w:tc>
          <w:tcPr>
            <w:tcW w:w="665"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87"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88" w14:textId="77777777" w:rsidR="00DF6F04" w:rsidRPr="00E35F96" w:rsidRDefault="00F3091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9E" wp14:editId="02FA4766">
                  <wp:extent cx="1092835" cy="93662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214" w:type="pct"/>
            <w:gridSpan w:val="2"/>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89" w14:textId="77777777" w:rsidR="00DF6F04" w:rsidRPr="00E35F96" w:rsidRDefault="00F30919" w:rsidP="00E03107">
            <w:pPr>
              <w:rPr>
                <w:rFonts w:ascii="Arial" w:hAnsi="Arial" w:cs="Arial"/>
                <w:color w:val="000000"/>
                <w:sz w:val="16"/>
                <w:szCs w:val="16"/>
              </w:rPr>
            </w:pPr>
            <w:r w:rsidRPr="00E35F96">
              <w:rPr>
                <w:rFonts w:ascii="Arial" w:hAnsi="Arial" w:cs="Arial"/>
                <w:color w:val="000000"/>
                <w:sz w:val="16"/>
                <w:szCs w:val="16"/>
              </w:rPr>
              <w:t xml:space="preserve">Reviewed August 2018 </w:t>
            </w:r>
            <w:r w:rsidR="00DF6F04" w:rsidRPr="00E35F96">
              <w:rPr>
                <w:rFonts w:ascii="Arial" w:hAnsi="Arial" w:cs="Arial"/>
                <w:color w:val="000000"/>
                <w:sz w:val="16"/>
                <w:szCs w:val="16"/>
              </w:rPr>
              <w:t>- ongoing</w:t>
            </w:r>
          </w:p>
        </w:tc>
      </w:tr>
      <w:tr w:rsidR="00DF6F04" w:rsidRPr="00227E88" w14:paraId="6D163C92" w14:textId="77777777" w:rsidTr="00F30919">
        <w:tc>
          <w:tcPr>
            <w:tcW w:w="0" w:type="auto"/>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8B" w14:textId="77777777" w:rsidR="00DF6F04" w:rsidRPr="00E35F96" w:rsidRDefault="00DF6F04" w:rsidP="00E03107">
            <w:pPr>
              <w:rPr>
                <w:rFonts w:ascii="Arial" w:hAnsi="Arial" w:cs="Arial"/>
                <w:color w:val="FFFFFF"/>
                <w:sz w:val="16"/>
                <w:szCs w:val="16"/>
              </w:rPr>
            </w:pPr>
            <w:r w:rsidRPr="00E35F96">
              <w:rPr>
                <w:rFonts w:ascii="Arial" w:hAnsi="Arial" w:cs="Arial"/>
                <w:color w:val="FFFFFF"/>
                <w:sz w:val="16"/>
                <w:szCs w:val="16"/>
              </w:rPr>
              <w:t xml:space="preserve">  </w:t>
            </w:r>
          </w:p>
        </w:tc>
        <w:tc>
          <w:tcPr>
            <w:tcW w:w="150"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8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394"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8D"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8E"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8F"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78"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90"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36" w:type="pct"/>
            <w:tcBorders>
              <w:top w:val="single" w:sz="2" w:space="0" w:color="FFFFFF"/>
              <w:left w:val="single" w:sz="2" w:space="0" w:color="FFFFFF"/>
              <w:bottom w:val="single" w:sz="6" w:space="0" w:color="78786E"/>
              <w:right w:val="single" w:sz="2" w:space="0" w:color="FFFFFF"/>
            </w:tcBorders>
            <w:shd w:val="clear" w:color="auto" w:fill="auto"/>
            <w:tcMar>
              <w:top w:w="24" w:type="dxa"/>
              <w:left w:w="120" w:type="dxa"/>
              <w:bottom w:w="24" w:type="dxa"/>
              <w:right w:w="120" w:type="dxa"/>
            </w:tcMar>
            <w:vAlign w:val="center"/>
          </w:tcPr>
          <w:p w14:paraId="6D163C91"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C99" w14:textId="77777777" w:rsidTr="00F30919">
        <w:tc>
          <w:tcPr>
            <w:tcW w:w="743" w:type="pct"/>
            <w:gridSpan w:val="2"/>
            <w:tcBorders>
              <w:top w:val="single" w:sz="6" w:space="0" w:color="78786E"/>
              <w:left w:val="single" w:sz="6" w:space="0" w:color="78786E"/>
              <w:bottom w:val="single" w:sz="6" w:space="0" w:color="78786E"/>
              <w:right w:val="single" w:sz="6" w:space="0" w:color="78786E"/>
            </w:tcBorders>
            <w:shd w:val="clear" w:color="auto" w:fill="BFBFBF"/>
            <w:vAlign w:val="center"/>
          </w:tcPr>
          <w:p w14:paraId="6D163C9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394"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9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9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9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78"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9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36" w:type="pct"/>
            <w:tcBorders>
              <w:top w:val="single" w:sz="6" w:space="0" w:color="78786E"/>
              <w:left w:val="single" w:sz="6" w:space="0" w:color="78786E"/>
              <w:bottom w:val="single" w:sz="6" w:space="0" w:color="78786E"/>
              <w:right w:val="single" w:sz="6" w:space="0" w:color="78786E"/>
            </w:tcBorders>
            <w:shd w:val="clear" w:color="auto" w:fill="BFBFBF"/>
            <w:tcMar>
              <w:top w:w="24" w:type="dxa"/>
              <w:left w:w="120" w:type="dxa"/>
              <w:bottom w:w="24" w:type="dxa"/>
              <w:right w:w="120" w:type="dxa"/>
            </w:tcMar>
            <w:vAlign w:val="center"/>
          </w:tcPr>
          <w:p w14:paraId="6D163C9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F30919" w:rsidRPr="00227E88" w14:paraId="6D163CA0" w14:textId="77777777" w:rsidTr="00C53854">
        <w:tc>
          <w:tcPr>
            <w:tcW w:w="743" w:type="pct"/>
            <w:gridSpan w:val="2"/>
            <w:tcBorders>
              <w:top w:val="single" w:sz="6" w:space="0" w:color="78786E"/>
              <w:left w:val="single" w:sz="6" w:space="0" w:color="78786E"/>
              <w:bottom w:val="single" w:sz="6" w:space="0" w:color="78786E"/>
              <w:right w:val="single" w:sz="6" w:space="0" w:color="78786E"/>
            </w:tcBorders>
            <w:shd w:val="clear" w:color="auto" w:fill="auto"/>
            <w:vAlign w:val="center"/>
          </w:tcPr>
          <w:p w14:paraId="6D163C9A"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Monitoring of Pension Fund position</w:t>
            </w:r>
          </w:p>
        </w:tc>
        <w:tc>
          <w:tcPr>
            <w:tcW w:w="139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9B"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Controls in place to monitor developments with Fund Actuary and Triennial valuations, targeting increased funding level to manage increased longevity. A flight path structure will be developed and implemented during the year to allow opportunities in funding level to be acted on.</w:t>
            </w:r>
          </w:p>
        </w:tc>
        <w:tc>
          <w:tcPr>
            <w:tcW w:w="665"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9C"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David Dickinson Justine Spring </w:t>
            </w:r>
          </w:p>
        </w:tc>
        <w:tc>
          <w:tcPr>
            <w:tcW w:w="98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9D" w14:textId="64F03586" w:rsidR="00F30919" w:rsidRPr="00E35F96" w:rsidRDefault="009E4A86" w:rsidP="00F30919">
            <w:pPr>
              <w:rPr>
                <w:rFonts w:ascii="Arial" w:hAnsi="Arial" w:cs="Arial"/>
                <w:color w:val="000000"/>
                <w:sz w:val="16"/>
                <w:szCs w:val="16"/>
              </w:rPr>
            </w:pPr>
            <w:r>
              <w:rPr>
                <w:rFonts w:ascii="Arial" w:hAnsi="Arial" w:cs="Arial"/>
                <w:color w:val="000000"/>
                <w:sz w:val="16"/>
                <w:szCs w:val="16"/>
              </w:rPr>
              <w:t>Philip Gregory</w:t>
            </w:r>
          </w:p>
        </w:tc>
        <w:tc>
          <w:tcPr>
            <w:tcW w:w="478"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9E" w14:textId="6E42307E"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30 June 20</w:t>
            </w:r>
            <w:r w:rsidR="009E4A86">
              <w:rPr>
                <w:rFonts w:ascii="Arial" w:hAnsi="Arial" w:cs="Arial"/>
                <w:color w:val="000000"/>
                <w:sz w:val="16"/>
                <w:szCs w:val="16"/>
              </w:rPr>
              <w:t>21</w:t>
            </w:r>
          </w:p>
        </w:tc>
        <w:tc>
          <w:tcPr>
            <w:tcW w:w="736"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9F"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Reviewed August 2018 - ongoing</w:t>
            </w:r>
          </w:p>
        </w:tc>
      </w:tr>
      <w:tr w:rsidR="00F30919" w:rsidRPr="00227E88" w14:paraId="6D163CA7" w14:textId="77777777" w:rsidTr="00C53854">
        <w:trPr>
          <w:trHeight w:val="1549"/>
        </w:trPr>
        <w:tc>
          <w:tcPr>
            <w:tcW w:w="743" w:type="pct"/>
            <w:gridSpan w:val="2"/>
            <w:tcBorders>
              <w:top w:val="single" w:sz="6" w:space="0" w:color="78786E"/>
              <w:left w:val="single" w:sz="6" w:space="0" w:color="78786E"/>
              <w:bottom w:val="single" w:sz="6" w:space="0" w:color="78786E"/>
              <w:right w:val="single" w:sz="6" w:space="0" w:color="78786E"/>
            </w:tcBorders>
            <w:shd w:val="clear" w:color="auto" w:fill="auto"/>
            <w:vAlign w:val="center"/>
          </w:tcPr>
          <w:p w14:paraId="6D163CA1"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Raising retirement ages to match increasing longevity</w:t>
            </w:r>
          </w:p>
        </w:tc>
        <w:tc>
          <w:tcPr>
            <w:tcW w:w="139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2"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Scheme retirement age of State Pension Age changes Retirement and a linking of future increases in longevity with increasing retirement age, then it would be possible to downgrade this risk rating.</w:t>
            </w:r>
          </w:p>
        </w:tc>
        <w:tc>
          <w:tcPr>
            <w:tcW w:w="665"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3"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4" w14:textId="6BAF6DF3" w:rsidR="00F30919" w:rsidRPr="00E35F96" w:rsidRDefault="009E4A86" w:rsidP="00F30919">
            <w:pPr>
              <w:rPr>
                <w:rFonts w:ascii="Arial" w:hAnsi="Arial" w:cs="Arial"/>
                <w:color w:val="000000"/>
                <w:sz w:val="16"/>
                <w:szCs w:val="16"/>
              </w:rPr>
            </w:pPr>
            <w:r>
              <w:rPr>
                <w:rFonts w:ascii="Arial" w:hAnsi="Arial" w:cs="Arial"/>
                <w:color w:val="000000"/>
                <w:sz w:val="16"/>
                <w:szCs w:val="16"/>
              </w:rPr>
              <w:t>Philip Gregory</w:t>
            </w:r>
          </w:p>
        </w:tc>
        <w:tc>
          <w:tcPr>
            <w:tcW w:w="478"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5" w14:textId="441A03C8"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30 June 20</w:t>
            </w:r>
            <w:r w:rsidR="009E4A86">
              <w:rPr>
                <w:rFonts w:ascii="Arial" w:hAnsi="Arial" w:cs="Arial"/>
                <w:color w:val="000000"/>
                <w:sz w:val="16"/>
                <w:szCs w:val="16"/>
              </w:rPr>
              <w:t>21</w:t>
            </w:r>
          </w:p>
        </w:tc>
        <w:tc>
          <w:tcPr>
            <w:tcW w:w="736"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6"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Reviewed August 2018 - ongoing</w:t>
            </w:r>
          </w:p>
        </w:tc>
      </w:tr>
      <w:tr w:rsidR="00F30919" w:rsidRPr="00227E88" w14:paraId="6D163CAE" w14:textId="77777777" w:rsidTr="00C53854">
        <w:tc>
          <w:tcPr>
            <w:tcW w:w="743" w:type="pct"/>
            <w:gridSpan w:val="2"/>
            <w:tcBorders>
              <w:top w:val="single" w:sz="6" w:space="0" w:color="78786E"/>
              <w:left w:val="single" w:sz="6" w:space="0" w:color="78786E"/>
              <w:bottom w:val="single" w:sz="6" w:space="0" w:color="78786E"/>
              <w:right w:val="single" w:sz="6" w:space="0" w:color="78786E"/>
            </w:tcBorders>
            <w:shd w:val="clear" w:color="auto" w:fill="auto"/>
            <w:vAlign w:val="center"/>
          </w:tcPr>
          <w:p w14:paraId="6D163CA8"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Fund profiling to monitor specific experience</w:t>
            </w:r>
          </w:p>
        </w:tc>
        <w:tc>
          <w:tcPr>
            <w:tcW w:w="139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9"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Club Vita membership to annually monitor the LBBD specific fund longevity profile</w:t>
            </w:r>
          </w:p>
        </w:tc>
        <w:tc>
          <w:tcPr>
            <w:tcW w:w="665"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A"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B" w14:textId="350FD6EA" w:rsidR="00F30919" w:rsidRPr="00E35F96" w:rsidRDefault="009E4A86" w:rsidP="00F30919">
            <w:pPr>
              <w:rPr>
                <w:rFonts w:ascii="Arial" w:hAnsi="Arial" w:cs="Arial"/>
                <w:color w:val="000000"/>
                <w:sz w:val="16"/>
                <w:szCs w:val="16"/>
              </w:rPr>
            </w:pPr>
            <w:r>
              <w:rPr>
                <w:rFonts w:ascii="Arial" w:hAnsi="Arial" w:cs="Arial"/>
                <w:color w:val="000000"/>
                <w:sz w:val="16"/>
                <w:szCs w:val="16"/>
              </w:rPr>
              <w:t>Philip Gregory</w:t>
            </w:r>
          </w:p>
        </w:tc>
        <w:tc>
          <w:tcPr>
            <w:tcW w:w="478"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C" w14:textId="3BB49EE2"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30 June 20</w:t>
            </w:r>
            <w:r w:rsidR="009E4A86">
              <w:rPr>
                <w:rFonts w:ascii="Arial" w:hAnsi="Arial" w:cs="Arial"/>
                <w:color w:val="000000"/>
                <w:sz w:val="16"/>
                <w:szCs w:val="16"/>
              </w:rPr>
              <w:t>21</w:t>
            </w:r>
          </w:p>
        </w:tc>
        <w:tc>
          <w:tcPr>
            <w:tcW w:w="736" w:type="pct"/>
            <w:tcBorders>
              <w:top w:val="single" w:sz="6" w:space="0" w:color="78786E"/>
              <w:left w:val="single" w:sz="6" w:space="0" w:color="78786E"/>
              <w:bottom w:val="single" w:sz="6" w:space="0" w:color="78786E"/>
              <w:right w:val="single" w:sz="6" w:space="0" w:color="78786E"/>
            </w:tcBorders>
            <w:shd w:val="clear" w:color="auto" w:fill="auto"/>
            <w:tcMar>
              <w:top w:w="24" w:type="dxa"/>
              <w:left w:w="120" w:type="dxa"/>
              <w:bottom w:w="24" w:type="dxa"/>
              <w:right w:w="120" w:type="dxa"/>
            </w:tcMar>
            <w:vAlign w:val="center"/>
          </w:tcPr>
          <w:p w14:paraId="6D163CAD"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CAF"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314"/>
        <w:gridCol w:w="1148"/>
        <w:gridCol w:w="2922"/>
        <w:gridCol w:w="1325"/>
        <w:gridCol w:w="1961"/>
        <w:gridCol w:w="325"/>
        <w:gridCol w:w="458"/>
        <w:gridCol w:w="1513"/>
      </w:tblGrid>
      <w:tr w:rsidR="00DF6F04" w:rsidRPr="00227E88" w14:paraId="6D163CB5" w14:textId="77777777" w:rsidTr="00F30919">
        <w:tc>
          <w:tcPr>
            <w:tcW w:w="733"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CB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9 Risk Title </w:t>
            </w:r>
          </w:p>
        </w:tc>
        <w:tc>
          <w:tcPr>
            <w:tcW w:w="146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B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B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B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152" w:type="pct"/>
            <w:gridSpan w:val="3"/>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B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CBB" w14:textId="77777777" w:rsidTr="00F30919">
        <w:tc>
          <w:tcPr>
            <w:tcW w:w="733"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B6"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Asset/Liability mismatch </w:t>
            </w:r>
          </w:p>
        </w:tc>
        <w:tc>
          <w:tcPr>
            <w:tcW w:w="146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B7"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Assets and liabilities impacted by investment performance. Assets could fail to increase at the same rate as liabilities giving rise to a larger deficit and therefore increased cost to the Pension Fund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B8"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B9" w14:textId="77777777" w:rsidR="00DF6F04" w:rsidRPr="00E35F96" w:rsidRDefault="00F3091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A0" wp14:editId="5691D338">
                  <wp:extent cx="1092835" cy="936625"/>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152" w:type="pct"/>
            <w:gridSpan w:val="3"/>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BA"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Reviewed </w:t>
            </w:r>
            <w:r w:rsidR="00AF5822" w:rsidRPr="00E35F96">
              <w:rPr>
                <w:rFonts w:ascii="Arial" w:hAnsi="Arial" w:cs="Arial"/>
                <w:color w:val="000000"/>
                <w:sz w:val="16"/>
                <w:szCs w:val="16"/>
              </w:rPr>
              <w:t>April 201</w:t>
            </w:r>
            <w:r w:rsidR="00F30919" w:rsidRPr="00E35F96">
              <w:rPr>
                <w:rFonts w:ascii="Arial" w:hAnsi="Arial" w:cs="Arial"/>
                <w:color w:val="000000"/>
                <w:sz w:val="16"/>
                <w:szCs w:val="16"/>
              </w:rPr>
              <w:t>8</w:t>
            </w:r>
            <w:r w:rsidRPr="00E35F96">
              <w:rPr>
                <w:rFonts w:ascii="Arial" w:hAnsi="Arial" w:cs="Arial"/>
                <w:color w:val="000000"/>
                <w:sz w:val="16"/>
                <w:szCs w:val="16"/>
              </w:rPr>
              <w:t xml:space="preserve"> - Risk likelihood has increased slightly as this has actually happened, and otherwise the risk is ongoing </w:t>
            </w:r>
          </w:p>
        </w:tc>
      </w:tr>
      <w:tr w:rsidR="00DF6F04" w:rsidRPr="00227E88" w14:paraId="6D163CC3" w14:textId="77777777" w:rsidTr="00F30919">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B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57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BD"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466"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BE"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BF"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C0"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63"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C1"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9" w:type="pct"/>
            <w:gridSpan w:val="2"/>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C2"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CCA" w14:textId="77777777" w:rsidTr="00F30919">
        <w:tc>
          <w:tcPr>
            <w:tcW w:w="733"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CC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466"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C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C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C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393"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C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59"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C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F30919" w:rsidRPr="00227E88" w14:paraId="6D163CD1" w14:textId="77777777" w:rsidTr="00F30919">
        <w:tc>
          <w:tcPr>
            <w:tcW w:w="733"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CB"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Asset allocation reviews</w:t>
            </w:r>
          </w:p>
        </w:tc>
        <w:tc>
          <w:tcPr>
            <w:tcW w:w="146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CC"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Controls in place to monitor assets and liabilities of the pension fund and to review asset allocation on a regular basis to ensure it remains appropriate.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04DC5070" w14:textId="77777777" w:rsidR="009E35A7" w:rsidRDefault="00F30919" w:rsidP="00F30919">
            <w:pPr>
              <w:rPr>
                <w:rFonts w:ascii="Arial" w:hAnsi="Arial" w:cs="Arial"/>
                <w:color w:val="000000"/>
                <w:sz w:val="16"/>
                <w:szCs w:val="16"/>
              </w:rPr>
            </w:pPr>
            <w:r w:rsidRPr="00E35F96">
              <w:rPr>
                <w:rFonts w:ascii="Arial" w:hAnsi="Arial" w:cs="Arial"/>
                <w:color w:val="000000"/>
                <w:sz w:val="16"/>
                <w:szCs w:val="16"/>
              </w:rPr>
              <w:t>David Dickinson</w:t>
            </w:r>
          </w:p>
          <w:p w14:paraId="6D163CCD" w14:textId="1B400FB5" w:rsidR="00F30919" w:rsidRPr="00E35F96" w:rsidRDefault="005928DD" w:rsidP="00F30919">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CE" w14:textId="03A750CC" w:rsidR="00F30919" w:rsidRPr="00E35F96" w:rsidRDefault="005928DD" w:rsidP="00F30919">
            <w:pPr>
              <w:rPr>
                <w:rFonts w:ascii="Arial" w:hAnsi="Arial" w:cs="Arial"/>
                <w:color w:val="000000"/>
                <w:sz w:val="16"/>
                <w:szCs w:val="16"/>
              </w:rPr>
            </w:pPr>
            <w:r>
              <w:rPr>
                <w:rFonts w:ascii="Arial" w:hAnsi="Arial" w:cs="Arial"/>
                <w:color w:val="000000"/>
                <w:sz w:val="16"/>
                <w:szCs w:val="16"/>
              </w:rPr>
              <w:t>Philip Gregory</w:t>
            </w:r>
          </w:p>
        </w:tc>
        <w:tc>
          <w:tcPr>
            <w:tcW w:w="393"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CF" w14:textId="44D364DF"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30 June 20</w:t>
            </w:r>
            <w:r w:rsidR="005928DD">
              <w:rPr>
                <w:rFonts w:ascii="Arial" w:hAnsi="Arial" w:cs="Arial"/>
                <w:color w:val="000000"/>
                <w:sz w:val="16"/>
                <w:szCs w:val="16"/>
              </w:rPr>
              <w:t>21</w:t>
            </w:r>
          </w:p>
        </w:tc>
        <w:tc>
          <w:tcPr>
            <w:tcW w:w="75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0"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Reviewed August 2018 - ongoing</w:t>
            </w:r>
          </w:p>
        </w:tc>
      </w:tr>
      <w:tr w:rsidR="00F30919" w:rsidRPr="00227E88" w14:paraId="6D163CD8" w14:textId="77777777" w:rsidTr="00C53854">
        <w:tc>
          <w:tcPr>
            <w:tcW w:w="733"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D2"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Use of external advisers </w:t>
            </w:r>
          </w:p>
        </w:tc>
        <w:tc>
          <w:tcPr>
            <w:tcW w:w="146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3"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Actuarial and investment advisor advise the Fund on how to manage the asset/liability mismatch</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2829AD4E" w14:textId="77777777" w:rsidR="009E35A7" w:rsidRDefault="00F30919" w:rsidP="00F30919">
            <w:pPr>
              <w:rPr>
                <w:rFonts w:ascii="Arial" w:hAnsi="Arial" w:cs="Arial"/>
                <w:color w:val="000000"/>
                <w:sz w:val="16"/>
                <w:szCs w:val="16"/>
              </w:rPr>
            </w:pPr>
            <w:r w:rsidRPr="00E35F96">
              <w:rPr>
                <w:rFonts w:ascii="Arial" w:hAnsi="Arial" w:cs="Arial"/>
                <w:color w:val="000000"/>
                <w:sz w:val="16"/>
                <w:szCs w:val="16"/>
              </w:rPr>
              <w:t>David Dickinson</w:t>
            </w:r>
          </w:p>
          <w:p w14:paraId="6D163CD4" w14:textId="7D4A5848" w:rsidR="00F30919" w:rsidRPr="00E35F96" w:rsidRDefault="00F1257F" w:rsidP="00F30919">
            <w:pPr>
              <w:rPr>
                <w:rFonts w:ascii="Arial" w:hAnsi="Arial" w:cs="Arial"/>
                <w:color w:val="000000"/>
                <w:sz w:val="16"/>
                <w:szCs w:val="16"/>
              </w:rPr>
            </w:pPr>
            <w:r>
              <w:rPr>
                <w:rFonts w:ascii="Arial" w:hAnsi="Arial" w:cs="Arial"/>
                <w:color w:val="000000"/>
                <w:sz w:val="16"/>
                <w:szCs w:val="16"/>
              </w:rPr>
              <w:t>Jesmine Anwar</w:t>
            </w:r>
            <w:r w:rsidR="00F30919" w:rsidRPr="00E35F96">
              <w:rPr>
                <w:rFonts w:ascii="Arial" w:hAnsi="Arial" w:cs="Arial"/>
                <w:color w:val="000000"/>
                <w:sz w:val="16"/>
                <w:szCs w:val="16"/>
              </w:rPr>
              <w:t xml:space="preserv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5" w14:textId="7CD192C7" w:rsidR="00F30919" w:rsidRPr="00E35F96" w:rsidRDefault="005928DD" w:rsidP="00F30919">
            <w:pPr>
              <w:rPr>
                <w:rFonts w:ascii="Arial" w:hAnsi="Arial" w:cs="Arial"/>
                <w:color w:val="000000"/>
                <w:sz w:val="16"/>
                <w:szCs w:val="16"/>
              </w:rPr>
            </w:pPr>
            <w:r>
              <w:rPr>
                <w:rFonts w:ascii="Arial" w:hAnsi="Arial" w:cs="Arial"/>
                <w:color w:val="000000"/>
                <w:sz w:val="16"/>
                <w:szCs w:val="16"/>
              </w:rPr>
              <w:t>Philip Gregory</w:t>
            </w:r>
            <w:r w:rsidR="00F30919" w:rsidRPr="00E35F96">
              <w:rPr>
                <w:rFonts w:ascii="Arial" w:hAnsi="Arial" w:cs="Arial"/>
                <w:color w:val="000000"/>
                <w:sz w:val="16"/>
                <w:szCs w:val="16"/>
              </w:rPr>
              <w:t xml:space="preserve"> </w:t>
            </w:r>
          </w:p>
        </w:tc>
        <w:tc>
          <w:tcPr>
            <w:tcW w:w="393"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6" w14:textId="0EF8DF59"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30 June 20</w:t>
            </w:r>
            <w:r w:rsidR="005928DD">
              <w:rPr>
                <w:rFonts w:ascii="Arial" w:hAnsi="Arial" w:cs="Arial"/>
                <w:color w:val="000000"/>
                <w:sz w:val="16"/>
                <w:szCs w:val="16"/>
              </w:rPr>
              <w:t>21</w:t>
            </w:r>
          </w:p>
        </w:tc>
        <w:tc>
          <w:tcPr>
            <w:tcW w:w="75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7"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Reviewed August 2018 – ongoing. T tender towards the end of 2018</w:t>
            </w:r>
          </w:p>
        </w:tc>
      </w:tr>
      <w:tr w:rsidR="00F30919" w:rsidRPr="00227E88" w14:paraId="6D163CDF" w14:textId="77777777" w:rsidTr="00C53854">
        <w:tc>
          <w:tcPr>
            <w:tcW w:w="733"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D9"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Strategic goal Setting</w:t>
            </w:r>
          </w:p>
        </w:tc>
        <w:tc>
          <w:tcPr>
            <w:tcW w:w="1466"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A"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Set strategic goals to achieve full funding, set targets to make changes to the assets when appropriate.</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B"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C" w14:textId="7C9D00F7" w:rsidR="00F30919" w:rsidRPr="00E35F96" w:rsidRDefault="005928DD" w:rsidP="00F30919">
            <w:pPr>
              <w:rPr>
                <w:rFonts w:ascii="Arial" w:hAnsi="Arial" w:cs="Arial"/>
                <w:color w:val="000000"/>
                <w:sz w:val="16"/>
                <w:szCs w:val="16"/>
              </w:rPr>
            </w:pPr>
            <w:r>
              <w:rPr>
                <w:rFonts w:ascii="Arial" w:hAnsi="Arial" w:cs="Arial"/>
                <w:color w:val="000000"/>
                <w:sz w:val="16"/>
                <w:szCs w:val="16"/>
              </w:rPr>
              <w:t>Philip Gregory</w:t>
            </w:r>
          </w:p>
        </w:tc>
        <w:tc>
          <w:tcPr>
            <w:tcW w:w="393"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D" w14:textId="2E3B074E"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30 June 20</w:t>
            </w:r>
            <w:r w:rsidR="005928DD">
              <w:rPr>
                <w:rFonts w:ascii="Arial" w:hAnsi="Arial" w:cs="Arial"/>
                <w:color w:val="000000"/>
                <w:sz w:val="16"/>
                <w:szCs w:val="16"/>
              </w:rPr>
              <w:t>21</w:t>
            </w:r>
          </w:p>
        </w:tc>
        <w:tc>
          <w:tcPr>
            <w:tcW w:w="75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DE" w14:textId="77777777" w:rsidR="00F30919" w:rsidRPr="00E35F96" w:rsidRDefault="00F30919" w:rsidP="00F30919">
            <w:pPr>
              <w:rPr>
                <w:rFonts w:ascii="Arial" w:hAnsi="Arial" w:cs="Arial"/>
                <w:color w:val="000000"/>
                <w:sz w:val="16"/>
                <w:szCs w:val="16"/>
              </w:rPr>
            </w:pPr>
            <w:r w:rsidRPr="00E35F96">
              <w:rPr>
                <w:rFonts w:ascii="Arial" w:hAnsi="Arial" w:cs="Arial"/>
                <w:color w:val="000000"/>
                <w:sz w:val="16"/>
                <w:szCs w:val="16"/>
              </w:rPr>
              <w:t>Reviewed August 2018 – ongoing but next main review after the 2019 triennial valuation</w:t>
            </w:r>
          </w:p>
        </w:tc>
      </w:tr>
    </w:tbl>
    <w:p w14:paraId="6D163CE0" w14:textId="77777777" w:rsidR="00DF6F04" w:rsidRPr="00E35F96" w:rsidRDefault="00DF6F04" w:rsidP="00E03107">
      <w:pPr>
        <w:rPr>
          <w:rFonts w:ascii="Arial" w:hAnsi="Arial" w:cs="Arial"/>
        </w:rPr>
      </w:pPr>
    </w:p>
    <w:p w14:paraId="6D163CE1" w14:textId="77777777" w:rsidR="00DF6F04" w:rsidRPr="00E35F96" w:rsidRDefault="00DF6F04" w:rsidP="00E03107">
      <w:pPr>
        <w:rPr>
          <w:rFonts w:ascii="Arial" w:hAnsi="Arial" w:cs="Arial"/>
        </w:rPr>
      </w:pPr>
    </w:p>
    <w:p w14:paraId="6D163CE2"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742"/>
        <w:gridCol w:w="558"/>
        <w:gridCol w:w="3179"/>
        <w:gridCol w:w="1325"/>
        <w:gridCol w:w="1961"/>
        <w:gridCol w:w="634"/>
        <w:gridCol w:w="98"/>
        <w:gridCol w:w="1469"/>
      </w:tblGrid>
      <w:tr w:rsidR="00DF6F04" w:rsidRPr="00227E88" w14:paraId="6D163CE8" w14:textId="77777777" w:rsidTr="00C53854">
        <w:tc>
          <w:tcPr>
            <w:tcW w:w="652"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CE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10 Risk Title </w:t>
            </w:r>
          </w:p>
        </w:tc>
        <w:tc>
          <w:tcPr>
            <w:tcW w:w="159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E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E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E6" w14:textId="77777777" w:rsidR="00DF6F04" w:rsidRPr="00E35F96" w:rsidRDefault="00DF6F04" w:rsidP="00E03107">
            <w:pPr>
              <w:ind w:right="-119"/>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105" w:type="pct"/>
            <w:gridSpan w:val="3"/>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E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CEE" w14:textId="77777777" w:rsidTr="00C53854">
        <w:tc>
          <w:tcPr>
            <w:tcW w:w="65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E9"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Investment Performance </w:t>
            </w:r>
          </w:p>
        </w:tc>
        <w:tc>
          <w:tcPr>
            <w:tcW w:w="159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EA"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Poor investment performance either as a result of the types of assets invested in or performance of individual fund managers.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EB"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EC" w14:textId="77777777" w:rsidR="00DF6F04" w:rsidRPr="00E35F96" w:rsidRDefault="00C53854"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A2" wp14:editId="3360E9E8">
                  <wp:extent cx="1092835" cy="936625"/>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105" w:type="pct"/>
            <w:gridSpan w:val="3"/>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ED" w14:textId="77777777" w:rsidR="00DF6F04" w:rsidRPr="00E35F96" w:rsidRDefault="00C53854" w:rsidP="00E03107">
            <w:pPr>
              <w:rPr>
                <w:rFonts w:ascii="Arial" w:hAnsi="Arial" w:cs="Arial"/>
                <w:color w:val="000000"/>
                <w:sz w:val="16"/>
                <w:szCs w:val="16"/>
              </w:rPr>
            </w:pPr>
            <w:r w:rsidRPr="00E35F96">
              <w:rPr>
                <w:rFonts w:ascii="Arial" w:hAnsi="Arial" w:cs="Arial"/>
                <w:color w:val="000000"/>
                <w:sz w:val="16"/>
                <w:szCs w:val="16"/>
              </w:rPr>
              <w:t xml:space="preserve">August 2018 </w:t>
            </w:r>
            <w:r w:rsidR="00DF6F04" w:rsidRPr="00E35F96">
              <w:rPr>
                <w:rFonts w:ascii="Arial" w:hAnsi="Arial" w:cs="Arial"/>
                <w:color w:val="000000"/>
                <w:sz w:val="16"/>
                <w:szCs w:val="16"/>
              </w:rPr>
              <w:t xml:space="preserve">- Risk reviewed and ongoing </w:t>
            </w:r>
          </w:p>
        </w:tc>
      </w:tr>
      <w:tr w:rsidR="00DF6F04" w:rsidRPr="00227E88" w14:paraId="6D163CF6"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EF"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280"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F0"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59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F1"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F2"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F3"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18"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F4"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87" w:type="pct"/>
            <w:gridSpan w:val="2"/>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CF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CFD" w14:textId="77777777" w:rsidTr="00C53854">
        <w:tc>
          <w:tcPr>
            <w:tcW w:w="652"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CF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59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F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F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F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367"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F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38"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CF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D04" w14:textId="77777777" w:rsidTr="00C53854">
        <w:tc>
          <w:tcPr>
            <w:tcW w:w="65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CFE"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Medium Term Financial Planning</w:t>
            </w:r>
          </w:p>
        </w:tc>
        <w:tc>
          <w:tcPr>
            <w:tcW w:w="159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CFF"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MTFP / Budget reflects any potential changes arising (or predicted to arise) from the actuarial valuations.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0"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1" w14:textId="299413AE" w:rsidR="00C53854" w:rsidRPr="00E35F96" w:rsidRDefault="00F1257F" w:rsidP="00C53854">
            <w:pPr>
              <w:rPr>
                <w:rFonts w:ascii="Arial" w:hAnsi="Arial" w:cs="Arial"/>
                <w:color w:val="000000"/>
                <w:sz w:val="16"/>
                <w:szCs w:val="16"/>
              </w:rPr>
            </w:pPr>
            <w:r>
              <w:rPr>
                <w:rFonts w:ascii="Arial" w:hAnsi="Arial" w:cs="Arial"/>
                <w:color w:val="000000"/>
                <w:sz w:val="16"/>
                <w:szCs w:val="16"/>
              </w:rPr>
              <w:t>Philip Gregory</w:t>
            </w:r>
          </w:p>
        </w:tc>
        <w:tc>
          <w:tcPr>
            <w:tcW w:w="367"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2" w14:textId="30C3B39B"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E05648">
              <w:rPr>
                <w:rFonts w:ascii="Arial" w:hAnsi="Arial" w:cs="Arial"/>
                <w:color w:val="000000"/>
                <w:sz w:val="16"/>
                <w:szCs w:val="16"/>
              </w:rPr>
              <w:t>21</w:t>
            </w:r>
          </w:p>
        </w:tc>
        <w:tc>
          <w:tcPr>
            <w:tcW w:w="73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D0B" w14:textId="77777777" w:rsidTr="00C53854">
        <w:tc>
          <w:tcPr>
            <w:tcW w:w="65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0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Set aside reserves </w:t>
            </w:r>
          </w:p>
        </w:tc>
        <w:tc>
          <w:tcPr>
            <w:tcW w:w="159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Rebuilding Pensions reserve to buffer against future valuations variations.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0C3309E7" w14:textId="77777777" w:rsidR="0057448B"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p w14:paraId="6D163D07" w14:textId="2DD62AC1" w:rsidR="00C53854" w:rsidRPr="00E35F96" w:rsidRDefault="009E35A7"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8" w14:textId="5ECE2064" w:rsidR="00C53854" w:rsidRPr="00E35F96" w:rsidRDefault="00E05648" w:rsidP="00C53854">
            <w:pPr>
              <w:rPr>
                <w:rFonts w:ascii="Arial" w:hAnsi="Arial" w:cs="Arial"/>
                <w:color w:val="000000"/>
                <w:sz w:val="16"/>
                <w:szCs w:val="16"/>
              </w:rPr>
            </w:pPr>
            <w:r>
              <w:rPr>
                <w:rFonts w:ascii="Arial" w:hAnsi="Arial" w:cs="Arial"/>
                <w:color w:val="000000"/>
                <w:sz w:val="16"/>
                <w:szCs w:val="16"/>
              </w:rPr>
              <w:t>Philip Gregory</w:t>
            </w:r>
          </w:p>
        </w:tc>
        <w:tc>
          <w:tcPr>
            <w:tcW w:w="367"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9" w14:textId="24BD896D"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9E5BCB">
              <w:rPr>
                <w:rFonts w:ascii="Arial" w:hAnsi="Arial" w:cs="Arial"/>
                <w:color w:val="000000"/>
                <w:sz w:val="16"/>
                <w:szCs w:val="16"/>
              </w:rPr>
              <w:t>21</w:t>
            </w:r>
          </w:p>
        </w:tc>
        <w:tc>
          <w:tcPr>
            <w:tcW w:w="73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D12" w14:textId="77777777" w:rsidTr="00C53854">
        <w:tc>
          <w:tcPr>
            <w:tcW w:w="65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0C"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Performance Monitoring</w:t>
            </w:r>
          </w:p>
        </w:tc>
        <w:tc>
          <w:tcPr>
            <w:tcW w:w="159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D"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Regular monitoring of asset allocation, monitoring of investment performance of fund managers to ensure both are on target to achieve the targeted returns.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8C06535" w14:textId="77777777" w:rsidR="0057448B"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p w14:paraId="6D163D0E" w14:textId="164DE00F" w:rsidR="00C53854" w:rsidRPr="00E35F96" w:rsidRDefault="009E5BCB"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0F" w14:textId="44996189" w:rsidR="00C53854" w:rsidRPr="00E35F96" w:rsidRDefault="00E05648" w:rsidP="00C53854">
            <w:pPr>
              <w:rPr>
                <w:rFonts w:ascii="Arial" w:hAnsi="Arial" w:cs="Arial"/>
                <w:color w:val="000000"/>
                <w:sz w:val="16"/>
                <w:szCs w:val="16"/>
              </w:rPr>
            </w:pPr>
            <w:r>
              <w:rPr>
                <w:rFonts w:ascii="Arial" w:hAnsi="Arial" w:cs="Arial"/>
                <w:color w:val="000000"/>
                <w:sz w:val="16"/>
                <w:szCs w:val="16"/>
              </w:rPr>
              <w:t>Philip Gregory</w:t>
            </w:r>
          </w:p>
        </w:tc>
        <w:tc>
          <w:tcPr>
            <w:tcW w:w="367"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0" w14:textId="4B3FA68D"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9E5BCB">
              <w:rPr>
                <w:rFonts w:ascii="Arial" w:hAnsi="Arial" w:cs="Arial"/>
                <w:color w:val="000000"/>
                <w:sz w:val="16"/>
                <w:szCs w:val="16"/>
              </w:rPr>
              <w:t>21</w:t>
            </w:r>
          </w:p>
        </w:tc>
        <w:tc>
          <w:tcPr>
            <w:tcW w:w="73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D19" w14:textId="77777777" w:rsidTr="00C53854">
        <w:tc>
          <w:tcPr>
            <w:tcW w:w="65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1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Appropriate levels of knowledge and skills to make decisions</w:t>
            </w:r>
          </w:p>
        </w:tc>
        <w:tc>
          <w:tcPr>
            <w:tcW w:w="159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4"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Use of external advisers to assist in making investment decisions and ensuring that decision takers understand the investments of the fund</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6" w14:textId="6E6D19C4" w:rsidR="00C53854" w:rsidRPr="00E35F96" w:rsidRDefault="00E05648" w:rsidP="00C53854">
            <w:pPr>
              <w:rPr>
                <w:rFonts w:ascii="Arial" w:hAnsi="Arial" w:cs="Arial"/>
                <w:color w:val="000000"/>
                <w:sz w:val="16"/>
                <w:szCs w:val="16"/>
              </w:rPr>
            </w:pPr>
            <w:r>
              <w:rPr>
                <w:rFonts w:ascii="Arial" w:hAnsi="Arial" w:cs="Arial"/>
                <w:color w:val="000000"/>
                <w:sz w:val="16"/>
                <w:szCs w:val="16"/>
              </w:rPr>
              <w:t>Philip Gregory</w:t>
            </w:r>
          </w:p>
        </w:tc>
        <w:tc>
          <w:tcPr>
            <w:tcW w:w="367"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7" w14:textId="6A826A23"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9E5BCB">
              <w:rPr>
                <w:rFonts w:ascii="Arial" w:hAnsi="Arial" w:cs="Arial"/>
                <w:color w:val="000000"/>
                <w:sz w:val="16"/>
                <w:szCs w:val="16"/>
              </w:rPr>
              <w:t>21</w:t>
            </w:r>
          </w:p>
        </w:tc>
        <w:tc>
          <w:tcPr>
            <w:tcW w:w="73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8"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D22" w14:textId="77777777" w:rsidTr="00C53854">
        <w:tc>
          <w:tcPr>
            <w:tcW w:w="65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1A" w14:textId="77777777" w:rsidR="00C53854" w:rsidRPr="00E35F96" w:rsidRDefault="00C53854" w:rsidP="00C53854">
            <w:pPr>
              <w:rPr>
                <w:rFonts w:ascii="Arial" w:hAnsi="Arial" w:cs="Arial"/>
                <w:color w:val="000000"/>
                <w:sz w:val="16"/>
                <w:szCs w:val="16"/>
              </w:rPr>
            </w:pPr>
            <w:proofErr w:type="spellStart"/>
            <w:r w:rsidRPr="00E35F96">
              <w:rPr>
                <w:rFonts w:ascii="Arial" w:hAnsi="Arial" w:cs="Arial"/>
                <w:color w:val="000000"/>
                <w:sz w:val="16"/>
                <w:szCs w:val="16"/>
              </w:rPr>
              <w:t>Derisking</w:t>
            </w:r>
            <w:proofErr w:type="spellEnd"/>
            <w:r w:rsidRPr="00E35F96">
              <w:rPr>
                <w:rFonts w:ascii="Arial" w:hAnsi="Arial" w:cs="Arial"/>
                <w:color w:val="000000"/>
                <w:sz w:val="16"/>
                <w:szCs w:val="16"/>
              </w:rPr>
              <w:t xml:space="preserve"> of Fund when appropriate</w:t>
            </w:r>
          </w:p>
        </w:tc>
        <w:tc>
          <w:tcPr>
            <w:tcW w:w="159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B"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At various staged the Pension Fund will be in a better funding position and a strategy is in place to allow the Fund to take advantage of these opportunities when they arise.</w:t>
            </w:r>
          </w:p>
          <w:p w14:paraId="6D163D1C" w14:textId="77777777" w:rsidR="00C53854" w:rsidRPr="00E35F96" w:rsidRDefault="00C53854" w:rsidP="00C53854">
            <w:pPr>
              <w:rPr>
                <w:rFonts w:ascii="Arial" w:hAnsi="Arial" w:cs="Arial"/>
                <w:color w:val="000000"/>
                <w:sz w:val="16"/>
                <w:szCs w:val="16"/>
              </w:rPr>
            </w:pPr>
          </w:p>
          <w:p w14:paraId="6D163D1D" w14:textId="77777777" w:rsidR="00C53854" w:rsidRPr="00E35F96" w:rsidRDefault="00C53854" w:rsidP="00C53854">
            <w:pPr>
              <w:rPr>
                <w:rFonts w:ascii="Arial" w:hAnsi="Arial" w:cs="Arial"/>
                <w:color w:val="000000"/>
                <w:sz w:val="16"/>
                <w:szCs w:val="16"/>
              </w:rPr>
            </w:pP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E"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1F" w14:textId="282EBD53" w:rsidR="00C53854" w:rsidRPr="00E35F96" w:rsidRDefault="00E05648" w:rsidP="00C53854">
            <w:pPr>
              <w:rPr>
                <w:rFonts w:ascii="Arial" w:hAnsi="Arial" w:cs="Arial"/>
                <w:color w:val="000000"/>
                <w:sz w:val="16"/>
                <w:szCs w:val="16"/>
              </w:rPr>
            </w:pPr>
            <w:r>
              <w:rPr>
                <w:rFonts w:ascii="Arial" w:hAnsi="Arial" w:cs="Arial"/>
                <w:color w:val="000000"/>
                <w:sz w:val="16"/>
                <w:szCs w:val="16"/>
              </w:rPr>
              <w:t>Philip Gregory</w:t>
            </w:r>
          </w:p>
        </w:tc>
        <w:tc>
          <w:tcPr>
            <w:tcW w:w="367"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20" w14:textId="2421CF41"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9E5BCB">
              <w:rPr>
                <w:rFonts w:ascii="Arial" w:hAnsi="Arial" w:cs="Arial"/>
                <w:color w:val="000000"/>
                <w:sz w:val="16"/>
                <w:szCs w:val="16"/>
              </w:rPr>
              <w:t>21</w:t>
            </w:r>
          </w:p>
        </w:tc>
        <w:tc>
          <w:tcPr>
            <w:tcW w:w="73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2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D23"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317"/>
        <w:gridCol w:w="995"/>
        <w:gridCol w:w="3032"/>
        <w:gridCol w:w="1325"/>
        <w:gridCol w:w="1961"/>
        <w:gridCol w:w="859"/>
        <w:gridCol w:w="1477"/>
      </w:tblGrid>
      <w:tr w:rsidR="00DF6F04" w:rsidRPr="00227E88" w14:paraId="6D163D29" w14:textId="77777777" w:rsidTr="00C53854">
        <w:tc>
          <w:tcPr>
            <w:tcW w:w="658"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2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11 Risk Title </w:t>
            </w:r>
          </w:p>
        </w:tc>
        <w:tc>
          <w:tcPr>
            <w:tcW w:w="152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2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2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2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173"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2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D2F" w14:textId="77777777" w:rsidTr="00C53854">
        <w:tc>
          <w:tcPr>
            <w:tcW w:w="65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2A"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Poor Membership Data </w:t>
            </w:r>
          </w:p>
        </w:tc>
        <w:tc>
          <w:tcPr>
            <w:tcW w:w="152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2B"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Poor administration by the Pension Fund, employers and payroll providers participating in the Fund giving rise to inaccurate data – causing financial, reputational risks, actuary unable to set contribution rates, higher contribution rates, member dissatisfaction, inaccurate benefit statements produced, overpayment etc</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2C"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2D" w14:textId="77777777" w:rsidR="00DF6F04" w:rsidRPr="00E35F96" w:rsidRDefault="00C53854"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A4" wp14:editId="27FA3C9A">
                  <wp:extent cx="1092835" cy="936625"/>
                  <wp:effectExtent l="0" t="0" r="0" b="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173"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2E"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Reviewed</w:t>
            </w:r>
            <w:r w:rsidR="00C53854" w:rsidRPr="00E35F96">
              <w:rPr>
                <w:rFonts w:ascii="Arial" w:hAnsi="Arial" w:cs="Arial"/>
                <w:color w:val="000000"/>
                <w:sz w:val="16"/>
                <w:szCs w:val="16"/>
              </w:rPr>
              <w:t xml:space="preserve"> August 2018 </w:t>
            </w:r>
            <w:r w:rsidRPr="00E35F96">
              <w:rPr>
                <w:rFonts w:ascii="Arial" w:hAnsi="Arial" w:cs="Arial"/>
                <w:color w:val="000000"/>
                <w:sz w:val="16"/>
                <w:szCs w:val="16"/>
              </w:rPr>
              <w:t xml:space="preserve">- ongoing </w:t>
            </w:r>
          </w:p>
        </w:tc>
      </w:tr>
      <w:tr w:rsidR="00DF6F04" w:rsidRPr="00227E88" w14:paraId="6D163D37"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30"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99"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31"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52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32"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33"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34"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3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3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4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3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D3E" w14:textId="77777777" w:rsidTr="00C53854">
        <w:tc>
          <w:tcPr>
            <w:tcW w:w="658"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3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52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3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3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3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3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3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4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3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D45" w14:textId="77777777" w:rsidTr="00C53854">
        <w:tc>
          <w:tcPr>
            <w:tcW w:w="65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3F"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Monitoring of membership data </w:t>
            </w:r>
          </w:p>
        </w:tc>
        <w:tc>
          <w:tcPr>
            <w:tcW w:w="152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0"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Controls – annual monitoring of membership records, valuation checks, external data validations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2" w14:textId="4018A9A2" w:rsidR="00C53854" w:rsidRPr="00E35F96" w:rsidRDefault="003F28BC" w:rsidP="00C53854">
            <w:pPr>
              <w:rPr>
                <w:rFonts w:ascii="Arial" w:hAnsi="Arial" w:cs="Arial"/>
                <w:color w:val="000000"/>
                <w:sz w:val="16"/>
                <w:szCs w:val="16"/>
              </w:rPr>
            </w:pPr>
            <w:r>
              <w:rPr>
                <w:rFonts w:ascii="Arial" w:hAnsi="Arial" w:cs="Arial"/>
                <w:color w:val="000000"/>
                <w:sz w:val="16"/>
                <w:szCs w:val="16"/>
              </w:rPr>
              <w:t>Philip Gregory</w:t>
            </w:r>
          </w:p>
        </w:tc>
        <w:tc>
          <w:tcPr>
            <w:tcW w:w="4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3" w14:textId="0D308E76"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3F28BC">
              <w:rPr>
                <w:rFonts w:ascii="Arial" w:hAnsi="Arial" w:cs="Arial"/>
                <w:color w:val="000000"/>
                <w:sz w:val="16"/>
                <w:szCs w:val="16"/>
              </w:rPr>
              <w:t>21</w:t>
            </w:r>
          </w:p>
        </w:tc>
        <w:tc>
          <w:tcPr>
            <w:tcW w:w="74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4"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D4C" w14:textId="77777777" w:rsidTr="00C53854">
        <w:tc>
          <w:tcPr>
            <w:tcW w:w="65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4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Contributions monitoring</w:t>
            </w:r>
          </w:p>
        </w:tc>
        <w:tc>
          <w:tcPr>
            <w:tcW w:w="152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7"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Monthly monitoring of contributions to ensure that employers paying across correct contributions along with membership data being supplied</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8"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9" w14:textId="1AD5F9D8" w:rsidR="00C53854" w:rsidRPr="00E35F96" w:rsidRDefault="003F28BC" w:rsidP="00C53854">
            <w:pPr>
              <w:rPr>
                <w:rFonts w:ascii="Arial" w:hAnsi="Arial" w:cs="Arial"/>
                <w:color w:val="000000"/>
                <w:sz w:val="16"/>
                <w:szCs w:val="16"/>
              </w:rPr>
            </w:pPr>
            <w:r>
              <w:rPr>
                <w:rFonts w:ascii="Arial" w:hAnsi="Arial" w:cs="Arial"/>
                <w:color w:val="000000"/>
                <w:sz w:val="16"/>
                <w:szCs w:val="16"/>
              </w:rPr>
              <w:t>Philip Gregory</w:t>
            </w:r>
          </w:p>
        </w:tc>
        <w:tc>
          <w:tcPr>
            <w:tcW w:w="4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A" w14:textId="1DDE970E"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3F28BC">
              <w:rPr>
                <w:rFonts w:ascii="Arial" w:hAnsi="Arial" w:cs="Arial"/>
                <w:color w:val="000000"/>
                <w:sz w:val="16"/>
                <w:szCs w:val="16"/>
              </w:rPr>
              <w:t>21</w:t>
            </w:r>
          </w:p>
        </w:tc>
        <w:tc>
          <w:tcPr>
            <w:tcW w:w="74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4B"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D4D"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345"/>
        <w:gridCol w:w="945"/>
        <w:gridCol w:w="3040"/>
        <w:gridCol w:w="1325"/>
        <w:gridCol w:w="1961"/>
        <w:gridCol w:w="660"/>
        <w:gridCol w:w="1690"/>
      </w:tblGrid>
      <w:tr w:rsidR="00DF6F04" w:rsidRPr="00227E88" w14:paraId="6D163D53" w14:textId="77777777" w:rsidTr="00C53854">
        <w:tc>
          <w:tcPr>
            <w:tcW w:w="647"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4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12 Risk Title </w:t>
            </w:r>
          </w:p>
        </w:tc>
        <w:tc>
          <w:tcPr>
            <w:tcW w:w="152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4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5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5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180"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5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D59" w14:textId="77777777" w:rsidTr="00C53854">
        <w:tc>
          <w:tcPr>
            <w:tcW w:w="64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54"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Discretionary Policies </w:t>
            </w:r>
          </w:p>
        </w:tc>
        <w:tc>
          <w:tcPr>
            <w:tcW w:w="152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55"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Regulations allow the Pension Fund and employers certain areas where they are able to exercise discretion. </w:t>
            </w:r>
            <w:r w:rsidRPr="00E35F96">
              <w:rPr>
                <w:rFonts w:ascii="Arial" w:hAnsi="Arial" w:cs="Arial"/>
                <w:color w:val="000000"/>
                <w:sz w:val="16"/>
                <w:szCs w:val="16"/>
              </w:rPr>
              <w:br/>
              <w:t xml:space="preserve">Risk is where policies are too generous or not robust enough leaving the Pension Fund and employers exposed to higher costs and reputational risks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56"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57"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A6" wp14:editId="45F3B92F">
                  <wp:extent cx="1092835" cy="93662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180"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58" w14:textId="77777777" w:rsidR="00DF6F04" w:rsidRPr="00E35F96" w:rsidRDefault="00C53854" w:rsidP="00E03107">
            <w:pPr>
              <w:rPr>
                <w:rFonts w:ascii="Arial" w:hAnsi="Arial" w:cs="Arial"/>
                <w:color w:val="000000"/>
                <w:sz w:val="16"/>
                <w:szCs w:val="16"/>
              </w:rPr>
            </w:pPr>
            <w:r w:rsidRPr="00E35F96">
              <w:rPr>
                <w:rFonts w:ascii="Arial" w:hAnsi="Arial" w:cs="Arial"/>
                <w:color w:val="000000"/>
                <w:sz w:val="16"/>
                <w:szCs w:val="16"/>
              </w:rPr>
              <w:t xml:space="preserve">Reviewed August 2018 </w:t>
            </w:r>
            <w:r w:rsidR="00DF6F04" w:rsidRPr="00E35F96">
              <w:rPr>
                <w:rFonts w:ascii="Arial" w:hAnsi="Arial" w:cs="Arial"/>
                <w:color w:val="000000"/>
                <w:sz w:val="16"/>
                <w:szCs w:val="16"/>
              </w:rPr>
              <w:t xml:space="preserve">- ongoing </w:t>
            </w:r>
          </w:p>
        </w:tc>
      </w:tr>
      <w:tr w:rsidR="00DF6F04" w:rsidRPr="00227E88" w14:paraId="6D163D61"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5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7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5B"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52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5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5D"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5E"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3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5F"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849"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60"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D68" w14:textId="77777777" w:rsidTr="00C53854">
        <w:tc>
          <w:tcPr>
            <w:tcW w:w="647"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6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52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6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6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6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33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6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849"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6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D6F" w14:textId="77777777" w:rsidTr="00C53854">
        <w:tc>
          <w:tcPr>
            <w:tcW w:w="64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69"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Discretionary Policies in place</w:t>
            </w:r>
          </w:p>
        </w:tc>
        <w:tc>
          <w:tcPr>
            <w:tcW w:w="152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6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Controls – Agreed policies and procedures to control such risks.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6B"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6C" w14:textId="7F55C7C7" w:rsidR="00C53854" w:rsidRPr="00E35F96" w:rsidRDefault="003F28BC" w:rsidP="00C53854">
            <w:pPr>
              <w:rPr>
                <w:rFonts w:ascii="Arial" w:hAnsi="Arial" w:cs="Arial"/>
                <w:color w:val="000000"/>
                <w:sz w:val="16"/>
                <w:szCs w:val="16"/>
              </w:rPr>
            </w:pPr>
            <w:r>
              <w:rPr>
                <w:rFonts w:ascii="Arial" w:hAnsi="Arial" w:cs="Arial"/>
                <w:color w:val="000000"/>
                <w:sz w:val="16"/>
                <w:szCs w:val="16"/>
              </w:rPr>
              <w:t>Philip Gregory</w:t>
            </w:r>
          </w:p>
        </w:tc>
        <w:tc>
          <w:tcPr>
            <w:tcW w:w="3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6D" w14:textId="18DE1960"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3F28BC">
              <w:rPr>
                <w:rFonts w:ascii="Arial" w:hAnsi="Arial" w:cs="Arial"/>
                <w:color w:val="000000"/>
                <w:sz w:val="16"/>
                <w:szCs w:val="16"/>
              </w:rPr>
              <w:t>21</w:t>
            </w:r>
          </w:p>
        </w:tc>
        <w:tc>
          <w:tcPr>
            <w:tcW w:w="84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6E"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D76" w14:textId="77777777" w:rsidTr="00C53854">
        <w:tc>
          <w:tcPr>
            <w:tcW w:w="64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70"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Awareness of employers </w:t>
            </w:r>
          </w:p>
        </w:tc>
        <w:tc>
          <w:tcPr>
            <w:tcW w:w="152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7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Ensuring that employers are aware of the additional costs that could arise from the exercise of their discretions or lack of policy.</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72"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73" w14:textId="1B8049ED" w:rsidR="00C53854" w:rsidRPr="00E35F96" w:rsidRDefault="003F28BC" w:rsidP="00C53854">
            <w:pPr>
              <w:rPr>
                <w:rFonts w:ascii="Arial" w:hAnsi="Arial" w:cs="Arial"/>
                <w:color w:val="000000"/>
                <w:sz w:val="16"/>
                <w:szCs w:val="16"/>
              </w:rPr>
            </w:pPr>
            <w:r>
              <w:rPr>
                <w:rFonts w:ascii="Arial" w:hAnsi="Arial" w:cs="Arial"/>
                <w:color w:val="000000"/>
                <w:sz w:val="16"/>
                <w:szCs w:val="16"/>
              </w:rPr>
              <w:t>Philip Gregory</w:t>
            </w:r>
          </w:p>
        </w:tc>
        <w:tc>
          <w:tcPr>
            <w:tcW w:w="3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74" w14:textId="23A0B89B"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3F28BC">
              <w:rPr>
                <w:rFonts w:ascii="Arial" w:hAnsi="Arial" w:cs="Arial"/>
                <w:color w:val="000000"/>
                <w:sz w:val="16"/>
                <w:szCs w:val="16"/>
              </w:rPr>
              <w:t>21</w:t>
            </w:r>
          </w:p>
        </w:tc>
        <w:tc>
          <w:tcPr>
            <w:tcW w:w="84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7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D77" w14:textId="77777777" w:rsidR="00DF6F04" w:rsidRPr="00E35F96" w:rsidRDefault="00DF6F04" w:rsidP="00E03107">
      <w:pPr>
        <w:rPr>
          <w:rFonts w:ascii="Arial" w:hAnsi="Arial" w:cs="Arial"/>
        </w:rPr>
      </w:pPr>
    </w:p>
    <w:tbl>
      <w:tblPr>
        <w:tblW w:w="5333" w:type="pct"/>
        <w:tblInd w:w="92" w:type="dxa"/>
        <w:tblLayout w:type="fixed"/>
        <w:tblCellMar>
          <w:top w:w="30" w:type="dxa"/>
          <w:left w:w="30" w:type="dxa"/>
          <w:bottom w:w="30" w:type="dxa"/>
          <w:right w:w="30" w:type="dxa"/>
        </w:tblCellMar>
        <w:tblLook w:val="04A0" w:firstRow="1" w:lastRow="0" w:firstColumn="1" w:lastColumn="0" w:noHBand="0" w:noVBand="1"/>
      </w:tblPr>
      <w:tblGrid>
        <w:gridCol w:w="719"/>
        <w:gridCol w:w="761"/>
        <w:gridCol w:w="3492"/>
        <w:gridCol w:w="1052"/>
        <w:gridCol w:w="1391"/>
        <w:gridCol w:w="835"/>
        <w:gridCol w:w="1716"/>
      </w:tblGrid>
      <w:tr w:rsidR="00DF6F04" w:rsidRPr="00227E88" w14:paraId="6D163D7D" w14:textId="77777777" w:rsidTr="00C53854">
        <w:tc>
          <w:tcPr>
            <w:tcW w:w="742"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7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13 Risk Title </w:t>
            </w:r>
          </w:p>
        </w:tc>
        <w:tc>
          <w:tcPr>
            <w:tcW w:w="175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7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528"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7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698"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7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281"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7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D83" w14:textId="77777777" w:rsidTr="00C53854">
        <w:tc>
          <w:tcPr>
            <w:tcW w:w="74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7E"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Regulatory Risks  </w:t>
            </w:r>
          </w:p>
        </w:tc>
        <w:tc>
          <w:tcPr>
            <w:tcW w:w="175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7F"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Regulatory Risks encompass both compliance with existing legislation and regulatory changes – this particularly affects LGPS 2014 changes, pension auto-enrolment and </w:t>
            </w:r>
            <w:smartTag w:uri="urn:schemas-microsoft-com:office:smarttags" w:element="place">
              <w:smartTag w:uri="urn:schemas-microsoft-com:office:smarttags" w:element="City">
                <w:r w:rsidRPr="00E35F96">
                  <w:rPr>
                    <w:rFonts w:ascii="Arial" w:hAnsi="Arial" w:cs="Arial"/>
                    <w:color w:val="000000"/>
                    <w:sz w:val="16"/>
                    <w:szCs w:val="16"/>
                  </w:rPr>
                  <w:t>Jackson</w:t>
                </w:r>
              </w:smartTag>
            </w:smartTag>
            <w:r w:rsidRPr="00E35F96">
              <w:rPr>
                <w:rFonts w:ascii="Arial" w:hAnsi="Arial" w:cs="Arial"/>
                <w:color w:val="000000"/>
                <w:sz w:val="16"/>
                <w:szCs w:val="16"/>
              </w:rPr>
              <w:t xml:space="preserve"> reforms for insurance</w:t>
            </w:r>
          </w:p>
        </w:tc>
        <w:tc>
          <w:tcPr>
            <w:tcW w:w="52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80"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69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81" w14:textId="77777777" w:rsidR="00DF6F04" w:rsidRPr="00E35F96" w:rsidRDefault="00C53854"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A8" wp14:editId="321426BA">
                  <wp:extent cx="733425" cy="624840"/>
                  <wp:effectExtent l="0" t="0" r="9525" b="381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733425" cy="624840"/>
                          </a:xfrm>
                          <a:prstGeom prst="rect">
                            <a:avLst/>
                          </a:prstGeom>
                          <a:noFill/>
                          <a:ln>
                            <a:noFill/>
                          </a:ln>
                        </pic:spPr>
                      </pic:pic>
                    </a:graphicData>
                  </a:graphic>
                </wp:inline>
              </w:drawing>
            </w:r>
          </w:p>
        </w:tc>
        <w:tc>
          <w:tcPr>
            <w:tcW w:w="1281"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82" w14:textId="77777777" w:rsidR="00DF6F04" w:rsidRPr="00E35F96" w:rsidRDefault="00C53854" w:rsidP="00E03107">
            <w:pPr>
              <w:rPr>
                <w:rFonts w:ascii="Arial" w:hAnsi="Arial" w:cs="Arial"/>
                <w:color w:val="000000"/>
                <w:sz w:val="16"/>
                <w:szCs w:val="16"/>
              </w:rPr>
            </w:pPr>
            <w:r w:rsidRPr="00E35F96">
              <w:rPr>
                <w:rFonts w:ascii="Arial" w:hAnsi="Arial" w:cs="Arial"/>
                <w:color w:val="000000"/>
                <w:sz w:val="16"/>
                <w:szCs w:val="16"/>
              </w:rPr>
              <w:t xml:space="preserve">Reviewed August 2018 </w:t>
            </w:r>
            <w:r w:rsidR="00DF6F04" w:rsidRPr="00E35F96">
              <w:rPr>
                <w:rFonts w:ascii="Arial" w:hAnsi="Arial" w:cs="Arial"/>
                <w:color w:val="000000"/>
                <w:sz w:val="16"/>
                <w:szCs w:val="16"/>
              </w:rPr>
              <w:t xml:space="preserve">- </w:t>
            </w:r>
            <w:r w:rsidRPr="00E35F96">
              <w:rPr>
                <w:rFonts w:ascii="Arial" w:hAnsi="Arial" w:cs="Arial"/>
                <w:color w:val="000000"/>
                <w:sz w:val="16"/>
                <w:szCs w:val="16"/>
              </w:rPr>
              <w:t>The Investment Regulations 2016 removed some of the existing prescriptive means of securing a diversified investment strategy and placed the onus on authorities to determine the balance of their investments and take account of risk. The Secretary of State has the power to intervene to ensure the more flexible legislation is used and the guidance on pooling is adhered to.</w:t>
            </w:r>
          </w:p>
        </w:tc>
      </w:tr>
      <w:tr w:rsidR="00DF6F04" w:rsidRPr="00227E88" w14:paraId="6D163D8B" w14:textId="77777777" w:rsidTr="00C53854">
        <w:tc>
          <w:tcPr>
            <w:tcW w:w="360"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84"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8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8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75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8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528"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87"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98"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88"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19"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8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86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8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D92" w14:textId="77777777" w:rsidTr="00C53854">
        <w:tc>
          <w:tcPr>
            <w:tcW w:w="742"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8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75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8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528"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8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698"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8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19"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9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86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9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D99" w14:textId="77777777" w:rsidTr="00C53854">
        <w:tc>
          <w:tcPr>
            <w:tcW w:w="74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9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Regulatory Changes – monitoring developments and responding to changes </w:t>
            </w:r>
          </w:p>
        </w:tc>
        <w:tc>
          <w:tcPr>
            <w:tcW w:w="175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4"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Monitor proposed changes and respond to consultations to influence outcome. Amend systems, processes to ensure compliance, use of specialist advisors to prepare for anticipated changes </w:t>
            </w:r>
          </w:p>
        </w:tc>
        <w:tc>
          <w:tcPr>
            <w:tcW w:w="52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69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6" w14:textId="67D6CBED" w:rsidR="00C53854" w:rsidRPr="00E35F96" w:rsidRDefault="003F28BC" w:rsidP="00C53854">
            <w:pPr>
              <w:rPr>
                <w:rFonts w:ascii="Arial" w:hAnsi="Arial" w:cs="Arial"/>
                <w:color w:val="000000"/>
                <w:sz w:val="16"/>
                <w:szCs w:val="16"/>
              </w:rPr>
            </w:pPr>
            <w:r>
              <w:rPr>
                <w:rFonts w:ascii="Arial" w:hAnsi="Arial" w:cs="Arial"/>
                <w:color w:val="000000"/>
                <w:sz w:val="16"/>
                <w:szCs w:val="16"/>
              </w:rPr>
              <w:t>Philip Gregory</w:t>
            </w:r>
          </w:p>
        </w:tc>
        <w:tc>
          <w:tcPr>
            <w:tcW w:w="41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7" w14:textId="365A3716"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3F28BC">
              <w:rPr>
                <w:rFonts w:ascii="Arial" w:hAnsi="Arial" w:cs="Arial"/>
                <w:color w:val="000000"/>
                <w:sz w:val="16"/>
                <w:szCs w:val="16"/>
              </w:rPr>
              <w:t>21</w:t>
            </w:r>
          </w:p>
        </w:tc>
        <w:tc>
          <w:tcPr>
            <w:tcW w:w="86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8"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DA0" w14:textId="77777777" w:rsidTr="00C53854">
        <w:tc>
          <w:tcPr>
            <w:tcW w:w="74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9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Compliance with regulation policies</w:t>
            </w:r>
          </w:p>
        </w:tc>
        <w:tc>
          <w:tcPr>
            <w:tcW w:w="175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B"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Ensure processes and policies in place to meet regulatory compliance </w:t>
            </w:r>
          </w:p>
        </w:tc>
        <w:tc>
          <w:tcPr>
            <w:tcW w:w="52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C"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69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D" w14:textId="3E0027BA" w:rsidR="00C53854" w:rsidRPr="00E35F96" w:rsidRDefault="003F28BC" w:rsidP="00C53854">
            <w:pPr>
              <w:rPr>
                <w:rFonts w:ascii="Arial" w:hAnsi="Arial" w:cs="Arial"/>
                <w:color w:val="000000"/>
                <w:sz w:val="16"/>
                <w:szCs w:val="16"/>
              </w:rPr>
            </w:pPr>
            <w:r>
              <w:rPr>
                <w:rFonts w:ascii="Arial" w:hAnsi="Arial" w:cs="Arial"/>
                <w:color w:val="000000"/>
                <w:sz w:val="16"/>
                <w:szCs w:val="16"/>
              </w:rPr>
              <w:t>Philip Gregory</w:t>
            </w:r>
          </w:p>
        </w:tc>
        <w:tc>
          <w:tcPr>
            <w:tcW w:w="41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E" w14:textId="2700D128"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3F28BC">
              <w:rPr>
                <w:rFonts w:ascii="Arial" w:hAnsi="Arial" w:cs="Arial"/>
                <w:color w:val="000000"/>
                <w:sz w:val="16"/>
                <w:szCs w:val="16"/>
              </w:rPr>
              <w:t>21</w:t>
            </w:r>
          </w:p>
        </w:tc>
        <w:tc>
          <w:tcPr>
            <w:tcW w:w="86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9F"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DA7" w14:textId="77777777" w:rsidTr="00C53854">
        <w:tc>
          <w:tcPr>
            <w:tcW w:w="742"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A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Compliance with regulation knowledge and skills</w:t>
            </w:r>
          </w:p>
        </w:tc>
        <w:tc>
          <w:tcPr>
            <w:tcW w:w="175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A2"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Ensure adequate training and specialist knowledge and skills for both staff and Members charged with governance</w:t>
            </w:r>
          </w:p>
        </w:tc>
        <w:tc>
          <w:tcPr>
            <w:tcW w:w="52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A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69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A4" w14:textId="6564A30D" w:rsidR="00C53854" w:rsidRPr="00E35F96" w:rsidRDefault="003F28BC" w:rsidP="00C53854">
            <w:pPr>
              <w:rPr>
                <w:rFonts w:ascii="Arial" w:hAnsi="Arial" w:cs="Arial"/>
                <w:color w:val="000000"/>
                <w:sz w:val="16"/>
                <w:szCs w:val="16"/>
              </w:rPr>
            </w:pPr>
            <w:r>
              <w:rPr>
                <w:rFonts w:ascii="Arial" w:hAnsi="Arial" w:cs="Arial"/>
                <w:color w:val="000000"/>
                <w:sz w:val="16"/>
                <w:szCs w:val="16"/>
              </w:rPr>
              <w:t>Philip Gregory</w:t>
            </w:r>
          </w:p>
        </w:tc>
        <w:tc>
          <w:tcPr>
            <w:tcW w:w="41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A5" w14:textId="60D01A6A"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3F28BC">
              <w:rPr>
                <w:rFonts w:ascii="Arial" w:hAnsi="Arial" w:cs="Arial"/>
                <w:color w:val="000000"/>
                <w:sz w:val="16"/>
                <w:szCs w:val="16"/>
              </w:rPr>
              <w:t>21</w:t>
            </w:r>
          </w:p>
        </w:tc>
        <w:tc>
          <w:tcPr>
            <w:tcW w:w="86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A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DA8" w14:textId="77777777" w:rsidR="00DF6F04" w:rsidRPr="00E35F96" w:rsidRDefault="00DF6F04" w:rsidP="00E03107">
      <w:pPr>
        <w:rPr>
          <w:rFonts w:ascii="Arial" w:hAnsi="Arial" w:cs="Arial"/>
        </w:rPr>
      </w:pPr>
    </w:p>
    <w:p w14:paraId="6D163DA9"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841"/>
        <w:gridCol w:w="939"/>
        <w:gridCol w:w="2679"/>
        <w:gridCol w:w="1325"/>
        <w:gridCol w:w="1961"/>
        <w:gridCol w:w="660"/>
        <w:gridCol w:w="1561"/>
      </w:tblGrid>
      <w:tr w:rsidR="00DF6F04" w:rsidRPr="00227E88" w14:paraId="6D163DAF" w14:textId="77777777" w:rsidTr="00C53854">
        <w:tc>
          <w:tcPr>
            <w:tcW w:w="893"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A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14 Risk Title </w:t>
            </w:r>
          </w:p>
        </w:tc>
        <w:tc>
          <w:tcPr>
            <w:tcW w:w="134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A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A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A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114"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A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DB5" w14:textId="77777777" w:rsidTr="00C53854">
        <w:tc>
          <w:tcPr>
            <w:tcW w:w="893"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B0"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Admission/Scheduled Body failures or deficits on termination </w:t>
            </w:r>
          </w:p>
        </w:tc>
        <w:tc>
          <w:tcPr>
            <w:tcW w:w="134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B1"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Risk employer goes into default, deficit on termination, change of status, financial risk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B2"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B3" w14:textId="77777777" w:rsidR="00DF6F04" w:rsidRPr="00E35F96" w:rsidRDefault="00C53854"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AA" wp14:editId="4A1E8191">
                  <wp:extent cx="1092835" cy="936625"/>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114"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B4"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Updated </w:t>
            </w:r>
            <w:r w:rsidR="00C53854" w:rsidRPr="00E35F96">
              <w:rPr>
                <w:rFonts w:ascii="Arial" w:hAnsi="Arial" w:cs="Arial"/>
                <w:color w:val="000000"/>
                <w:sz w:val="16"/>
                <w:szCs w:val="16"/>
              </w:rPr>
              <w:t>August 2018</w:t>
            </w:r>
            <w:r w:rsidRPr="00E35F96">
              <w:rPr>
                <w:rFonts w:ascii="Arial" w:hAnsi="Arial" w:cs="Arial"/>
                <w:color w:val="000000"/>
                <w:sz w:val="16"/>
                <w:szCs w:val="16"/>
              </w:rPr>
              <w:t xml:space="preserve"> - ongoing</w:t>
            </w:r>
          </w:p>
        </w:tc>
      </w:tr>
      <w:tr w:rsidR="00DF6F04" w:rsidRPr="00227E88" w14:paraId="6D163DBD"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B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7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B7"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34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B8"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B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B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3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BB"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B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DC4" w14:textId="77777777" w:rsidTr="00C53854">
        <w:tc>
          <w:tcPr>
            <w:tcW w:w="893"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B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34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B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C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C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33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C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C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DCB" w14:textId="77777777" w:rsidTr="00C53854">
        <w:tc>
          <w:tcPr>
            <w:tcW w:w="893"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C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Admission/Scheduled Body failures or deficits on termination </w:t>
            </w:r>
          </w:p>
        </w:tc>
        <w:tc>
          <w:tcPr>
            <w:tcW w:w="134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C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Controls – valuation and </w:t>
            </w:r>
            <w:proofErr w:type="spellStart"/>
            <w:r w:rsidRPr="00E35F96">
              <w:rPr>
                <w:rFonts w:ascii="Arial" w:hAnsi="Arial" w:cs="Arial"/>
                <w:color w:val="000000"/>
                <w:sz w:val="16"/>
                <w:szCs w:val="16"/>
              </w:rPr>
              <w:t>Intervaluation</w:t>
            </w:r>
            <w:proofErr w:type="spellEnd"/>
            <w:r w:rsidRPr="00E35F96">
              <w:rPr>
                <w:rFonts w:ascii="Arial" w:hAnsi="Arial" w:cs="Arial"/>
                <w:color w:val="000000"/>
                <w:sz w:val="16"/>
                <w:szCs w:val="16"/>
              </w:rPr>
              <w:t xml:space="preserve"> monitoring, monitoring of contributions, employer covenant check, putting bonds/guarantees in place for admission bodies. Ensure funding levels remain high for individual employers.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C7"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C8" w14:textId="2A92358B" w:rsidR="00C53854" w:rsidRPr="00E35F96" w:rsidRDefault="00C54B10" w:rsidP="00C53854">
            <w:pPr>
              <w:rPr>
                <w:rFonts w:ascii="Arial" w:hAnsi="Arial" w:cs="Arial"/>
                <w:color w:val="000000"/>
                <w:sz w:val="16"/>
                <w:szCs w:val="16"/>
              </w:rPr>
            </w:pPr>
            <w:r>
              <w:rPr>
                <w:rFonts w:ascii="Arial" w:hAnsi="Arial" w:cs="Arial"/>
                <w:color w:val="000000"/>
                <w:sz w:val="16"/>
                <w:szCs w:val="16"/>
              </w:rPr>
              <w:t>Philip Gregory</w:t>
            </w:r>
          </w:p>
        </w:tc>
        <w:tc>
          <w:tcPr>
            <w:tcW w:w="3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C9" w14:textId="461CD19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C54B10">
              <w:rPr>
                <w:rFonts w:ascii="Arial" w:hAnsi="Arial" w:cs="Arial"/>
                <w:color w:val="000000"/>
                <w:sz w:val="16"/>
                <w:szCs w:val="16"/>
              </w:rPr>
              <w:t>21</w:t>
            </w:r>
          </w:p>
        </w:tc>
        <w:tc>
          <w:tcPr>
            <w:tcW w:w="7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C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DCC"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503"/>
        <w:gridCol w:w="815"/>
        <w:gridCol w:w="2952"/>
        <w:gridCol w:w="1325"/>
        <w:gridCol w:w="1961"/>
        <w:gridCol w:w="871"/>
        <w:gridCol w:w="1539"/>
      </w:tblGrid>
      <w:tr w:rsidR="00DF6F04" w:rsidRPr="00227E88" w14:paraId="6D163DD2" w14:textId="77777777" w:rsidTr="00C53854">
        <w:tc>
          <w:tcPr>
            <w:tcW w:w="661"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CD" w14:textId="77777777" w:rsidR="00DF6F04" w:rsidRPr="00E35F96" w:rsidRDefault="00B33EAD" w:rsidP="00E03107">
            <w:pPr>
              <w:rPr>
                <w:rFonts w:ascii="Arial" w:hAnsi="Arial" w:cs="Arial"/>
                <w:b/>
                <w:bCs/>
                <w:color w:val="000000"/>
                <w:sz w:val="16"/>
                <w:szCs w:val="16"/>
              </w:rPr>
            </w:pPr>
            <w:r w:rsidRPr="00E35F96">
              <w:rPr>
                <w:rFonts w:ascii="Arial" w:hAnsi="Arial" w:cs="Arial"/>
                <w:b/>
                <w:bCs/>
                <w:color w:val="000000"/>
                <w:sz w:val="16"/>
                <w:szCs w:val="16"/>
              </w:rPr>
              <w:t>15</w:t>
            </w:r>
            <w:r w:rsidR="00DF6F04" w:rsidRPr="00E35F96">
              <w:rPr>
                <w:rFonts w:ascii="Arial" w:hAnsi="Arial" w:cs="Arial"/>
                <w:b/>
                <w:bCs/>
                <w:color w:val="000000"/>
                <w:sz w:val="16"/>
                <w:szCs w:val="16"/>
              </w:rPr>
              <w:t xml:space="preserve"> Risk Title </w:t>
            </w:r>
          </w:p>
        </w:tc>
        <w:tc>
          <w:tcPr>
            <w:tcW w:w="148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C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C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D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210"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D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DD8" w14:textId="77777777" w:rsidTr="00C53854">
        <w:tc>
          <w:tcPr>
            <w:tcW w:w="661"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D3"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Pension Administration Risk </w:t>
            </w:r>
          </w:p>
        </w:tc>
        <w:tc>
          <w:tcPr>
            <w:tcW w:w="148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D4"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Risks arising from administration of </w:t>
            </w:r>
            <w:smartTag w:uri="urn:schemas-microsoft-com:office:smarttags" w:element="PersonName">
              <w:r w:rsidRPr="00E35F96">
                <w:rPr>
                  <w:rFonts w:ascii="Arial" w:hAnsi="Arial" w:cs="Arial"/>
                  <w:color w:val="000000"/>
                  <w:sz w:val="16"/>
                  <w:szCs w:val="16"/>
                </w:rPr>
                <w:t xml:space="preserve">pensions </w:t>
              </w:r>
            </w:smartTag>
            <w:r w:rsidRPr="00E35F96">
              <w:rPr>
                <w:rFonts w:ascii="Arial" w:hAnsi="Arial" w:cs="Arial"/>
                <w:color w:val="000000"/>
                <w:sz w:val="16"/>
                <w:szCs w:val="16"/>
              </w:rPr>
              <w:t>by employers, the administering authority and the pension administrator. Poor administration could lead to incorrect pension payments, financial and reputational damage</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D5"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D6"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AC" wp14:editId="0F5D62E8">
                  <wp:extent cx="1092835" cy="93662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210"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D7"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Updated </w:t>
            </w:r>
            <w:r w:rsidR="00C53854" w:rsidRPr="00E35F96">
              <w:rPr>
                <w:rFonts w:ascii="Arial" w:hAnsi="Arial" w:cs="Arial"/>
                <w:color w:val="000000"/>
                <w:sz w:val="16"/>
                <w:szCs w:val="16"/>
              </w:rPr>
              <w:t>August 2018</w:t>
            </w:r>
            <w:r w:rsidRPr="00E35F96">
              <w:rPr>
                <w:rFonts w:ascii="Arial" w:hAnsi="Arial" w:cs="Arial"/>
                <w:color w:val="000000"/>
                <w:sz w:val="16"/>
                <w:szCs w:val="16"/>
              </w:rPr>
              <w:t xml:space="preserve"> - ongoing</w:t>
            </w:r>
          </w:p>
        </w:tc>
      </w:tr>
      <w:tr w:rsidR="00DF6F04" w:rsidRPr="00227E88" w14:paraId="6D163DE1"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D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09"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D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48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DB" w14:textId="77777777" w:rsidR="00DF6F04" w:rsidRPr="00E35F96" w:rsidRDefault="00DF6F04" w:rsidP="00E03107">
            <w:pPr>
              <w:jc w:val="right"/>
              <w:rPr>
                <w:rFonts w:ascii="Arial" w:hAnsi="Arial" w:cs="Arial"/>
                <w:color w:val="FFFFFF"/>
                <w:sz w:val="16"/>
                <w:szCs w:val="16"/>
              </w:rPr>
            </w:pPr>
          </w:p>
          <w:p w14:paraId="6D163DD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DD"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DE"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37"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DF"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7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DE0"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DE8" w14:textId="77777777" w:rsidTr="00C53854">
        <w:tc>
          <w:tcPr>
            <w:tcW w:w="661"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E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48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E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E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E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37"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E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7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E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DEF" w14:textId="77777777" w:rsidTr="00C53854">
        <w:tc>
          <w:tcPr>
            <w:tcW w:w="661"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E9"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Clear policy and procedures for the administration of </w:t>
            </w:r>
            <w:smartTag w:uri="urn:schemas-microsoft-com:office:smarttags" w:element="PersonName">
              <w:r w:rsidRPr="00E35F96">
                <w:rPr>
                  <w:rFonts w:ascii="Arial" w:hAnsi="Arial" w:cs="Arial"/>
                  <w:color w:val="000000"/>
                  <w:sz w:val="16"/>
                  <w:szCs w:val="16"/>
                </w:rPr>
                <w:t xml:space="preserve">pensions </w:t>
              </w:r>
            </w:smartTag>
          </w:p>
        </w:tc>
        <w:tc>
          <w:tcPr>
            <w:tcW w:w="148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E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Ensuring there are detailed policies and procedures for all parties involved in administering the pension scheme – Pension Administration Strategy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EB"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EC" w14:textId="5AA15B41" w:rsidR="00C53854" w:rsidRPr="00E35F96" w:rsidRDefault="00703E56" w:rsidP="00C53854">
            <w:pPr>
              <w:rPr>
                <w:rFonts w:ascii="Arial" w:hAnsi="Arial" w:cs="Arial"/>
                <w:color w:val="000000"/>
                <w:sz w:val="16"/>
                <w:szCs w:val="16"/>
              </w:rPr>
            </w:pPr>
            <w:r>
              <w:rPr>
                <w:rFonts w:ascii="Arial" w:hAnsi="Arial" w:cs="Arial"/>
                <w:color w:val="000000"/>
                <w:sz w:val="16"/>
                <w:szCs w:val="16"/>
              </w:rPr>
              <w:t>Philip Gregory</w:t>
            </w:r>
          </w:p>
        </w:tc>
        <w:tc>
          <w:tcPr>
            <w:tcW w:w="437"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ED" w14:textId="7B36BECD"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703E56">
              <w:rPr>
                <w:rFonts w:ascii="Arial" w:hAnsi="Arial" w:cs="Arial"/>
                <w:color w:val="000000"/>
                <w:sz w:val="16"/>
                <w:szCs w:val="16"/>
              </w:rPr>
              <w:t>21</w:t>
            </w:r>
          </w:p>
        </w:tc>
        <w:tc>
          <w:tcPr>
            <w:tcW w:w="77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EE"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DF6" w14:textId="77777777" w:rsidTr="00C53854">
        <w:tc>
          <w:tcPr>
            <w:tcW w:w="661"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F0"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Monitoring of Performance</w:t>
            </w:r>
          </w:p>
        </w:tc>
        <w:tc>
          <w:tcPr>
            <w:tcW w:w="148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F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Benchmarking of performance against other authorities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F2"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 Justine Spring</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F3" w14:textId="7E42B7C7" w:rsidR="00C53854" w:rsidRPr="00E35F96" w:rsidRDefault="00703E56" w:rsidP="00C53854">
            <w:pPr>
              <w:rPr>
                <w:rFonts w:ascii="Arial" w:hAnsi="Arial" w:cs="Arial"/>
                <w:color w:val="000000"/>
                <w:sz w:val="16"/>
                <w:szCs w:val="16"/>
              </w:rPr>
            </w:pPr>
            <w:r>
              <w:rPr>
                <w:rFonts w:ascii="Arial" w:hAnsi="Arial" w:cs="Arial"/>
                <w:color w:val="000000"/>
                <w:sz w:val="16"/>
                <w:szCs w:val="16"/>
              </w:rPr>
              <w:t>Philip Gregory</w:t>
            </w:r>
          </w:p>
        </w:tc>
        <w:tc>
          <w:tcPr>
            <w:tcW w:w="437"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F4" w14:textId="6091507E"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703E56">
              <w:rPr>
                <w:rFonts w:ascii="Arial" w:hAnsi="Arial" w:cs="Arial"/>
                <w:color w:val="000000"/>
                <w:sz w:val="16"/>
                <w:szCs w:val="16"/>
              </w:rPr>
              <w:t>21</w:t>
            </w:r>
          </w:p>
        </w:tc>
        <w:tc>
          <w:tcPr>
            <w:tcW w:w="77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F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DF7"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537"/>
        <w:gridCol w:w="779"/>
        <w:gridCol w:w="2946"/>
        <w:gridCol w:w="1325"/>
        <w:gridCol w:w="1961"/>
        <w:gridCol w:w="881"/>
        <w:gridCol w:w="1537"/>
      </w:tblGrid>
      <w:tr w:rsidR="00DF6F04" w:rsidRPr="00227E88" w14:paraId="6D163DFD" w14:textId="77777777" w:rsidTr="00C53854">
        <w:tc>
          <w:tcPr>
            <w:tcW w:w="660"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DF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16 Risk Title </w:t>
            </w:r>
          </w:p>
        </w:tc>
        <w:tc>
          <w:tcPr>
            <w:tcW w:w="1478"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F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F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F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214"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DF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E03" w14:textId="77777777" w:rsidTr="00C53854">
        <w:tc>
          <w:tcPr>
            <w:tcW w:w="66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DFE"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Pensions- Lack of adequate professional advice on strategies, projects and decisions  </w:t>
            </w:r>
          </w:p>
        </w:tc>
        <w:tc>
          <w:tcPr>
            <w:tcW w:w="147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DFF"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Decisions made in respect of Pensions can have a major financial impact on the Council and Pension Fund. Lack of adequate or inappropriate professional advice on strategies, projects and decisions could give rise to financial and reputational risks.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00"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01"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AE" wp14:editId="0CA81FD9">
                  <wp:extent cx="1092835" cy="9366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214"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02"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Updated </w:t>
            </w:r>
            <w:r w:rsidR="00C53854" w:rsidRPr="00E35F96">
              <w:rPr>
                <w:rFonts w:ascii="Arial" w:hAnsi="Arial" w:cs="Arial"/>
                <w:color w:val="000000"/>
                <w:sz w:val="16"/>
                <w:szCs w:val="16"/>
              </w:rPr>
              <w:t>August 2018</w:t>
            </w:r>
            <w:r w:rsidRPr="00E35F96">
              <w:rPr>
                <w:rFonts w:ascii="Arial" w:hAnsi="Arial" w:cs="Arial"/>
                <w:color w:val="000000"/>
                <w:sz w:val="16"/>
                <w:szCs w:val="16"/>
              </w:rPr>
              <w:t xml:space="preserve"> - ongoing</w:t>
            </w:r>
          </w:p>
        </w:tc>
      </w:tr>
      <w:tr w:rsidR="00DF6F04" w:rsidRPr="00227E88" w14:paraId="6D163E0B"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04"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9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0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478"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0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07"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08"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4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0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7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0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E12" w14:textId="77777777" w:rsidTr="00C53854">
        <w:trPr>
          <w:trHeight w:val="356"/>
        </w:trPr>
        <w:tc>
          <w:tcPr>
            <w:tcW w:w="660"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E0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478"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0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0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0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4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1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7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1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E19" w14:textId="77777777" w:rsidTr="00C53854">
        <w:tc>
          <w:tcPr>
            <w:tcW w:w="66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1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Monitoring of advice</w:t>
            </w:r>
          </w:p>
        </w:tc>
        <w:tc>
          <w:tcPr>
            <w:tcW w:w="147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4"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Controls – monitoring of advice received, risk assessment for procurements, Committee review of recommendations. Also ensure there is a good level of ‘in-house expertise</w:t>
            </w:r>
            <w:smartTag w:uri="urn:schemas-microsoft-com:office:smarttags" w:element="PersonName">
              <w:r w:rsidRPr="00E35F96">
                <w:rPr>
                  <w:rFonts w:ascii="Arial" w:hAnsi="Arial" w:cs="Arial"/>
                  <w:color w:val="000000"/>
                  <w:sz w:val="16"/>
                  <w:szCs w:val="16"/>
                </w:rPr>
                <w:t>'</w:t>
              </w:r>
            </w:smartTag>
            <w:r w:rsidRPr="00E35F96">
              <w:rPr>
                <w:rFonts w:ascii="Arial" w:hAnsi="Arial" w:cs="Arial"/>
                <w:color w:val="000000"/>
                <w:sz w:val="16"/>
                <w:szCs w:val="16"/>
              </w:rPr>
              <w:t xml:space="preserve">.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6" w14:textId="41C9CDB6" w:rsidR="00C53854" w:rsidRPr="00E35F96" w:rsidRDefault="00703E56" w:rsidP="00C53854">
            <w:pPr>
              <w:rPr>
                <w:rFonts w:ascii="Arial" w:hAnsi="Arial" w:cs="Arial"/>
                <w:color w:val="000000"/>
                <w:sz w:val="16"/>
                <w:szCs w:val="16"/>
              </w:rPr>
            </w:pPr>
            <w:r>
              <w:rPr>
                <w:rFonts w:ascii="Arial" w:hAnsi="Arial" w:cs="Arial"/>
                <w:color w:val="000000"/>
                <w:sz w:val="16"/>
                <w:szCs w:val="16"/>
              </w:rPr>
              <w:t>Philip Gregory</w:t>
            </w:r>
          </w:p>
        </w:tc>
        <w:tc>
          <w:tcPr>
            <w:tcW w:w="44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7" w14:textId="75E59415"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703E56">
              <w:rPr>
                <w:rFonts w:ascii="Arial" w:hAnsi="Arial" w:cs="Arial"/>
                <w:color w:val="000000"/>
                <w:sz w:val="16"/>
                <w:szCs w:val="16"/>
              </w:rPr>
              <w:t>21</w:t>
            </w:r>
          </w:p>
        </w:tc>
        <w:tc>
          <w:tcPr>
            <w:tcW w:w="77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8"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20" w14:textId="77777777" w:rsidTr="00C53854">
        <w:tc>
          <w:tcPr>
            <w:tcW w:w="66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1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Market intelligence gathering</w:t>
            </w:r>
          </w:p>
        </w:tc>
        <w:tc>
          <w:tcPr>
            <w:tcW w:w="1478"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B"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Monitoring wider developments and ensuring that officers and Members are kept informed. Wider networking and collaboration with other authorities where appropriate to ensure best practice.</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C"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D" w14:textId="036EE916" w:rsidR="00C53854" w:rsidRPr="00E35F96" w:rsidRDefault="00703E56" w:rsidP="00C53854">
            <w:pPr>
              <w:rPr>
                <w:rFonts w:ascii="Arial" w:hAnsi="Arial" w:cs="Arial"/>
                <w:color w:val="000000"/>
                <w:sz w:val="16"/>
                <w:szCs w:val="16"/>
              </w:rPr>
            </w:pPr>
            <w:r>
              <w:rPr>
                <w:rFonts w:ascii="Arial" w:hAnsi="Arial" w:cs="Arial"/>
                <w:color w:val="000000"/>
                <w:sz w:val="16"/>
                <w:szCs w:val="16"/>
              </w:rPr>
              <w:t>Philip Gregory</w:t>
            </w:r>
          </w:p>
        </w:tc>
        <w:tc>
          <w:tcPr>
            <w:tcW w:w="44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E" w14:textId="50F0A36B"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77E7C">
              <w:rPr>
                <w:rFonts w:ascii="Arial" w:hAnsi="Arial" w:cs="Arial"/>
                <w:color w:val="000000"/>
                <w:sz w:val="16"/>
                <w:szCs w:val="16"/>
              </w:rPr>
              <w:t>21</w:t>
            </w:r>
          </w:p>
        </w:tc>
        <w:tc>
          <w:tcPr>
            <w:tcW w:w="77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1F"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E21"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629"/>
        <w:gridCol w:w="584"/>
        <w:gridCol w:w="3209"/>
        <w:gridCol w:w="1325"/>
        <w:gridCol w:w="1961"/>
        <w:gridCol w:w="801"/>
        <w:gridCol w:w="1457"/>
      </w:tblGrid>
      <w:tr w:rsidR="00DF6F04" w:rsidRPr="00227E88" w14:paraId="6D163E27" w14:textId="77777777" w:rsidTr="00C53854">
        <w:tc>
          <w:tcPr>
            <w:tcW w:w="608"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E2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17 Risk Title </w:t>
            </w:r>
          </w:p>
        </w:tc>
        <w:tc>
          <w:tcPr>
            <w:tcW w:w="1610"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2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2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2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133"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2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E2D" w14:textId="77777777" w:rsidTr="00C53854">
        <w:tc>
          <w:tcPr>
            <w:tcW w:w="60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28"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Failure to manage costs </w:t>
            </w:r>
          </w:p>
        </w:tc>
        <w:tc>
          <w:tcPr>
            <w:tcW w:w="1610"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29"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Failure to manage the costs of running the various services within Treasury and Pensions would give rise to significant additional financial costs for the Council along with reputational risks of poor value for money.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2A"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2B"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B0" wp14:editId="28DA78D6">
                  <wp:extent cx="1092835" cy="93662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133"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2C"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Reviewed Jan 1</w:t>
            </w:r>
            <w:r w:rsidR="00C53854" w:rsidRPr="00E35F96">
              <w:rPr>
                <w:rFonts w:ascii="Arial" w:hAnsi="Arial" w:cs="Arial"/>
                <w:color w:val="000000"/>
                <w:sz w:val="16"/>
                <w:szCs w:val="16"/>
              </w:rPr>
              <w:t>8</w:t>
            </w:r>
            <w:r w:rsidRPr="00E35F96">
              <w:rPr>
                <w:rFonts w:ascii="Arial" w:hAnsi="Arial" w:cs="Arial"/>
                <w:color w:val="000000"/>
                <w:sz w:val="16"/>
                <w:szCs w:val="16"/>
              </w:rPr>
              <w:t xml:space="preserve"> - upgrade due to potential additional costs arising from regulatory changes LGPS 20</w:t>
            </w:r>
            <w:r w:rsidR="00B33EAD" w:rsidRPr="00E35F96">
              <w:rPr>
                <w:rFonts w:ascii="Arial" w:hAnsi="Arial" w:cs="Arial"/>
                <w:color w:val="000000"/>
                <w:sz w:val="16"/>
                <w:szCs w:val="16"/>
              </w:rPr>
              <w:t>16</w:t>
            </w:r>
            <w:r w:rsidRPr="00E35F96">
              <w:rPr>
                <w:rFonts w:ascii="Arial" w:hAnsi="Arial" w:cs="Arial"/>
                <w:color w:val="000000"/>
                <w:sz w:val="16"/>
                <w:szCs w:val="16"/>
              </w:rPr>
              <w:t>, Auto-Enrolment</w:t>
            </w:r>
          </w:p>
        </w:tc>
      </w:tr>
      <w:tr w:rsidR="00DF6F04" w:rsidRPr="00227E88" w14:paraId="6D163E35"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2E"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293"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2F"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610"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30"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31"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32"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0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33"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3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34"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E3C" w14:textId="77777777" w:rsidTr="00C53854">
        <w:tc>
          <w:tcPr>
            <w:tcW w:w="608"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E3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610"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3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3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3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0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3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3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3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E43" w14:textId="77777777" w:rsidTr="00C53854">
        <w:tc>
          <w:tcPr>
            <w:tcW w:w="60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3D"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Budget Monitoring</w:t>
            </w:r>
          </w:p>
        </w:tc>
        <w:tc>
          <w:tcPr>
            <w:tcW w:w="1610"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3E"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Controls budget monitoring, performance fees, monthly budget monitoring, financial intelligence, etc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7F476C72" w14:textId="77777777" w:rsidR="00C53854"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p w14:paraId="6D163E3F" w14:textId="4C611AD9" w:rsidR="0019458D" w:rsidRPr="00E35F96" w:rsidRDefault="0019458D"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0" w14:textId="3ABA2314" w:rsidR="00C53854" w:rsidRPr="00E35F96" w:rsidRDefault="009D6336" w:rsidP="00C53854">
            <w:pPr>
              <w:rPr>
                <w:rFonts w:ascii="Arial" w:hAnsi="Arial" w:cs="Arial"/>
                <w:color w:val="000000"/>
                <w:sz w:val="16"/>
                <w:szCs w:val="16"/>
              </w:rPr>
            </w:pPr>
            <w:r>
              <w:rPr>
                <w:rFonts w:ascii="Arial" w:hAnsi="Arial" w:cs="Arial"/>
                <w:color w:val="000000"/>
                <w:sz w:val="16"/>
                <w:szCs w:val="16"/>
              </w:rPr>
              <w:t>Philip Gregory</w:t>
            </w:r>
          </w:p>
        </w:tc>
        <w:tc>
          <w:tcPr>
            <w:tcW w:w="40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1" w14:textId="11E07CA0"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77E7C">
              <w:rPr>
                <w:rFonts w:ascii="Arial" w:hAnsi="Arial" w:cs="Arial"/>
                <w:color w:val="000000"/>
                <w:sz w:val="16"/>
                <w:szCs w:val="16"/>
              </w:rPr>
              <w:t>21</w:t>
            </w:r>
          </w:p>
        </w:tc>
        <w:tc>
          <w:tcPr>
            <w:tcW w:w="7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2"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4A" w14:textId="77777777" w:rsidTr="00C53854">
        <w:tc>
          <w:tcPr>
            <w:tcW w:w="60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44"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Benchmarking</w:t>
            </w:r>
          </w:p>
        </w:tc>
        <w:tc>
          <w:tcPr>
            <w:tcW w:w="1610"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Benchmarking costs with other authorities to ensure costs for LBBD are not disproportionate</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24241E35" w14:textId="77777777" w:rsidR="00C53854"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p w14:paraId="6D163E46" w14:textId="18A7AF39" w:rsidR="00163C45" w:rsidRPr="00E35F96" w:rsidRDefault="00163C45"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7" w14:textId="6C19CF1A" w:rsidR="00C53854" w:rsidRPr="00E35F96" w:rsidRDefault="00D77E7C" w:rsidP="00C53854">
            <w:pPr>
              <w:rPr>
                <w:rFonts w:ascii="Arial" w:hAnsi="Arial" w:cs="Arial"/>
                <w:color w:val="000000"/>
                <w:sz w:val="16"/>
                <w:szCs w:val="16"/>
              </w:rPr>
            </w:pPr>
            <w:r>
              <w:rPr>
                <w:rFonts w:ascii="Arial" w:hAnsi="Arial" w:cs="Arial"/>
                <w:color w:val="000000"/>
                <w:sz w:val="16"/>
                <w:szCs w:val="16"/>
              </w:rPr>
              <w:t>Philip Gregory</w:t>
            </w:r>
          </w:p>
        </w:tc>
        <w:tc>
          <w:tcPr>
            <w:tcW w:w="40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8" w14:textId="352B1580"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77E7C">
              <w:rPr>
                <w:rFonts w:ascii="Arial" w:hAnsi="Arial" w:cs="Arial"/>
                <w:color w:val="000000"/>
                <w:sz w:val="16"/>
                <w:szCs w:val="16"/>
              </w:rPr>
              <w:t>21</w:t>
            </w:r>
          </w:p>
        </w:tc>
        <w:tc>
          <w:tcPr>
            <w:tcW w:w="7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9"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51" w14:textId="77777777" w:rsidTr="00C53854">
        <w:tc>
          <w:tcPr>
            <w:tcW w:w="60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4B"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Market Testing</w:t>
            </w:r>
          </w:p>
        </w:tc>
        <w:tc>
          <w:tcPr>
            <w:tcW w:w="1610"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C"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Regular market testing of external costs which includes regular procurement exercises, assessing the market place for both </w:t>
            </w:r>
            <w:smartTag w:uri="urn:schemas-microsoft-com:office:smarttags" w:element="PersonName">
              <w:r w:rsidRPr="00E35F96">
                <w:rPr>
                  <w:rFonts w:ascii="Arial" w:hAnsi="Arial" w:cs="Arial"/>
                  <w:color w:val="000000"/>
                  <w:sz w:val="16"/>
                  <w:szCs w:val="16"/>
                </w:rPr>
                <w:t xml:space="preserve">pensions </w:t>
              </w:r>
            </w:smartTag>
            <w:r w:rsidRPr="00E35F96">
              <w:rPr>
                <w:rFonts w:ascii="Arial" w:hAnsi="Arial" w:cs="Arial"/>
                <w:color w:val="000000"/>
                <w:sz w:val="16"/>
                <w:szCs w:val="16"/>
              </w:rPr>
              <w:t>and insurance costs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5344F973" w14:textId="77777777" w:rsidR="00C53854"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p w14:paraId="6D163E4D" w14:textId="18229C01" w:rsidR="00163C45" w:rsidRPr="00E35F96" w:rsidRDefault="00163C45"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E" w14:textId="50E4AF7C" w:rsidR="00C53854" w:rsidRPr="00E35F96" w:rsidRDefault="00D77E7C" w:rsidP="00C53854">
            <w:pPr>
              <w:rPr>
                <w:rFonts w:ascii="Arial" w:hAnsi="Arial" w:cs="Arial"/>
                <w:color w:val="000000"/>
                <w:sz w:val="16"/>
                <w:szCs w:val="16"/>
              </w:rPr>
            </w:pPr>
            <w:r>
              <w:rPr>
                <w:rFonts w:ascii="Arial" w:hAnsi="Arial" w:cs="Arial"/>
                <w:color w:val="000000"/>
                <w:sz w:val="16"/>
                <w:szCs w:val="16"/>
              </w:rPr>
              <w:t>Philip Gregory</w:t>
            </w:r>
          </w:p>
        </w:tc>
        <w:tc>
          <w:tcPr>
            <w:tcW w:w="40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4F" w14:textId="702CF5AC"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77E7C">
              <w:rPr>
                <w:rFonts w:ascii="Arial" w:hAnsi="Arial" w:cs="Arial"/>
                <w:color w:val="000000"/>
                <w:sz w:val="16"/>
                <w:szCs w:val="16"/>
              </w:rPr>
              <w:t>21</w:t>
            </w:r>
          </w:p>
        </w:tc>
        <w:tc>
          <w:tcPr>
            <w:tcW w:w="7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50"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58" w14:textId="77777777" w:rsidTr="00C53854">
        <w:tc>
          <w:tcPr>
            <w:tcW w:w="608"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52"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Frameworks/ Collaborative Working</w:t>
            </w:r>
          </w:p>
        </w:tc>
        <w:tc>
          <w:tcPr>
            <w:tcW w:w="1610"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5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Consider the use of Framework Agreements and other joint working where appropriate to control costs and to work with other authorities to deliver value for money and efficiency savings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54"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55" w14:textId="07D9A838" w:rsidR="00C53854" w:rsidRPr="00E35F96" w:rsidRDefault="00D77E7C" w:rsidP="00C53854">
            <w:pPr>
              <w:rPr>
                <w:rFonts w:ascii="Arial" w:hAnsi="Arial" w:cs="Arial"/>
                <w:color w:val="000000"/>
                <w:sz w:val="16"/>
                <w:szCs w:val="16"/>
              </w:rPr>
            </w:pPr>
            <w:r>
              <w:rPr>
                <w:rFonts w:ascii="Arial" w:hAnsi="Arial" w:cs="Arial"/>
                <w:color w:val="000000"/>
                <w:sz w:val="16"/>
                <w:szCs w:val="16"/>
              </w:rPr>
              <w:t>Philip Gregory</w:t>
            </w:r>
          </w:p>
        </w:tc>
        <w:tc>
          <w:tcPr>
            <w:tcW w:w="40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56" w14:textId="44173300"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77E7C">
              <w:rPr>
                <w:rFonts w:ascii="Arial" w:hAnsi="Arial" w:cs="Arial"/>
                <w:color w:val="000000"/>
                <w:sz w:val="16"/>
                <w:szCs w:val="16"/>
              </w:rPr>
              <w:t>21</w:t>
            </w:r>
          </w:p>
        </w:tc>
        <w:tc>
          <w:tcPr>
            <w:tcW w:w="7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57"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E59"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411"/>
        <w:gridCol w:w="526"/>
        <w:gridCol w:w="3303"/>
        <w:gridCol w:w="1325"/>
        <w:gridCol w:w="1961"/>
        <w:gridCol w:w="927"/>
        <w:gridCol w:w="1513"/>
      </w:tblGrid>
      <w:tr w:rsidR="00DF6F04" w:rsidRPr="00227E88" w14:paraId="6D163E5F" w14:textId="77777777" w:rsidTr="00C53854">
        <w:tc>
          <w:tcPr>
            <w:tcW w:w="470"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E5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18 Risk Title </w:t>
            </w:r>
          </w:p>
        </w:tc>
        <w:tc>
          <w:tcPr>
            <w:tcW w:w="1657"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5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5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5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224"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5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E65" w14:textId="77777777" w:rsidTr="00C53854">
        <w:tc>
          <w:tcPr>
            <w:tcW w:w="47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60"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Pension Funding Risk </w:t>
            </w:r>
          </w:p>
        </w:tc>
        <w:tc>
          <w:tcPr>
            <w:tcW w:w="1657"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61"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The fund is unable to meet its liabilities, due to a mismatch of assets/liabilities. The Funding position as at March </w:t>
            </w:r>
            <w:r w:rsidR="002858BE" w:rsidRPr="00E35F96">
              <w:rPr>
                <w:rFonts w:ascii="Arial" w:hAnsi="Arial" w:cs="Arial"/>
                <w:color w:val="000000"/>
                <w:sz w:val="16"/>
                <w:szCs w:val="16"/>
              </w:rPr>
              <w:t>2017</w:t>
            </w:r>
            <w:r w:rsidRPr="00E35F96">
              <w:rPr>
                <w:rFonts w:ascii="Arial" w:hAnsi="Arial" w:cs="Arial"/>
                <w:color w:val="000000"/>
                <w:sz w:val="16"/>
                <w:szCs w:val="16"/>
              </w:rPr>
              <w:t xml:space="preserve"> showed 7</w:t>
            </w:r>
            <w:r w:rsidR="002858BE" w:rsidRPr="00E35F96">
              <w:rPr>
                <w:rFonts w:ascii="Arial" w:hAnsi="Arial" w:cs="Arial"/>
                <w:color w:val="000000"/>
                <w:sz w:val="16"/>
                <w:szCs w:val="16"/>
              </w:rPr>
              <w:t>8</w:t>
            </w:r>
            <w:r w:rsidRPr="00E35F96">
              <w:rPr>
                <w:rFonts w:ascii="Arial" w:hAnsi="Arial" w:cs="Arial"/>
                <w:color w:val="000000"/>
                <w:sz w:val="16"/>
                <w:szCs w:val="16"/>
              </w:rPr>
              <w:t xml:space="preserve">% funding position. Further deterioration of the funding position from poor asset returns or increasing liabilities could result in the Council and other employers being required to make significant additional employer contributions.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62"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63"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B2" wp14:editId="605A7BA3">
                  <wp:extent cx="1092835" cy="9366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224"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64"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Reviewed Jan 20</w:t>
            </w:r>
            <w:r w:rsidR="00B33EAD" w:rsidRPr="00E35F96">
              <w:rPr>
                <w:rFonts w:ascii="Arial" w:hAnsi="Arial" w:cs="Arial"/>
                <w:color w:val="000000"/>
                <w:sz w:val="16"/>
                <w:szCs w:val="16"/>
              </w:rPr>
              <w:t>1</w:t>
            </w:r>
            <w:r w:rsidR="00C53854" w:rsidRPr="00E35F96">
              <w:rPr>
                <w:rFonts w:ascii="Arial" w:hAnsi="Arial" w:cs="Arial"/>
                <w:color w:val="000000"/>
                <w:sz w:val="16"/>
                <w:szCs w:val="16"/>
              </w:rPr>
              <w:t>8</w:t>
            </w:r>
          </w:p>
        </w:tc>
      </w:tr>
      <w:tr w:rsidR="00DF6F04" w:rsidRPr="00227E88" w14:paraId="6D163E6D"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6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26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67"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657"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68"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6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6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6B"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759"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6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E74" w14:textId="77777777" w:rsidTr="00C53854">
        <w:tc>
          <w:tcPr>
            <w:tcW w:w="470"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E6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657"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6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7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7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7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759"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7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E7B" w14:textId="77777777" w:rsidTr="00C53854">
        <w:tc>
          <w:tcPr>
            <w:tcW w:w="47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7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Medium Term Financial Planning</w:t>
            </w:r>
          </w:p>
        </w:tc>
        <w:tc>
          <w:tcPr>
            <w:tcW w:w="1657"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7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MTFP / Budget reflects any potential changes arising (or predicted to arise) from the actuarial valuations. Rebuilding Pensions reserve to buffer against future valuations variations. The current financial strategy ensures that the base budget anticipates changes to contribution levels.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037579C6" w14:textId="77777777" w:rsidR="00C53854"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p w14:paraId="6D163E77" w14:textId="05293F00" w:rsidR="00695251" w:rsidRPr="00E35F96" w:rsidRDefault="00695251"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78" w14:textId="490C6BDA" w:rsidR="00C53854" w:rsidRPr="00E35F96" w:rsidRDefault="00163C45" w:rsidP="00C53854">
            <w:pPr>
              <w:rPr>
                <w:rFonts w:ascii="Arial" w:hAnsi="Arial" w:cs="Arial"/>
                <w:color w:val="000000"/>
                <w:sz w:val="16"/>
                <w:szCs w:val="16"/>
              </w:rPr>
            </w:pPr>
            <w:r>
              <w:rPr>
                <w:rFonts w:ascii="Arial" w:hAnsi="Arial" w:cs="Arial"/>
                <w:color w:val="000000"/>
                <w:sz w:val="16"/>
                <w:szCs w:val="16"/>
              </w:rPr>
              <w:t>Philip Gregory</w:t>
            </w:r>
          </w:p>
        </w:tc>
        <w:tc>
          <w:tcPr>
            <w:tcW w:w="4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79" w14:textId="7C9276C3"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D3461">
              <w:rPr>
                <w:rFonts w:ascii="Arial" w:hAnsi="Arial" w:cs="Arial"/>
                <w:color w:val="000000"/>
                <w:sz w:val="16"/>
                <w:szCs w:val="16"/>
              </w:rPr>
              <w:t>21</w:t>
            </w:r>
          </w:p>
        </w:tc>
        <w:tc>
          <w:tcPr>
            <w:tcW w:w="75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7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82" w14:textId="77777777" w:rsidTr="00C53854">
        <w:tc>
          <w:tcPr>
            <w:tcW w:w="47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7C"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Pens - Valuation Monitoring</w:t>
            </w:r>
          </w:p>
        </w:tc>
        <w:tc>
          <w:tcPr>
            <w:tcW w:w="1657"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7D"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Triennial Valuation assesses the funding position, </w:t>
            </w:r>
            <w:proofErr w:type="spellStart"/>
            <w:r w:rsidRPr="00E35F96">
              <w:rPr>
                <w:rFonts w:ascii="Arial" w:hAnsi="Arial" w:cs="Arial"/>
                <w:color w:val="000000"/>
                <w:sz w:val="16"/>
                <w:szCs w:val="16"/>
              </w:rPr>
              <w:t>Intervaluation</w:t>
            </w:r>
            <w:proofErr w:type="spellEnd"/>
            <w:r w:rsidRPr="00E35F96">
              <w:rPr>
                <w:rFonts w:ascii="Arial" w:hAnsi="Arial" w:cs="Arial"/>
                <w:color w:val="000000"/>
                <w:sz w:val="16"/>
                <w:szCs w:val="16"/>
              </w:rPr>
              <w:t xml:space="preserve"> monitoring ensures that movements in the Funding position can be assessed and strategies to manage any deterioration are put in place.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41CB2B8F" w14:textId="77777777" w:rsidR="00C53854"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p w14:paraId="6D163E7E" w14:textId="43F2B1C8" w:rsidR="00F7062F" w:rsidRPr="00E35F96" w:rsidRDefault="00F7062F"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7F" w14:textId="391A259B" w:rsidR="00C53854" w:rsidRPr="00E35F96" w:rsidRDefault="00DD3461" w:rsidP="00C53854">
            <w:pPr>
              <w:rPr>
                <w:rFonts w:ascii="Arial" w:hAnsi="Arial" w:cs="Arial"/>
                <w:color w:val="000000"/>
                <w:sz w:val="16"/>
                <w:szCs w:val="16"/>
              </w:rPr>
            </w:pPr>
            <w:r>
              <w:rPr>
                <w:rFonts w:ascii="Arial" w:hAnsi="Arial" w:cs="Arial"/>
                <w:color w:val="000000"/>
                <w:sz w:val="16"/>
                <w:szCs w:val="16"/>
              </w:rPr>
              <w:t>Philip Gregory</w:t>
            </w:r>
          </w:p>
        </w:tc>
        <w:tc>
          <w:tcPr>
            <w:tcW w:w="4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0" w14:textId="3B218A78"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D3461">
              <w:rPr>
                <w:rFonts w:ascii="Arial" w:hAnsi="Arial" w:cs="Arial"/>
                <w:color w:val="000000"/>
                <w:sz w:val="16"/>
                <w:szCs w:val="16"/>
              </w:rPr>
              <w:t>21</w:t>
            </w:r>
          </w:p>
        </w:tc>
        <w:tc>
          <w:tcPr>
            <w:tcW w:w="75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89" w14:textId="77777777" w:rsidTr="00C53854">
        <w:tc>
          <w:tcPr>
            <w:tcW w:w="47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8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Identifying the external risk factors that affect the funding position</w:t>
            </w:r>
            <w:r w:rsidRPr="00E35F96" w:rsidDel="00C35396">
              <w:rPr>
                <w:rFonts w:ascii="Arial" w:hAnsi="Arial" w:cs="Arial"/>
                <w:color w:val="000000"/>
                <w:sz w:val="16"/>
                <w:szCs w:val="16"/>
              </w:rPr>
              <w:t xml:space="preserve"> </w:t>
            </w:r>
          </w:p>
        </w:tc>
        <w:tc>
          <w:tcPr>
            <w:tcW w:w="1657"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4"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Identifying the various risk factors, asset/liability, investment, longevity, interest rates, inflation, liquidity, etc and how the interaction of these impacts on the funding position</w:t>
            </w:r>
            <w:r w:rsidRPr="00E35F96" w:rsidDel="00C35396">
              <w:rPr>
                <w:rFonts w:ascii="Arial" w:hAnsi="Arial" w:cs="Arial"/>
                <w:color w:val="000000"/>
                <w:sz w:val="16"/>
                <w:szCs w:val="16"/>
              </w:rPr>
              <w:t xml:space="preserve"> </w:t>
            </w:r>
            <w:r w:rsidRPr="00E35F96">
              <w:rPr>
                <w:rFonts w:ascii="Arial" w:hAnsi="Arial" w:cs="Arial"/>
                <w:color w:val="000000"/>
                <w:sz w:val="16"/>
                <w:szCs w:val="16"/>
              </w:rPr>
              <w:t>and adapting the strategy and business plans to manage these risk where feasible.</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5" w14:textId="6EEA507C"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r w:rsidR="00F7062F">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6" w14:textId="10C9EB4C" w:rsidR="00C53854" w:rsidRPr="00E35F96" w:rsidRDefault="00DD3461" w:rsidP="00C53854">
            <w:pPr>
              <w:rPr>
                <w:rFonts w:ascii="Arial" w:hAnsi="Arial" w:cs="Arial"/>
                <w:color w:val="000000"/>
                <w:sz w:val="16"/>
                <w:szCs w:val="16"/>
              </w:rPr>
            </w:pPr>
            <w:r>
              <w:rPr>
                <w:rFonts w:ascii="Arial" w:hAnsi="Arial" w:cs="Arial"/>
                <w:color w:val="000000"/>
                <w:sz w:val="16"/>
                <w:szCs w:val="16"/>
              </w:rPr>
              <w:t>Philip Gregory</w:t>
            </w:r>
          </w:p>
        </w:tc>
        <w:tc>
          <w:tcPr>
            <w:tcW w:w="4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7" w14:textId="2D5483F3"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D3461">
              <w:rPr>
                <w:rFonts w:ascii="Arial" w:hAnsi="Arial" w:cs="Arial"/>
                <w:color w:val="000000"/>
                <w:sz w:val="16"/>
                <w:szCs w:val="16"/>
              </w:rPr>
              <w:t>21</w:t>
            </w:r>
          </w:p>
        </w:tc>
        <w:tc>
          <w:tcPr>
            <w:tcW w:w="75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8"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90" w14:textId="77777777" w:rsidTr="00C53854">
        <w:tc>
          <w:tcPr>
            <w:tcW w:w="47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8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Knowledge and Skills </w:t>
            </w:r>
          </w:p>
        </w:tc>
        <w:tc>
          <w:tcPr>
            <w:tcW w:w="1657"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B" w14:textId="77777777" w:rsidR="00C53854" w:rsidRPr="00E35F96" w:rsidDel="00C35396" w:rsidRDefault="00C53854" w:rsidP="00C53854">
            <w:pPr>
              <w:rPr>
                <w:rFonts w:ascii="Arial" w:hAnsi="Arial" w:cs="Arial"/>
                <w:color w:val="000000"/>
                <w:sz w:val="16"/>
                <w:szCs w:val="16"/>
              </w:rPr>
            </w:pPr>
            <w:r w:rsidRPr="00E35F96">
              <w:rPr>
                <w:rFonts w:ascii="Arial" w:hAnsi="Arial" w:cs="Arial"/>
                <w:color w:val="000000"/>
                <w:sz w:val="16"/>
                <w:szCs w:val="16"/>
              </w:rPr>
              <w:t>Ensuring those charged with governance of the Fund and for managing the day to day operations have the requisite knowledge and skills to make informed decisions when managing the funding position</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4E2262B" w14:textId="77777777" w:rsidR="00C53854"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p w14:paraId="6D163E8C" w14:textId="7B7106F1" w:rsidR="00F7062F" w:rsidRPr="00E35F96" w:rsidRDefault="00F7062F"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D" w14:textId="1E56C3BE" w:rsidR="00C53854" w:rsidRPr="00E35F96" w:rsidRDefault="00DD3461" w:rsidP="00C53854">
            <w:pPr>
              <w:rPr>
                <w:rFonts w:ascii="Arial" w:hAnsi="Arial" w:cs="Arial"/>
                <w:color w:val="000000"/>
                <w:sz w:val="16"/>
                <w:szCs w:val="16"/>
              </w:rPr>
            </w:pPr>
            <w:r>
              <w:rPr>
                <w:rFonts w:ascii="Arial" w:hAnsi="Arial" w:cs="Arial"/>
                <w:color w:val="000000"/>
                <w:sz w:val="16"/>
                <w:szCs w:val="16"/>
              </w:rPr>
              <w:t>Philip Gregory</w:t>
            </w:r>
          </w:p>
        </w:tc>
        <w:tc>
          <w:tcPr>
            <w:tcW w:w="4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E" w14:textId="01A007ED"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D3461">
              <w:rPr>
                <w:rFonts w:ascii="Arial" w:hAnsi="Arial" w:cs="Arial"/>
                <w:color w:val="000000"/>
                <w:sz w:val="16"/>
                <w:szCs w:val="16"/>
              </w:rPr>
              <w:t>21</w:t>
            </w:r>
          </w:p>
        </w:tc>
        <w:tc>
          <w:tcPr>
            <w:tcW w:w="75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8F"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97" w14:textId="77777777" w:rsidTr="00C53854">
        <w:tc>
          <w:tcPr>
            <w:tcW w:w="47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9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Cash flow Monitoring</w:t>
            </w:r>
          </w:p>
        </w:tc>
        <w:tc>
          <w:tcPr>
            <w:tcW w:w="1657"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92"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Quarterly monitoring of Pension Fund cashflows to ensure that there is sufficient cash inflows from contributions and income to meet the cash outflows from benefit and cost payments. This will also provide early warning of potential cashflow mismatch and possible changes to investment strategy. Longer term cash flow monitoring in conjunction with the Fund Actuary to establish trigger points for the Fund becoming cashflow negative.</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1D69BDA3" w14:textId="77777777" w:rsidR="00C53854"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p w14:paraId="6D163E93" w14:textId="05216ED3" w:rsidR="00F7062F" w:rsidRPr="00E35F96" w:rsidRDefault="00F7062F"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94" w14:textId="735CAF8A" w:rsidR="00C53854" w:rsidRPr="00E35F96" w:rsidRDefault="00DD3461" w:rsidP="00C53854">
            <w:pPr>
              <w:rPr>
                <w:rFonts w:ascii="Arial" w:hAnsi="Arial" w:cs="Arial"/>
                <w:color w:val="000000"/>
                <w:sz w:val="16"/>
                <w:szCs w:val="16"/>
              </w:rPr>
            </w:pPr>
            <w:r>
              <w:rPr>
                <w:rFonts w:ascii="Arial" w:hAnsi="Arial" w:cs="Arial"/>
                <w:color w:val="000000"/>
                <w:sz w:val="16"/>
                <w:szCs w:val="16"/>
              </w:rPr>
              <w:t>Philip Gregory</w:t>
            </w:r>
          </w:p>
        </w:tc>
        <w:tc>
          <w:tcPr>
            <w:tcW w:w="4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95" w14:textId="45C733ED"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DD3461">
              <w:rPr>
                <w:rFonts w:ascii="Arial" w:hAnsi="Arial" w:cs="Arial"/>
                <w:color w:val="000000"/>
                <w:sz w:val="16"/>
                <w:szCs w:val="16"/>
              </w:rPr>
              <w:t>21</w:t>
            </w:r>
          </w:p>
        </w:tc>
        <w:tc>
          <w:tcPr>
            <w:tcW w:w="759"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9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E98" w14:textId="77777777" w:rsidR="00DF6F04" w:rsidRDefault="00DF6F04" w:rsidP="00E03107">
      <w:pPr>
        <w:rPr>
          <w:rFonts w:ascii="Arial" w:hAnsi="Arial" w:cs="Arial"/>
        </w:rPr>
      </w:pPr>
    </w:p>
    <w:p w14:paraId="55069495" w14:textId="77777777" w:rsidR="00F7062F" w:rsidRDefault="00F7062F" w:rsidP="00E03107">
      <w:pPr>
        <w:rPr>
          <w:rFonts w:ascii="Arial" w:hAnsi="Arial" w:cs="Arial"/>
        </w:rPr>
      </w:pPr>
    </w:p>
    <w:p w14:paraId="3B65AE20" w14:textId="77777777" w:rsidR="00F7062F" w:rsidRDefault="00F7062F" w:rsidP="00E03107">
      <w:pPr>
        <w:rPr>
          <w:rFonts w:ascii="Arial" w:hAnsi="Arial" w:cs="Arial"/>
        </w:rPr>
      </w:pPr>
    </w:p>
    <w:p w14:paraId="14823F37" w14:textId="77777777" w:rsidR="00F7062F" w:rsidRDefault="00F7062F" w:rsidP="00E03107">
      <w:pPr>
        <w:rPr>
          <w:rFonts w:ascii="Arial" w:hAnsi="Arial" w:cs="Arial"/>
        </w:rPr>
      </w:pPr>
    </w:p>
    <w:p w14:paraId="556DEE53" w14:textId="77777777" w:rsidR="00F7062F" w:rsidRDefault="00F7062F" w:rsidP="00E03107">
      <w:pPr>
        <w:rPr>
          <w:rFonts w:ascii="Arial" w:hAnsi="Arial" w:cs="Arial"/>
        </w:rPr>
      </w:pPr>
    </w:p>
    <w:p w14:paraId="03A2B4EA" w14:textId="77777777" w:rsidR="00F7062F" w:rsidRPr="00E35F96" w:rsidRDefault="00F7062F"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790"/>
        <w:gridCol w:w="606"/>
        <w:gridCol w:w="3299"/>
        <w:gridCol w:w="1325"/>
        <w:gridCol w:w="1961"/>
        <w:gridCol w:w="763"/>
        <w:gridCol w:w="82"/>
        <w:gridCol w:w="1140"/>
      </w:tblGrid>
      <w:tr w:rsidR="00DF6F04" w:rsidRPr="00227E88" w14:paraId="6D163E9E" w14:textId="77777777" w:rsidTr="00C53854">
        <w:tc>
          <w:tcPr>
            <w:tcW w:w="700"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E9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19 Risk Title </w:t>
            </w:r>
          </w:p>
        </w:tc>
        <w:tc>
          <w:tcPr>
            <w:tcW w:w="165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9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9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9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996" w:type="pct"/>
            <w:gridSpan w:val="3"/>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9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EA4" w14:textId="77777777" w:rsidTr="00C53854">
        <w:tc>
          <w:tcPr>
            <w:tcW w:w="70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9F"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Auto Enrolment Risk </w:t>
            </w:r>
          </w:p>
        </w:tc>
        <w:tc>
          <w:tcPr>
            <w:tcW w:w="165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A0"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Workplace Pensions or Aut</w:t>
            </w:r>
            <w:r w:rsidR="008C3DBB" w:rsidRPr="00E35F96">
              <w:rPr>
                <w:rFonts w:ascii="Arial" w:hAnsi="Arial" w:cs="Arial"/>
                <w:color w:val="000000"/>
                <w:sz w:val="16"/>
                <w:szCs w:val="16"/>
              </w:rPr>
              <w:t>o-Enrolment. LBBD staging date wa</w:t>
            </w:r>
            <w:r w:rsidRPr="00E35F96">
              <w:rPr>
                <w:rFonts w:ascii="Arial" w:hAnsi="Arial" w:cs="Arial"/>
                <w:color w:val="000000"/>
                <w:sz w:val="16"/>
                <w:szCs w:val="16"/>
              </w:rPr>
              <w:t>s 01/04/20</w:t>
            </w:r>
            <w:r w:rsidR="00B33EAD" w:rsidRPr="00E35F96">
              <w:rPr>
                <w:rFonts w:ascii="Arial" w:hAnsi="Arial" w:cs="Arial"/>
                <w:color w:val="000000"/>
                <w:sz w:val="16"/>
                <w:szCs w:val="16"/>
              </w:rPr>
              <w:t>16</w:t>
            </w:r>
            <w:r w:rsidRPr="00E35F96">
              <w:rPr>
                <w:rFonts w:ascii="Arial" w:hAnsi="Arial" w:cs="Arial"/>
                <w:color w:val="000000"/>
                <w:sz w:val="16"/>
                <w:szCs w:val="16"/>
              </w:rPr>
              <w:t xml:space="preserve"> (with transitional arrangements pushing back full implementation to October 2017). Risks include increased costs for employers, failure to implement, lack of preparation, failure to communicate, inability to manage auto-enrol process and have adequate monitoring in place. Significant financial (including Regulator Fines) and reputational risks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A1"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A2"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B4" wp14:editId="0A460A83">
                  <wp:extent cx="1092835" cy="936625"/>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996" w:type="pct"/>
            <w:gridSpan w:val="3"/>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A3"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Risk Reviewed May 20</w:t>
            </w:r>
            <w:r w:rsidR="008C3DBB" w:rsidRPr="00E35F96">
              <w:rPr>
                <w:rFonts w:ascii="Arial" w:hAnsi="Arial" w:cs="Arial"/>
                <w:color w:val="000000"/>
                <w:sz w:val="16"/>
                <w:szCs w:val="16"/>
              </w:rPr>
              <w:t>1</w:t>
            </w:r>
            <w:r w:rsidR="00C53854" w:rsidRPr="00E35F96">
              <w:rPr>
                <w:rFonts w:ascii="Arial" w:hAnsi="Arial" w:cs="Arial"/>
                <w:color w:val="000000"/>
                <w:sz w:val="16"/>
                <w:szCs w:val="16"/>
              </w:rPr>
              <w:t>8</w:t>
            </w:r>
            <w:r w:rsidRPr="00E35F96">
              <w:rPr>
                <w:rFonts w:ascii="Arial" w:hAnsi="Arial" w:cs="Arial"/>
                <w:color w:val="000000"/>
                <w:sz w:val="16"/>
                <w:szCs w:val="16"/>
              </w:rPr>
              <w:t xml:space="preserve">. </w:t>
            </w:r>
          </w:p>
        </w:tc>
      </w:tr>
      <w:tr w:rsidR="00DF6F04" w:rsidRPr="00227E88" w14:paraId="6D163EAD"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A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0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A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65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A7" w14:textId="77777777" w:rsidR="00DF6F04" w:rsidRPr="00E35F96" w:rsidRDefault="00DF6F04" w:rsidP="00E03107">
            <w:pPr>
              <w:jc w:val="right"/>
              <w:rPr>
                <w:rFonts w:ascii="Arial" w:hAnsi="Arial" w:cs="Arial"/>
                <w:color w:val="FFFFFF"/>
                <w:sz w:val="16"/>
                <w:szCs w:val="16"/>
              </w:rPr>
            </w:pPr>
          </w:p>
          <w:p w14:paraId="6D163EA8"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A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A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83"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AB"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13" w:type="pct"/>
            <w:gridSpan w:val="2"/>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A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EB4" w14:textId="77777777" w:rsidTr="00C53854">
        <w:tc>
          <w:tcPr>
            <w:tcW w:w="700"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EA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65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A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B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B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383"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B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613"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B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EBB" w14:textId="77777777" w:rsidTr="00C53854">
        <w:tc>
          <w:tcPr>
            <w:tcW w:w="70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B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Auto Enrolment Risk Communications</w:t>
            </w:r>
          </w:p>
        </w:tc>
        <w:tc>
          <w:tcPr>
            <w:tcW w:w="165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B6" w14:textId="77777777" w:rsidR="00C53854" w:rsidRPr="00E35F96" w:rsidDel="005E3B53" w:rsidRDefault="00C53854" w:rsidP="00C53854">
            <w:pPr>
              <w:rPr>
                <w:rFonts w:ascii="Arial" w:hAnsi="Arial" w:cs="Arial"/>
                <w:color w:val="000000"/>
                <w:sz w:val="16"/>
                <w:szCs w:val="16"/>
              </w:rPr>
            </w:pPr>
            <w:r w:rsidRPr="00E35F96">
              <w:rPr>
                <w:rFonts w:ascii="Arial" w:hAnsi="Arial" w:cs="Arial"/>
                <w:color w:val="000000"/>
                <w:sz w:val="16"/>
                <w:szCs w:val="16"/>
              </w:rPr>
              <w:t>Use of different forms of communications to reach wider possible audience to understand what A-E means for individuals and employers within the Pension Fund. Use of individual letters, presentations, internet, etc. Communications strategy to feed into project plan</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B7"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Justine Spring, 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B8" w14:textId="061FD49B" w:rsidR="00C53854" w:rsidRPr="00E35F96" w:rsidRDefault="00F7062F" w:rsidP="00C53854">
            <w:pPr>
              <w:rPr>
                <w:rFonts w:ascii="Arial" w:hAnsi="Arial" w:cs="Arial"/>
                <w:color w:val="000000"/>
                <w:sz w:val="16"/>
                <w:szCs w:val="16"/>
              </w:rPr>
            </w:pPr>
            <w:r>
              <w:rPr>
                <w:rFonts w:ascii="Arial" w:hAnsi="Arial" w:cs="Arial"/>
                <w:color w:val="000000"/>
                <w:sz w:val="16"/>
                <w:szCs w:val="16"/>
              </w:rPr>
              <w:t>Philip Gregory</w:t>
            </w:r>
          </w:p>
        </w:tc>
        <w:tc>
          <w:tcPr>
            <w:tcW w:w="38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B9" w14:textId="0E2BF90E"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F7062F">
              <w:rPr>
                <w:rFonts w:ascii="Arial" w:hAnsi="Arial" w:cs="Arial"/>
                <w:color w:val="000000"/>
                <w:sz w:val="16"/>
                <w:szCs w:val="16"/>
              </w:rPr>
              <w:t>21</w:t>
            </w:r>
          </w:p>
        </w:tc>
        <w:tc>
          <w:tcPr>
            <w:tcW w:w="613"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B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C2" w14:textId="77777777" w:rsidTr="00C53854">
        <w:tc>
          <w:tcPr>
            <w:tcW w:w="70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BC"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Auto Enrolment Risk System Enhancements</w:t>
            </w:r>
          </w:p>
        </w:tc>
        <w:tc>
          <w:tcPr>
            <w:tcW w:w="165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BD"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Review of existing systems both payroll and pension to ensure that they are able to cope with the implementation of A-E and to ensure that they are adequate to cope with the ongoing monitoring requirements.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BE"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Justine Spring, 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BF" w14:textId="027BE817" w:rsidR="00C53854" w:rsidRPr="00E35F96" w:rsidRDefault="00F7062F" w:rsidP="00C53854">
            <w:pPr>
              <w:rPr>
                <w:rFonts w:ascii="Arial" w:hAnsi="Arial" w:cs="Arial"/>
                <w:color w:val="000000"/>
                <w:sz w:val="16"/>
                <w:szCs w:val="16"/>
              </w:rPr>
            </w:pPr>
            <w:r>
              <w:rPr>
                <w:rFonts w:ascii="Arial" w:hAnsi="Arial" w:cs="Arial"/>
                <w:color w:val="000000"/>
                <w:sz w:val="16"/>
                <w:szCs w:val="16"/>
              </w:rPr>
              <w:t>Philip Gregory</w:t>
            </w:r>
          </w:p>
        </w:tc>
        <w:tc>
          <w:tcPr>
            <w:tcW w:w="38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C0" w14:textId="66836031"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F7062F">
              <w:rPr>
                <w:rFonts w:ascii="Arial" w:hAnsi="Arial" w:cs="Arial"/>
                <w:color w:val="000000"/>
                <w:sz w:val="16"/>
                <w:szCs w:val="16"/>
              </w:rPr>
              <w:t>21</w:t>
            </w:r>
          </w:p>
        </w:tc>
        <w:tc>
          <w:tcPr>
            <w:tcW w:w="613"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C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C9" w14:textId="77777777" w:rsidTr="00C53854">
        <w:trPr>
          <w:trHeight w:val="866"/>
        </w:trPr>
        <w:tc>
          <w:tcPr>
            <w:tcW w:w="70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C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Auto Enrolment Risk Monitoring</w:t>
            </w:r>
          </w:p>
        </w:tc>
        <w:tc>
          <w:tcPr>
            <w:tcW w:w="165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C4"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Monthly monitoring of A-E to ensure all new employees are auto-enrolled and to ensure that any existing employees who were previously not eligible or who had previously opted out are auto-enrolled should their circumstances change. Use of payroll/ pension to ensure compliance with legislation.</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C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Justine Spring, 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C6" w14:textId="590E2D97" w:rsidR="00C53854" w:rsidRPr="00E35F96" w:rsidRDefault="00F7062F" w:rsidP="00C53854">
            <w:pPr>
              <w:rPr>
                <w:rFonts w:ascii="Arial" w:hAnsi="Arial" w:cs="Arial"/>
                <w:color w:val="000000"/>
                <w:sz w:val="16"/>
                <w:szCs w:val="16"/>
              </w:rPr>
            </w:pPr>
            <w:r>
              <w:rPr>
                <w:rFonts w:ascii="Arial" w:hAnsi="Arial" w:cs="Arial"/>
                <w:color w:val="000000"/>
                <w:sz w:val="16"/>
                <w:szCs w:val="16"/>
              </w:rPr>
              <w:t>Philip Gregory</w:t>
            </w:r>
          </w:p>
        </w:tc>
        <w:tc>
          <w:tcPr>
            <w:tcW w:w="38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C7" w14:textId="0FF7D905"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F7062F">
              <w:rPr>
                <w:rFonts w:ascii="Arial" w:hAnsi="Arial" w:cs="Arial"/>
                <w:color w:val="000000"/>
                <w:sz w:val="16"/>
                <w:szCs w:val="16"/>
              </w:rPr>
              <w:t>21</w:t>
            </w:r>
          </w:p>
        </w:tc>
        <w:tc>
          <w:tcPr>
            <w:tcW w:w="613"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C8"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DF6F04" w:rsidRPr="00227E88" w14:paraId="6D163ECB" w14:textId="77777777" w:rsidTr="00E03107">
        <w:tc>
          <w:tcPr>
            <w:tcW w:w="5000" w:type="pct"/>
            <w:gridSpan w:val="8"/>
            <w:tcBorders>
              <w:top w:val="single" w:sz="6" w:space="0" w:color="78786E"/>
              <w:left w:val="single" w:sz="6" w:space="0" w:color="78786E"/>
              <w:bottom w:val="single" w:sz="6" w:space="0" w:color="78786E"/>
              <w:right w:val="single" w:sz="6" w:space="0" w:color="78786E"/>
            </w:tcBorders>
            <w:shd w:val="clear" w:color="auto" w:fill="FFFFFF"/>
            <w:vAlign w:val="center"/>
          </w:tcPr>
          <w:p w14:paraId="6D163ECA" w14:textId="77777777" w:rsidR="00DF6F04" w:rsidRPr="00E35F96" w:rsidRDefault="00DF6F04" w:rsidP="00E03107">
            <w:pPr>
              <w:rPr>
                <w:rFonts w:ascii="Arial" w:hAnsi="Arial" w:cs="Arial"/>
                <w:b/>
                <w:bCs/>
                <w:color w:val="000000"/>
                <w:sz w:val="16"/>
                <w:szCs w:val="16"/>
              </w:rPr>
            </w:pPr>
          </w:p>
        </w:tc>
      </w:tr>
      <w:tr w:rsidR="00DF6F04" w:rsidRPr="00227E88" w14:paraId="6D163ED1" w14:textId="77777777" w:rsidTr="00C53854">
        <w:tc>
          <w:tcPr>
            <w:tcW w:w="700"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EC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20 Risk Title </w:t>
            </w:r>
          </w:p>
        </w:tc>
        <w:tc>
          <w:tcPr>
            <w:tcW w:w="165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C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C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CF"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996" w:type="pct"/>
            <w:gridSpan w:val="3"/>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D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ED7" w14:textId="77777777" w:rsidTr="00C53854">
        <w:tc>
          <w:tcPr>
            <w:tcW w:w="70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D2"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Governance Risk </w:t>
            </w:r>
          </w:p>
        </w:tc>
        <w:tc>
          <w:tcPr>
            <w:tcW w:w="165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D3"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Governance is important in Pension Fund as it carries significant financial and reputational risks. It is therefore crucial that those charged with governance understand the full implications of the decisions which are being taken in these areas. Membership turnover on Committees poses risks due to lack of understanding of the responsibilities.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D4"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Finance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D5"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B6" wp14:editId="3C0E0574">
                  <wp:extent cx="1092835" cy="936625"/>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996" w:type="pct"/>
            <w:gridSpan w:val="3"/>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D6"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Risk added January 20</w:t>
            </w:r>
            <w:r w:rsidR="00B33EAD" w:rsidRPr="00E35F96">
              <w:rPr>
                <w:rFonts w:ascii="Arial" w:hAnsi="Arial" w:cs="Arial"/>
                <w:color w:val="000000"/>
                <w:sz w:val="16"/>
                <w:szCs w:val="16"/>
              </w:rPr>
              <w:t>1</w:t>
            </w:r>
            <w:r w:rsidR="00C53854" w:rsidRPr="00E35F96">
              <w:rPr>
                <w:rFonts w:ascii="Arial" w:hAnsi="Arial" w:cs="Arial"/>
                <w:color w:val="000000"/>
                <w:sz w:val="16"/>
                <w:szCs w:val="16"/>
              </w:rPr>
              <w:t>8</w:t>
            </w:r>
            <w:r w:rsidRPr="00E35F96">
              <w:rPr>
                <w:rFonts w:ascii="Arial" w:hAnsi="Arial" w:cs="Arial"/>
                <w:color w:val="000000"/>
                <w:sz w:val="16"/>
                <w:szCs w:val="16"/>
              </w:rPr>
              <w:t xml:space="preserve"> </w:t>
            </w:r>
          </w:p>
        </w:tc>
      </w:tr>
      <w:tr w:rsidR="00DF6F04" w:rsidRPr="00227E88" w14:paraId="6D163EDF"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D8"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0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D9"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65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DA"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DB"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DC"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424" w:type="pct"/>
            <w:gridSpan w:val="2"/>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DD"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57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EDE"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EE6" w14:textId="77777777" w:rsidTr="00C53854">
        <w:tc>
          <w:tcPr>
            <w:tcW w:w="700"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EE0"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65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E1"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E2"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E3"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424"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E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572"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EE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EED" w14:textId="77777777" w:rsidTr="00C53854">
        <w:trPr>
          <w:trHeight w:val="820"/>
        </w:trPr>
        <w:tc>
          <w:tcPr>
            <w:tcW w:w="70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E7"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Governance Risk A – Knowledge and Skills Training Programme</w:t>
            </w:r>
          </w:p>
        </w:tc>
        <w:tc>
          <w:tcPr>
            <w:tcW w:w="165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E8"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Training programme for Committee Members to ensure that they have the requisite knowledge and skills to be in a position to question and understand the agenda and recommendations put before them to make high level strategic decisions.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0967BFAD" w14:textId="324D3C28" w:rsidR="00C53854"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p w14:paraId="6D163EE9" w14:textId="4B8C1F3E" w:rsidR="00207CD7" w:rsidRPr="00E35F96" w:rsidRDefault="00207CD7"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EA" w14:textId="58098BDE" w:rsidR="00C53854" w:rsidRPr="00E35F96" w:rsidRDefault="00F7062F" w:rsidP="00C53854">
            <w:pPr>
              <w:rPr>
                <w:rFonts w:ascii="Arial" w:hAnsi="Arial" w:cs="Arial"/>
                <w:color w:val="000000"/>
                <w:sz w:val="16"/>
                <w:szCs w:val="16"/>
              </w:rPr>
            </w:pPr>
            <w:r>
              <w:rPr>
                <w:rFonts w:ascii="Arial" w:hAnsi="Arial" w:cs="Arial"/>
                <w:color w:val="000000"/>
                <w:sz w:val="16"/>
                <w:szCs w:val="16"/>
              </w:rPr>
              <w:t>Philip Gregory</w:t>
            </w:r>
          </w:p>
        </w:tc>
        <w:tc>
          <w:tcPr>
            <w:tcW w:w="424"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EB" w14:textId="0147AC7A"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F7062F">
              <w:rPr>
                <w:rFonts w:ascii="Arial" w:hAnsi="Arial" w:cs="Arial"/>
                <w:color w:val="000000"/>
                <w:sz w:val="16"/>
                <w:szCs w:val="16"/>
              </w:rPr>
              <w:t>21</w:t>
            </w:r>
          </w:p>
        </w:tc>
        <w:tc>
          <w:tcPr>
            <w:tcW w:w="57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EC"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F4" w14:textId="77777777" w:rsidTr="00C53854">
        <w:trPr>
          <w:trHeight w:val="820"/>
        </w:trPr>
        <w:tc>
          <w:tcPr>
            <w:tcW w:w="70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EE"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Governance Risk B – Assessment</w:t>
            </w:r>
          </w:p>
        </w:tc>
        <w:tc>
          <w:tcPr>
            <w:tcW w:w="165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EF"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Committees to undertake assessment to ensure that their level of understanding is adequate for the decisions being made.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21D51BE8" w14:textId="35B07C38" w:rsidR="00C53854"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p w14:paraId="6D163EF0" w14:textId="4D6AA196" w:rsidR="00207CD7" w:rsidRPr="00E35F96" w:rsidRDefault="00207CD7"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F1" w14:textId="4E9A3727" w:rsidR="00C53854" w:rsidRPr="00E35F96" w:rsidRDefault="00F7062F" w:rsidP="00C53854">
            <w:pPr>
              <w:rPr>
                <w:rFonts w:ascii="Arial" w:hAnsi="Arial" w:cs="Arial"/>
                <w:color w:val="000000"/>
                <w:sz w:val="16"/>
                <w:szCs w:val="16"/>
              </w:rPr>
            </w:pPr>
            <w:r>
              <w:rPr>
                <w:rFonts w:ascii="Arial" w:hAnsi="Arial" w:cs="Arial"/>
                <w:color w:val="000000"/>
                <w:sz w:val="16"/>
                <w:szCs w:val="16"/>
              </w:rPr>
              <w:t>Philip Gregory</w:t>
            </w:r>
          </w:p>
        </w:tc>
        <w:tc>
          <w:tcPr>
            <w:tcW w:w="424"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F2" w14:textId="0D42AB10"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F7062F">
              <w:rPr>
                <w:rFonts w:ascii="Arial" w:hAnsi="Arial" w:cs="Arial"/>
                <w:color w:val="000000"/>
                <w:sz w:val="16"/>
                <w:szCs w:val="16"/>
              </w:rPr>
              <w:t>21</w:t>
            </w:r>
          </w:p>
        </w:tc>
        <w:tc>
          <w:tcPr>
            <w:tcW w:w="57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F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EFB" w14:textId="77777777" w:rsidTr="00C53854">
        <w:trPr>
          <w:trHeight w:val="820"/>
        </w:trPr>
        <w:tc>
          <w:tcPr>
            <w:tcW w:w="70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F5"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Governance Risk C – S161 Responsibilities</w:t>
            </w:r>
          </w:p>
        </w:tc>
        <w:tc>
          <w:tcPr>
            <w:tcW w:w="165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F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CIPFA have issued a Code of Practice on the Knowledge and Skills Framework for the Pension Fund and the Section 151 Officer has responsibility for the implementation of its requirements. The COO will ensure that the Code is implemented and that a policy statement is included in the Annual Report &amp; Accounts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54644DEA" w14:textId="51A93AC3" w:rsidR="00C53854"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p w14:paraId="6D163EF7" w14:textId="7C92B49B" w:rsidR="00207CD7" w:rsidRPr="00E35F96" w:rsidRDefault="00207CD7"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F8" w14:textId="64401C49" w:rsidR="00C53854" w:rsidRPr="00E35F96" w:rsidRDefault="00207CD7" w:rsidP="00C53854">
            <w:pPr>
              <w:rPr>
                <w:rFonts w:ascii="Arial" w:hAnsi="Arial" w:cs="Arial"/>
                <w:color w:val="000000"/>
                <w:sz w:val="16"/>
                <w:szCs w:val="16"/>
              </w:rPr>
            </w:pPr>
            <w:r>
              <w:rPr>
                <w:rFonts w:ascii="Arial" w:hAnsi="Arial" w:cs="Arial"/>
                <w:color w:val="000000"/>
                <w:sz w:val="16"/>
                <w:szCs w:val="16"/>
              </w:rPr>
              <w:t>Philip Gregory</w:t>
            </w:r>
          </w:p>
        </w:tc>
        <w:tc>
          <w:tcPr>
            <w:tcW w:w="424"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F9" w14:textId="0A8A075F"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207CD7">
              <w:rPr>
                <w:rFonts w:ascii="Arial" w:hAnsi="Arial" w:cs="Arial"/>
                <w:color w:val="000000"/>
                <w:sz w:val="16"/>
                <w:szCs w:val="16"/>
              </w:rPr>
              <w:t>21</w:t>
            </w:r>
          </w:p>
        </w:tc>
        <w:tc>
          <w:tcPr>
            <w:tcW w:w="57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FA"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F02" w14:textId="77777777" w:rsidTr="00C53854">
        <w:trPr>
          <w:trHeight w:val="820"/>
        </w:trPr>
        <w:tc>
          <w:tcPr>
            <w:tcW w:w="700"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EFC"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Governance Risk D – Succession Planning for Committee</w:t>
            </w:r>
          </w:p>
        </w:tc>
        <w:tc>
          <w:tcPr>
            <w:tcW w:w="165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FD"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Succession planning to ensure some continuity of Membership and the introduction of substitute members with access to suitable training will help to ensure that the knowledge base is maintained within Committees.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3FBCD2FF" w14:textId="6C497BBC" w:rsidR="00C53854"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p w14:paraId="6D163EFE" w14:textId="799F6D6B" w:rsidR="00207CD7" w:rsidRPr="00E35F96" w:rsidRDefault="00207CD7" w:rsidP="00C53854">
            <w:pPr>
              <w:rPr>
                <w:rFonts w:ascii="Arial" w:hAnsi="Arial" w:cs="Arial"/>
                <w:color w:val="000000"/>
                <w:sz w:val="16"/>
                <w:szCs w:val="16"/>
              </w:rPr>
            </w:pPr>
            <w:r>
              <w:rPr>
                <w:rFonts w:ascii="Arial" w:hAnsi="Arial" w:cs="Arial"/>
                <w:color w:val="000000"/>
                <w:sz w:val="16"/>
                <w:szCs w:val="16"/>
              </w:rPr>
              <w:t>Jesmine Anwar</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EFF" w14:textId="1DD6096D" w:rsidR="00C53854" w:rsidRPr="00E35F96" w:rsidRDefault="00207CD7" w:rsidP="00C53854">
            <w:pPr>
              <w:rPr>
                <w:rFonts w:ascii="Arial" w:hAnsi="Arial" w:cs="Arial"/>
                <w:color w:val="000000"/>
                <w:sz w:val="16"/>
                <w:szCs w:val="16"/>
              </w:rPr>
            </w:pPr>
            <w:r>
              <w:rPr>
                <w:rFonts w:ascii="Arial" w:hAnsi="Arial" w:cs="Arial"/>
                <w:color w:val="000000"/>
                <w:sz w:val="16"/>
                <w:szCs w:val="16"/>
              </w:rPr>
              <w:t>Philip Gregory</w:t>
            </w:r>
          </w:p>
        </w:tc>
        <w:tc>
          <w:tcPr>
            <w:tcW w:w="424"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00" w14:textId="37346C92"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207CD7">
              <w:rPr>
                <w:rFonts w:ascii="Arial" w:hAnsi="Arial" w:cs="Arial"/>
                <w:color w:val="000000"/>
                <w:sz w:val="16"/>
                <w:szCs w:val="16"/>
              </w:rPr>
              <w:t>21</w:t>
            </w:r>
          </w:p>
        </w:tc>
        <w:tc>
          <w:tcPr>
            <w:tcW w:w="572"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0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F03"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604"/>
        <w:gridCol w:w="566"/>
        <w:gridCol w:w="3554"/>
        <w:gridCol w:w="1325"/>
        <w:gridCol w:w="1961"/>
        <w:gridCol w:w="660"/>
        <w:gridCol w:w="1296"/>
      </w:tblGrid>
      <w:tr w:rsidR="00DF6F04" w:rsidRPr="00227E88" w14:paraId="6D163F09" w14:textId="77777777" w:rsidTr="00C53854">
        <w:tc>
          <w:tcPr>
            <w:tcW w:w="587"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F04"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21 Risk Title </w:t>
            </w:r>
          </w:p>
        </w:tc>
        <w:tc>
          <w:tcPr>
            <w:tcW w:w="1783"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0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0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0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982"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0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F0F" w14:textId="77777777" w:rsidTr="00C53854">
        <w:tc>
          <w:tcPr>
            <w:tcW w:w="58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F0A"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Procurement Risk </w:t>
            </w:r>
          </w:p>
        </w:tc>
        <w:tc>
          <w:tcPr>
            <w:tcW w:w="178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0B"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Treasury and Pensions is heavily reliant on the use of external contractors in all areas. All the contracts have to be tendered on a regular basis which brings procurement risks in terms of both timetables for procurement (often several procurements having to take place at the same time) and potential challenges to procurements.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0C"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Finance</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0D" w14:textId="77777777" w:rsidR="00DF6F04" w:rsidRPr="00E35F96" w:rsidRDefault="00E266F9"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B8" wp14:editId="00F40005">
                  <wp:extent cx="1092835" cy="93662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982"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0E"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Risk created Jan 20</w:t>
            </w:r>
            <w:r w:rsidR="00B33EAD" w:rsidRPr="00E35F96">
              <w:rPr>
                <w:rFonts w:ascii="Arial" w:hAnsi="Arial" w:cs="Arial"/>
                <w:color w:val="000000"/>
                <w:sz w:val="16"/>
                <w:szCs w:val="16"/>
              </w:rPr>
              <w:t>1</w:t>
            </w:r>
            <w:r w:rsidR="00C53854" w:rsidRPr="00E35F96">
              <w:rPr>
                <w:rFonts w:ascii="Arial" w:hAnsi="Arial" w:cs="Arial"/>
                <w:color w:val="000000"/>
                <w:sz w:val="16"/>
                <w:szCs w:val="16"/>
              </w:rPr>
              <w:t>8</w:t>
            </w:r>
          </w:p>
        </w:tc>
      </w:tr>
      <w:tr w:rsidR="00DF6F04" w:rsidRPr="00227E88" w14:paraId="6D163F17"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10"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2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11"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783"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12"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13"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14"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3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1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5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1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F1E" w14:textId="77777777" w:rsidTr="00C53854">
        <w:tc>
          <w:tcPr>
            <w:tcW w:w="587"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F1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783"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1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1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1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33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1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65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1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F25" w14:textId="77777777" w:rsidTr="00C53854">
        <w:trPr>
          <w:trHeight w:val="721"/>
        </w:trPr>
        <w:tc>
          <w:tcPr>
            <w:tcW w:w="58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F1F"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Ensuring adequate resources </w:t>
            </w:r>
          </w:p>
        </w:tc>
        <w:tc>
          <w:tcPr>
            <w:tcW w:w="178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0"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The Council will look to use external advisers to supplement internal resources when undertaking procurement exercises.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2" w14:textId="7135EBF0"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w:t>
            </w:r>
            <w:r w:rsidR="00207CD7">
              <w:rPr>
                <w:rFonts w:ascii="Arial" w:hAnsi="Arial" w:cs="Arial"/>
                <w:color w:val="000000"/>
                <w:sz w:val="16"/>
                <w:szCs w:val="16"/>
              </w:rPr>
              <w:t>Philip Gregory</w:t>
            </w:r>
          </w:p>
        </w:tc>
        <w:tc>
          <w:tcPr>
            <w:tcW w:w="3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3" w14:textId="3CA93A4B"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207CD7">
              <w:rPr>
                <w:rFonts w:ascii="Arial" w:hAnsi="Arial" w:cs="Arial"/>
                <w:color w:val="000000"/>
                <w:sz w:val="16"/>
                <w:szCs w:val="16"/>
              </w:rPr>
              <w:t>21</w:t>
            </w:r>
          </w:p>
        </w:tc>
        <w:tc>
          <w:tcPr>
            <w:tcW w:w="65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4"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F2C" w14:textId="77777777" w:rsidTr="00C53854">
        <w:trPr>
          <w:trHeight w:val="847"/>
        </w:trPr>
        <w:tc>
          <w:tcPr>
            <w:tcW w:w="58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F2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Timing of Procurements</w:t>
            </w:r>
          </w:p>
        </w:tc>
        <w:tc>
          <w:tcPr>
            <w:tcW w:w="178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7" w14:textId="77777777" w:rsidR="00C53854" w:rsidRPr="00E35F96" w:rsidDel="00163DDC" w:rsidRDefault="00C53854" w:rsidP="00C53854">
            <w:pPr>
              <w:rPr>
                <w:rFonts w:ascii="Arial" w:hAnsi="Arial" w:cs="Arial"/>
                <w:color w:val="000000"/>
                <w:sz w:val="16"/>
                <w:szCs w:val="16"/>
              </w:rPr>
            </w:pPr>
            <w:r w:rsidRPr="00E35F96">
              <w:rPr>
                <w:rFonts w:ascii="Arial" w:hAnsi="Arial" w:cs="Arial"/>
                <w:color w:val="000000"/>
                <w:sz w:val="16"/>
                <w:szCs w:val="16"/>
              </w:rPr>
              <w:t>Where feasible, procurement exercises will be spread across different time periods, although this is not always feasible.</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8"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9" w14:textId="432E1C7F"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w:t>
            </w:r>
            <w:r w:rsidR="00207CD7">
              <w:rPr>
                <w:rFonts w:ascii="Arial" w:hAnsi="Arial" w:cs="Arial"/>
                <w:color w:val="000000"/>
                <w:sz w:val="16"/>
                <w:szCs w:val="16"/>
              </w:rPr>
              <w:t>Philip Gregory</w:t>
            </w:r>
          </w:p>
        </w:tc>
        <w:tc>
          <w:tcPr>
            <w:tcW w:w="3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A" w14:textId="5B081864"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207CD7">
              <w:rPr>
                <w:rFonts w:ascii="Arial" w:hAnsi="Arial" w:cs="Arial"/>
                <w:color w:val="000000"/>
                <w:sz w:val="16"/>
                <w:szCs w:val="16"/>
              </w:rPr>
              <w:t>21</w:t>
            </w:r>
          </w:p>
        </w:tc>
        <w:tc>
          <w:tcPr>
            <w:tcW w:w="65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B"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F33" w14:textId="77777777" w:rsidTr="00C53854">
        <w:trPr>
          <w:trHeight w:val="847"/>
        </w:trPr>
        <w:tc>
          <w:tcPr>
            <w:tcW w:w="58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F2D"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Collaborate with other authorities</w:t>
            </w:r>
          </w:p>
        </w:tc>
        <w:tc>
          <w:tcPr>
            <w:tcW w:w="178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E"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Where the timing and scope of procurement exercises are likely to coincide with other authorities and where practical to do, joint exercises including Frameworks will be undertaken.</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2F"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David Dickinson</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30" w14:textId="609C8F84"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w:t>
            </w:r>
            <w:r w:rsidR="00207CD7">
              <w:rPr>
                <w:rFonts w:ascii="Arial" w:hAnsi="Arial" w:cs="Arial"/>
                <w:color w:val="000000"/>
                <w:sz w:val="16"/>
                <w:szCs w:val="16"/>
              </w:rPr>
              <w:t>Philip Gregory</w:t>
            </w:r>
          </w:p>
        </w:tc>
        <w:tc>
          <w:tcPr>
            <w:tcW w:w="3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31" w14:textId="713A96F6"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207CD7">
              <w:rPr>
                <w:rFonts w:ascii="Arial" w:hAnsi="Arial" w:cs="Arial"/>
                <w:color w:val="000000"/>
                <w:sz w:val="16"/>
                <w:szCs w:val="16"/>
              </w:rPr>
              <w:t>21</w:t>
            </w:r>
          </w:p>
        </w:tc>
        <w:tc>
          <w:tcPr>
            <w:tcW w:w="65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32"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F34" w14:textId="77777777" w:rsidR="00DF6F04" w:rsidRPr="00E35F96" w:rsidRDefault="00DF6F04" w:rsidP="00E03107">
      <w:pPr>
        <w:rPr>
          <w:rFonts w:ascii="Arial" w:hAnsi="Arial" w:cs="Arial"/>
        </w:rPr>
      </w:pPr>
    </w:p>
    <w:tbl>
      <w:tblPr>
        <w:tblW w:w="5333" w:type="pct"/>
        <w:tblInd w:w="92" w:type="dxa"/>
        <w:tblCellMar>
          <w:top w:w="30" w:type="dxa"/>
          <w:left w:w="30" w:type="dxa"/>
          <w:bottom w:w="30" w:type="dxa"/>
          <w:right w:w="30" w:type="dxa"/>
        </w:tblCellMar>
        <w:tblLook w:val="04A0" w:firstRow="1" w:lastRow="0" w:firstColumn="1" w:lastColumn="0" w:noHBand="0" w:noVBand="1"/>
      </w:tblPr>
      <w:tblGrid>
        <w:gridCol w:w="430"/>
        <w:gridCol w:w="522"/>
        <w:gridCol w:w="3733"/>
        <w:gridCol w:w="1325"/>
        <w:gridCol w:w="1961"/>
        <w:gridCol w:w="660"/>
        <w:gridCol w:w="1335"/>
      </w:tblGrid>
      <w:tr w:rsidR="00DF6F04" w:rsidRPr="00227E88" w14:paraId="6D163F3A" w14:textId="77777777" w:rsidTr="00C53854">
        <w:tc>
          <w:tcPr>
            <w:tcW w:w="477"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F35"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22 Risk Title </w:t>
            </w:r>
          </w:p>
        </w:tc>
        <w:tc>
          <w:tcPr>
            <w:tcW w:w="1873"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36"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Description of Risk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37"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Directorate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38"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Current Risk Matrix </w:t>
            </w:r>
          </w:p>
        </w:tc>
        <w:tc>
          <w:tcPr>
            <w:tcW w:w="1001" w:type="pct"/>
            <w:gridSpan w:val="2"/>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3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Risk - Latest Note </w:t>
            </w:r>
          </w:p>
        </w:tc>
      </w:tr>
      <w:tr w:rsidR="00DF6F04" w:rsidRPr="00227E88" w14:paraId="6D163F40" w14:textId="77777777" w:rsidTr="00C53854">
        <w:tc>
          <w:tcPr>
            <w:tcW w:w="47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F3B"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Internal Fraud within Team </w:t>
            </w:r>
          </w:p>
        </w:tc>
        <w:tc>
          <w:tcPr>
            <w:tcW w:w="187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3C"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Treasury and Pensions is involved in the management of large scale financial resources on behalf of the Council and there is a potential risk that the area could be subject to internal fraud leading to significant financial and reputational risks</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3D"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Finance</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3E" w14:textId="77777777" w:rsidR="00DF6F04" w:rsidRPr="00E35F96" w:rsidRDefault="00C53854" w:rsidP="00E03107">
            <w:pPr>
              <w:rPr>
                <w:rFonts w:ascii="Arial" w:hAnsi="Arial" w:cs="Arial"/>
                <w:color w:val="000000"/>
                <w:sz w:val="16"/>
                <w:szCs w:val="16"/>
              </w:rPr>
            </w:pPr>
            <w:r w:rsidRPr="00E35F96">
              <w:rPr>
                <w:rFonts w:ascii="Arial" w:hAnsi="Arial" w:cs="Arial"/>
                <w:noProof/>
                <w:color w:val="000000"/>
                <w:sz w:val="16"/>
                <w:szCs w:val="16"/>
              </w:rPr>
              <w:drawing>
                <wp:inline distT="0" distB="0" distL="0" distR="0" wp14:anchorId="6D1640BA" wp14:editId="2BB1813B">
                  <wp:extent cx="1092835" cy="936625"/>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92835" cy="936625"/>
                          </a:xfrm>
                          <a:prstGeom prst="rect">
                            <a:avLst/>
                          </a:prstGeom>
                          <a:noFill/>
                          <a:ln>
                            <a:noFill/>
                          </a:ln>
                        </pic:spPr>
                      </pic:pic>
                    </a:graphicData>
                  </a:graphic>
                </wp:inline>
              </w:drawing>
            </w:r>
          </w:p>
        </w:tc>
        <w:tc>
          <w:tcPr>
            <w:tcW w:w="1001" w:type="pct"/>
            <w:gridSpan w:val="2"/>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3F" w14:textId="77777777" w:rsidR="00DF6F04" w:rsidRPr="00E35F96" w:rsidRDefault="00DF6F04" w:rsidP="00E03107">
            <w:pPr>
              <w:rPr>
                <w:rFonts w:ascii="Arial" w:hAnsi="Arial" w:cs="Arial"/>
                <w:color w:val="000000"/>
                <w:sz w:val="16"/>
                <w:szCs w:val="16"/>
              </w:rPr>
            </w:pPr>
            <w:r w:rsidRPr="00E35F96">
              <w:rPr>
                <w:rFonts w:ascii="Arial" w:hAnsi="Arial" w:cs="Arial"/>
                <w:color w:val="000000"/>
                <w:sz w:val="16"/>
                <w:szCs w:val="16"/>
              </w:rPr>
              <w:t xml:space="preserve">Risk Reviewed </w:t>
            </w:r>
            <w:r w:rsidR="00AF5822" w:rsidRPr="00E35F96">
              <w:rPr>
                <w:rFonts w:ascii="Arial" w:hAnsi="Arial" w:cs="Arial"/>
                <w:color w:val="000000"/>
                <w:sz w:val="16"/>
                <w:szCs w:val="16"/>
              </w:rPr>
              <w:t>April 201</w:t>
            </w:r>
            <w:r w:rsidR="00C53854" w:rsidRPr="00E35F96">
              <w:rPr>
                <w:rFonts w:ascii="Arial" w:hAnsi="Arial" w:cs="Arial"/>
                <w:color w:val="000000"/>
                <w:sz w:val="16"/>
                <w:szCs w:val="16"/>
              </w:rPr>
              <w:t>8</w:t>
            </w:r>
          </w:p>
        </w:tc>
      </w:tr>
      <w:tr w:rsidR="00DF6F04" w:rsidRPr="00227E88" w14:paraId="6D163F48" w14:textId="77777777" w:rsidTr="00C53854">
        <w:tc>
          <w:tcPr>
            <w:tcW w:w="0" w:type="auto"/>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41"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262"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42"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1873"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43"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65"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44"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984"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45"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33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46"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c>
          <w:tcPr>
            <w:tcW w:w="671" w:type="pct"/>
            <w:tcBorders>
              <w:top w:val="single" w:sz="2" w:space="0" w:color="FFFFFF"/>
              <w:left w:val="single" w:sz="2" w:space="0" w:color="FFFFFF"/>
              <w:bottom w:val="single" w:sz="2" w:space="0" w:color="FFFFFF"/>
              <w:right w:val="single" w:sz="2" w:space="0" w:color="FFFFFF"/>
            </w:tcBorders>
            <w:shd w:val="clear" w:color="auto" w:fill="FFFFFF"/>
            <w:tcMar>
              <w:top w:w="24" w:type="dxa"/>
              <w:left w:w="120" w:type="dxa"/>
              <w:bottom w:w="24" w:type="dxa"/>
              <w:right w:w="120" w:type="dxa"/>
            </w:tcMar>
            <w:vAlign w:val="center"/>
          </w:tcPr>
          <w:p w14:paraId="6D163F47" w14:textId="77777777" w:rsidR="00DF6F04" w:rsidRPr="00E35F96" w:rsidRDefault="00DF6F04" w:rsidP="00E03107">
            <w:pPr>
              <w:jc w:val="right"/>
              <w:rPr>
                <w:rFonts w:ascii="Arial" w:hAnsi="Arial" w:cs="Arial"/>
                <w:color w:val="FFFFFF"/>
                <w:sz w:val="16"/>
                <w:szCs w:val="16"/>
              </w:rPr>
            </w:pPr>
            <w:r w:rsidRPr="00E35F96">
              <w:rPr>
                <w:rFonts w:ascii="Arial" w:hAnsi="Arial" w:cs="Arial"/>
                <w:color w:val="FFFFFF"/>
                <w:sz w:val="16"/>
                <w:szCs w:val="16"/>
              </w:rPr>
              <w:t xml:space="preserve">  </w:t>
            </w:r>
          </w:p>
        </w:tc>
      </w:tr>
      <w:tr w:rsidR="00DF6F04" w:rsidRPr="00227E88" w14:paraId="6D163F4F" w14:textId="77777777" w:rsidTr="00C53854">
        <w:tc>
          <w:tcPr>
            <w:tcW w:w="477" w:type="pct"/>
            <w:gridSpan w:val="2"/>
            <w:tcBorders>
              <w:top w:val="single" w:sz="6" w:space="0" w:color="78786E"/>
              <w:left w:val="single" w:sz="6" w:space="0" w:color="78786E"/>
              <w:bottom w:val="single" w:sz="6" w:space="0" w:color="78786E"/>
              <w:right w:val="single" w:sz="6" w:space="0" w:color="78786E"/>
            </w:tcBorders>
            <w:shd w:val="clear" w:color="auto" w:fill="CCCCCC"/>
            <w:vAlign w:val="center"/>
          </w:tcPr>
          <w:p w14:paraId="6D163F49"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Title </w:t>
            </w:r>
          </w:p>
        </w:tc>
        <w:tc>
          <w:tcPr>
            <w:tcW w:w="1873"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4A"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Description </w:t>
            </w:r>
          </w:p>
        </w:tc>
        <w:tc>
          <w:tcPr>
            <w:tcW w:w="665"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4B"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Responsible Officer </w:t>
            </w:r>
          </w:p>
        </w:tc>
        <w:tc>
          <w:tcPr>
            <w:tcW w:w="984"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4C"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Manager </w:t>
            </w:r>
          </w:p>
        </w:tc>
        <w:tc>
          <w:tcPr>
            <w:tcW w:w="33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4D"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Due Date </w:t>
            </w:r>
          </w:p>
        </w:tc>
        <w:tc>
          <w:tcPr>
            <w:tcW w:w="671" w:type="pct"/>
            <w:tcBorders>
              <w:top w:val="single" w:sz="6" w:space="0" w:color="78786E"/>
              <w:left w:val="single" w:sz="6" w:space="0" w:color="78786E"/>
              <w:bottom w:val="single" w:sz="6" w:space="0" w:color="78786E"/>
              <w:right w:val="single" w:sz="6" w:space="0" w:color="78786E"/>
            </w:tcBorders>
            <w:shd w:val="clear" w:color="auto" w:fill="CCCCCC"/>
            <w:tcMar>
              <w:top w:w="24" w:type="dxa"/>
              <w:left w:w="120" w:type="dxa"/>
              <w:bottom w:w="24" w:type="dxa"/>
              <w:right w:w="120" w:type="dxa"/>
            </w:tcMar>
            <w:vAlign w:val="center"/>
          </w:tcPr>
          <w:p w14:paraId="6D163F4E" w14:textId="77777777" w:rsidR="00DF6F04" w:rsidRPr="00E35F96" w:rsidRDefault="00DF6F04" w:rsidP="00E03107">
            <w:pPr>
              <w:rPr>
                <w:rFonts w:ascii="Arial" w:hAnsi="Arial" w:cs="Arial"/>
                <w:b/>
                <w:bCs/>
                <w:color w:val="000000"/>
                <w:sz w:val="16"/>
                <w:szCs w:val="16"/>
              </w:rPr>
            </w:pPr>
            <w:r w:rsidRPr="00E35F96">
              <w:rPr>
                <w:rFonts w:ascii="Arial" w:hAnsi="Arial" w:cs="Arial"/>
                <w:b/>
                <w:bCs/>
                <w:color w:val="000000"/>
                <w:sz w:val="16"/>
                <w:szCs w:val="16"/>
              </w:rPr>
              <w:t xml:space="preserve">Control - Latest Note </w:t>
            </w:r>
          </w:p>
        </w:tc>
      </w:tr>
      <w:tr w:rsidR="00C53854" w:rsidRPr="00227E88" w14:paraId="6D163F57" w14:textId="77777777" w:rsidTr="00C53854">
        <w:tc>
          <w:tcPr>
            <w:tcW w:w="47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F50"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Internal Fraud A – Policies and Procedures</w:t>
            </w:r>
          </w:p>
        </w:tc>
        <w:tc>
          <w:tcPr>
            <w:tcW w:w="187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Detailed policies and procedures and internal controls to ensure segregation of duties for key roles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2" w14:textId="77777777" w:rsidR="00C53854" w:rsidRPr="00E35F96" w:rsidRDefault="00C53854" w:rsidP="00C53854">
            <w:pPr>
              <w:rPr>
                <w:rFonts w:ascii="Arial" w:hAnsi="Arial" w:cs="Arial"/>
                <w:color w:val="000000"/>
                <w:sz w:val="16"/>
                <w:szCs w:val="16"/>
              </w:rPr>
            </w:pPr>
          </w:p>
          <w:p w14:paraId="6D163F5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4" w14:textId="6FBE5DAA" w:rsidR="00C53854" w:rsidRPr="00E35F96" w:rsidRDefault="009D6336" w:rsidP="00C53854">
            <w:pPr>
              <w:rPr>
                <w:rFonts w:ascii="Arial" w:hAnsi="Arial" w:cs="Arial"/>
                <w:color w:val="000000"/>
                <w:sz w:val="16"/>
                <w:szCs w:val="16"/>
              </w:rPr>
            </w:pPr>
            <w:r>
              <w:rPr>
                <w:rFonts w:ascii="Arial" w:hAnsi="Arial" w:cs="Arial"/>
                <w:color w:val="000000"/>
                <w:sz w:val="16"/>
                <w:szCs w:val="16"/>
              </w:rPr>
              <w:t>Philip Gregory</w:t>
            </w:r>
          </w:p>
        </w:tc>
        <w:tc>
          <w:tcPr>
            <w:tcW w:w="3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5" w14:textId="751C3E29"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835E5D">
              <w:rPr>
                <w:rFonts w:ascii="Arial" w:hAnsi="Arial" w:cs="Arial"/>
                <w:color w:val="000000"/>
                <w:sz w:val="16"/>
                <w:szCs w:val="16"/>
              </w:rPr>
              <w:t>21</w:t>
            </w:r>
          </w:p>
        </w:tc>
        <w:tc>
          <w:tcPr>
            <w:tcW w:w="67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F5F" w14:textId="77777777" w:rsidTr="00C53854">
        <w:tc>
          <w:tcPr>
            <w:tcW w:w="47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F58"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Internal Fraud B – Internal Audit</w:t>
            </w:r>
          </w:p>
        </w:tc>
        <w:tc>
          <w:tcPr>
            <w:tcW w:w="187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9"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Treasury and Pensions is subject to internal audit scrutiny on an annual basis with different areas being tested to ensure compliance.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A" w14:textId="77777777" w:rsidR="00C53854" w:rsidRPr="00E35F96" w:rsidRDefault="00C53854" w:rsidP="00C53854">
            <w:pPr>
              <w:rPr>
                <w:rFonts w:ascii="Arial" w:hAnsi="Arial" w:cs="Arial"/>
                <w:color w:val="000000"/>
                <w:sz w:val="16"/>
                <w:szCs w:val="16"/>
              </w:rPr>
            </w:pPr>
          </w:p>
          <w:p w14:paraId="6D163F5B"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C" w14:textId="5789B164" w:rsidR="00C53854" w:rsidRPr="00E35F96" w:rsidRDefault="009D6336" w:rsidP="00C53854">
            <w:pPr>
              <w:rPr>
                <w:rFonts w:ascii="Arial" w:hAnsi="Arial" w:cs="Arial"/>
                <w:color w:val="000000"/>
                <w:sz w:val="16"/>
                <w:szCs w:val="16"/>
              </w:rPr>
            </w:pPr>
            <w:r>
              <w:rPr>
                <w:rFonts w:ascii="Arial" w:hAnsi="Arial" w:cs="Arial"/>
                <w:color w:val="000000"/>
                <w:sz w:val="16"/>
                <w:szCs w:val="16"/>
              </w:rPr>
              <w:t>Philip Gregory</w:t>
            </w:r>
          </w:p>
        </w:tc>
        <w:tc>
          <w:tcPr>
            <w:tcW w:w="3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D" w14:textId="586724F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835E5D">
              <w:rPr>
                <w:rFonts w:ascii="Arial" w:hAnsi="Arial" w:cs="Arial"/>
                <w:color w:val="000000"/>
                <w:sz w:val="16"/>
                <w:szCs w:val="16"/>
              </w:rPr>
              <w:t>21</w:t>
            </w:r>
          </w:p>
        </w:tc>
        <w:tc>
          <w:tcPr>
            <w:tcW w:w="67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5E"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r w:rsidR="00C53854" w:rsidRPr="00227E88" w14:paraId="6D163F67" w14:textId="77777777" w:rsidTr="00C53854">
        <w:tc>
          <w:tcPr>
            <w:tcW w:w="477" w:type="pct"/>
            <w:gridSpan w:val="2"/>
            <w:tcBorders>
              <w:top w:val="single" w:sz="6" w:space="0" w:color="78786E"/>
              <w:left w:val="single" w:sz="6" w:space="0" w:color="78786E"/>
              <w:bottom w:val="single" w:sz="6" w:space="0" w:color="78786E"/>
              <w:right w:val="single" w:sz="6" w:space="0" w:color="78786E"/>
            </w:tcBorders>
            <w:shd w:val="clear" w:color="auto" w:fill="FFFFFF"/>
            <w:vAlign w:val="center"/>
          </w:tcPr>
          <w:p w14:paraId="6D163F60"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Internal Fraud C – External Audit</w:t>
            </w:r>
          </w:p>
        </w:tc>
        <w:tc>
          <w:tcPr>
            <w:tcW w:w="1873"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61"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All aspects of the work of Treasury and Pensions are subject to annual external audit covered by the audit of the Financial Statements with the Pension Fund also being subject to a separate audit opinion </w:t>
            </w:r>
          </w:p>
        </w:tc>
        <w:tc>
          <w:tcPr>
            <w:tcW w:w="665"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62" w14:textId="77777777" w:rsidR="00C53854" w:rsidRPr="00E35F96" w:rsidRDefault="00C53854" w:rsidP="00C53854">
            <w:pPr>
              <w:rPr>
                <w:rFonts w:ascii="Arial" w:hAnsi="Arial" w:cs="Arial"/>
                <w:color w:val="000000"/>
                <w:sz w:val="16"/>
                <w:szCs w:val="16"/>
              </w:rPr>
            </w:pPr>
          </w:p>
          <w:p w14:paraId="6D163F63"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 xml:space="preserve">David Dickinson </w:t>
            </w:r>
          </w:p>
        </w:tc>
        <w:tc>
          <w:tcPr>
            <w:tcW w:w="984"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64" w14:textId="0801F731" w:rsidR="00C53854" w:rsidRPr="00E35F96" w:rsidRDefault="009D6336" w:rsidP="00C53854">
            <w:pPr>
              <w:rPr>
                <w:rFonts w:ascii="Arial" w:hAnsi="Arial" w:cs="Arial"/>
                <w:color w:val="000000"/>
                <w:sz w:val="16"/>
                <w:szCs w:val="16"/>
              </w:rPr>
            </w:pPr>
            <w:r>
              <w:rPr>
                <w:rFonts w:ascii="Arial" w:hAnsi="Arial" w:cs="Arial"/>
                <w:color w:val="000000"/>
                <w:sz w:val="16"/>
                <w:szCs w:val="16"/>
              </w:rPr>
              <w:t>Philip Gregory</w:t>
            </w:r>
          </w:p>
        </w:tc>
        <w:tc>
          <w:tcPr>
            <w:tcW w:w="33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65" w14:textId="4E74D603"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30 June 20</w:t>
            </w:r>
            <w:r w:rsidR="00835E5D">
              <w:rPr>
                <w:rFonts w:ascii="Arial" w:hAnsi="Arial" w:cs="Arial"/>
                <w:color w:val="000000"/>
                <w:sz w:val="16"/>
                <w:szCs w:val="16"/>
              </w:rPr>
              <w:t>21</w:t>
            </w:r>
          </w:p>
        </w:tc>
        <w:tc>
          <w:tcPr>
            <w:tcW w:w="671" w:type="pct"/>
            <w:tcBorders>
              <w:top w:val="single" w:sz="6" w:space="0" w:color="78786E"/>
              <w:left w:val="single" w:sz="6" w:space="0" w:color="78786E"/>
              <w:bottom w:val="single" w:sz="6" w:space="0" w:color="78786E"/>
              <w:right w:val="single" w:sz="6" w:space="0" w:color="78786E"/>
            </w:tcBorders>
            <w:shd w:val="clear" w:color="auto" w:fill="FFFFFF"/>
            <w:tcMar>
              <w:top w:w="24" w:type="dxa"/>
              <w:left w:w="120" w:type="dxa"/>
              <w:bottom w:w="24" w:type="dxa"/>
              <w:right w:w="120" w:type="dxa"/>
            </w:tcMar>
            <w:vAlign w:val="center"/>
          </w:tcPr>
          <w:p w14:paraId="6D163F66" w14:textId="77777777" w:rsidR="00C53854" w:rsidRPr="00E35F96" w:rsidRDefault="00C53854" w:rsidP="00C53854">
            <w:pPr>
              <w:rPr>
                <w:rFonts w:ascii="Arial" w:hAnsi="Arial" w:cs="Arial"/>
                <w:color w:val="000000"/>
                <w:sz w:val="16"/>
                <w:szCs w:val="16"/>
              </w:rPr>
            </w:pPr>
            <w:r w:rsidRPr="00E35F96">
              <w:rPr>
                <w:rFonts w:ascii="Arial" w:hAnsi="Arial" w:cs="Arial"/>
                <w:color w:val="000000"/>
                <w:sz w:val="16"/>
                <w:szCs w:val="16"/>
              </w:rPr>
              <w:t>Reviewed August 2018 - ongoing</w:t>
            </w:r>
          </w:p>
        </w:tc>
      </w:tr>
    </w:tbl>
    <w:p w14:paraId="6D163F68" w14:textId="77777777" w:rsidR="00DF6F04" w:rsidRPr="00E35F96" w:rsidRDefault="00DF6F04" w:rsidP="00DF6F04">
      <w:pPr>
        <w:rPr>
          <w:rFonts w:ascii="Arial" w:hAnsi="Arial" w:cs="Arial"/>
        </w:rPr>
      </w:pPr>
    </w:p>
    <w:p w14:paraId="6D163F69" w14:textId="77777777" w:rsidR="00DF6F04" w:rsidRPr="00E35F96" w:rsidRDefault="00DF6F04" w:rsidP="00DF6F04">
      <w:pPr>
        <w:rPr>
          <w:rFonts w:ascii="Arial" w:hAnsi="Arial" w:cs="Arial"/>
        </w:rPr>
      </w:pPr>
    </w:p>
    <w:p w14:paraId="6D163F6A" w14:textId="77777777" w:rsidR="004864DC" w:rsidRPr="00E35F96" w:rsidRDefault="004864DC">
      <w:pPr>
        <w:spacing w:after="200" w:line="276" w:lineRule="auto"/>
        <w:rPr>
          <w:rFonts w:ascii="Arial" w:hAnsi="Arial" w:cs="Arial"/>
          <w:b/>
          <w:bCs/>
          <w:color w:val="000000"/>
          <w:sz w:val="32"/>
          <w:szCs w:val="32"/>
        </w:rPr>
      </w:pPr>
      <w:r w:rsidRPr="00E35F96">
        <w:rPr>
          <w:rFonts w:ascii="Arial" w:hAnsi="Arial" w:cs="Arial"/>
          <w:b/>
          <w:bCs/>
          <w:color w:val="000000"/>
          <w:sz w:val="32"/>
          <w:szCs w:val="32"/>
        </w:rPr>
        <w:br w:type="page"/>
      </w:r>
    </w:p>
    <w:bookmarkEnd w:id="34"/>
    <w:p w14:paraId="6D163F6B" w14:textId="77777777" w:rsidR="004864DC" w:rsidRPr="00227E88" w:rsidRDefault="004864DC" w:rsidP="004864DC">
      <w:pPr>
        <w:ind w:left="720"/>
        <w:rPr>
          <w:rFonts w:ascii="Arial" w:hAnsi="Arial" w:cs="Arial"/>
          <w:b/>
        </w:rPr>
      </w:pPr>
      <w:r w:rsidRPr="00227E88">
        <w:rPr>
          <w:rFonts w:ascii="Arial" w:hAnsi="Arial" w:cs="Arial"/>
          <w:b/>
        </w:rPr>
        <w:t>Appendix 7: Pension Board Terms of Reference</w:t>
      </w:r>
    </w:p>
    <w:p w14:paraId="6D163F6C" w14:textId="77777777" w:rsidR="004864DC" w:rsidRPr="00227E88" w:rsidRDefault="004864DC" w:rsidP="004864DC">
      <w:pPr>
        <w:ind w:left="720"/>
        <w:jc w:val="right"/>
        <w:rPr>
          <w:rFonts w:ascii="Arial" w:hAnsi="Arial" w:cs="Arial"/>
          <w:b/>
          <w:sz w:val="32"/>
          <w:szCs w:val="32"/>
        </w:rPr>
      </w:pPr>
    </w:p>
    <w:p w14:paraId="6D163F6D" w14:textId="77777777" w:rsidR="004864DC" w:rsidRPr="00227E88" w:rsidRDefault="004864DC" w:rsidP="004864DC">
      <w:pPr>
        <w:ind w:left="720"/>
        <w:jc w:val="both"/>
        <w:rPr>
          <w:rFonts w:ascii="Arial" w:hAnsi="Arial" w:cs="Arial"/>
          <w:b/>
          <w:sz w:val="32"/>
          <w:szCs w:val="32"/>
        </w:rPr>
      </w:pPr>
    </w:p>
    <w:p w14:paraId="6D163F6E" w14:textId="519EB8CE" w:rsidR="004864DC" w:rsidRPr="00227E88" w:rsidRDefault="004864DC" w:rsidP="004864DC">
      <w:pPr>
        <w:autoSpaceDE w:val="0"/>
        <w:autoSpaceDN w:val="0"/>
        <w:adjustRightInd w:val="0"/>
        <w:jc w:val="center"/>
        <w:rPr>
          <w:rFonts w:ascii="Arial" w:hAnsi="Arial" w:cs="Arial"/>
          <w:b/>
          <w:bCs/>
          <w:color w:val="A60021"/>
          <w:sz w:val="40"/>
          <w:szCs w:val="40"/>
        </w:rPr>
      </w:pPr>
      <w:r w:rsidRPr="00E35F96">
        <w:rPr>
          <w:rFonts w:ascii="Arial" w:hAnsi="Arial" w:cs="Arial"/>
          <w:b/>
          <w:bCs/>
          <w:noProof/>
          <w:color w:val="A60021"/>
          <w:sz w:val="40"/>
          <w:szCs w:val="40"/>
        </w:rPr>
        <w:drawing>
          <wp:inline distT="0" distB="0" distL="0" distR="0" wp14:anchorId="6D1640BC" wp14:editId="6D1640BD">
            <wp:extent cx="3162742" cy="1416818"/>
            <wp:effectExtent l="19050" t="0" r="0" b="0"/>
            <wp:docPr id="3" name="Picture 2" descr="C:\Users\adawson\AppData\Local\Microsoft\Windows\Temporary Internet Files\Content.Outlook\XZ7REWA0\LBBD_New2014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awson\AppData\Local\Microsoft\Windows\Temporary Internet Files\Content.Outlook\XZ7REWA0\LBBD_New2014_RGB.jpg"/>
                    <pic:cNvPicPr>
                      <a:picLocks noChangeAspect="1" noChangeArrowheads="1"/>
                    </pic:cNvPicPr>
                  </pic:nvPicPr>
                  <pic:blipFill>
                    <a:blip r:embed="rId68" cstate="print"/>
                    <a:srcRect/>
                    <a:stretch>
                      <a:fillRect/>
                    </a:stretch>
                  </pic:blipFill>
                  <pic:spPr bwMode="auto">
                    <a:xfrm>
                      <a:off x="0" y="0"/>
                      <a:ext cx="3183649" cy="1426184"/>
                    </a:xfrm>
                    <a:prstGeom prst="rect">
                      <a:avLst/>
                    </a:prstGeom>
                    <a:noFill/>
                    <a:ln w="9525">
                      <a:noFill/>
                      <a:miter lim="800000"/>
                      <a:headEnd/>
                      <a:tailEnd/>
                    </a:ln>
                  </pic:spPr>
                </pic:pic>
              </a:graphicData>
            </a:graphic>
          </wp:inline>
        </w:drawing>
      </w:r>
    </w:p>
    <w:p w14:paraId="6D163F6F" w14:textId="77777777" w:rsidR="004864DC" w:rsidRPr="00227E88" w:rsidRDefault="004864DC" w:rsidP="004864DC">
      <w:pPr>
        <w:autoSpaceDE w:val="0"/>
        <w:autoSpaceDN w:val="0"/>
        <w:adjustRightInd w:val="0"/>
        <w:rPr>
          <w:rFonts w:ascii="Arial" w:hAnsi="Arial" w:cs="Arial"/>
          <w:b/>
          <w:bCs/>
          <w:color w:val="A60021"/>
          <w:sz w:val="40"/>
          <w:szCs w:val="40"/>
        </w:rPr>
      </w:pPr>
    </w:p>
    <w:p w14:paraId="6D163F70" w14:textId="77777777" w:rsidR="004864DC" w:rsidRPr="00227E88" w:rsidRDefault="004864DC" w:rsidP="004864DC">
      <w:pPr>
        <w:autoSpaceDE w:val="0"/>
        <w:autoSpaceDN w:val="0"/>
        <w:adjustRightInd w:val="0"/>
        <w:jc w:val="center"/>
        <w:rPr>
          <w:rFonts w:ascii="Arial" w:hAnsi="Arial" w:cs="Arial"/>
          <w:b/>
          <w:bCs/>
          <w:color w:val="A60021"/>
          <w:sz w:val="56"/>
          <w:szCs w:val="56"/>
        </w:rPr>
      </w:pPr>
    </w:p>
    <w:p w14:paraId="6D163F71" w14:textId="77777777" w:rsidR="004864DC" w:rsidRPr="00227E88" w:rsidRDefault="004864DC" w:rsidP="004864DC">
      <w:pPr>
        <w:autoSpaceDE w:val="0"/>
        <w:autoSpaceDN w:val="0"/>
        <w:adjustRightInd w:val="0"/>
        <w:rPr>
          <w:rFonts w:ascii="Arial" w:hAnsi="Arial" w:cs="Arial"/>
          <w:b/>
          <w:bCs/>
          <w:color w:val="A60021"/>
          <w:sz w:val="56"/>
          <w:szCs w:val="56"/>
        </w:rPr>
      </w:pPr>
    </w:p>
    <w:p w14:paraId="6D163F72" w14:textId="77777777" w:rsidR="004864DC" w:rsidRPr="00227E88" w:rsidRDefault="004864DC" w:rsidP="004864DC">
      <w:pPr>
        <w:pStyle w:val="ListParagraph"/>
        <w:tabs>
          <w:tab w:val="left" w:pos="426"/>
        </w:tabs>
        <w:ind w:left="360"/>
        <w:jc w:val="center"/>
        <w:rPr>
          <w:rFonts w:ascii="Arial" w:hAnsi="Arial" w:cs="Arial"/>
          <w:b/>
          <w:bCs/>
          <w:color w:val="A20000"/>
          <w:sz w:val="52"/>
          <w:szCs w:val="52"/>
        </w:rPr>
      </w:pPr>
      <w:r w:rsidRPr="00227E88">
        <w:rPr>
          <w:rFonts w:ascii="Arial" w:hAnsi="Arial" w:cs="Arial"/>
          <w:b/>
          <w:bCs/>
          <w:color w:val="A20000"/>
          <w:sz w:val="52"/>
          <w:szCs w:val="52"/>
        </w:rPr>
        <w:t xml:space="preserve">Pension Board </w:t>
      </w:r>
    </w:p>
    <w:p w14:paraId="6D163F73" w14:textId="77777777" w:rsidR="004864DC" w:rsidRPr="00227E88" w:rsidRDefault="004864DC" w:rsidP="004864DC">
      <w:pPr>
        <w:pStyle w:val="ListParagraph"/>
        <w:tabs>
          <w:tab w:val="left" w:pos="426"/>
        </w:tabs>
        <w:ind w:left="360"/>
        <w:jc w:val="center"/>
        <w:rPr>
          <w:rFonts w:ascii="Arial" w:hAnsi="Arial" w:cs="Arial"/>
          <w:b/>
          <w:bCs/>
          <w:color w:val="A20000"/>
          <w:sz w:val="52"/>
          <w:szCs w:val="52"/>
        </w:rPr>
      </w:pPr>
      <w:r w:rsidRPr="00227E88">
        <w:rPr>
          <w:rFonts w:ascii="Arial" w:hAnsi="Arial" w:cs="Arial"/>
          <w:b/>
          <w:bCs/>
          <w:color w:val="A20000"/>
          <w:sz w:val="52"/>
          <w:szCs w:val="52"/>
        </w:rPr>
        <w:t>Terms of Reference</w:t>
      </w:r>
    </w:p>
    <w:p w14:paraId="6D163F74" w14:textId="77777777" w:rsidR="004864DC" w:rsidRPr="00227E88" w:rsidRDefault="004864DC" w:rsidP="004864DC">
      <w:pPr>
        <w:spacing w:after="200" w:line="276" w:lineRule="auto"/>
        <w:rPr>
          <w:rFonts w:ascii="Arial" w:hAnsi="Arial" w:cs="Arial"/>
          <w:b/>
          <w:sz w:val="28"/>
          <w:szCs w:val="28"/>
        </w:rPr>
      </w:pPr>
      <w:r w:rsidRPr="00227E88">
        <w:rPr>
          <w:rFonts w:ascii="Arial" w:hAnsi="Arial" w:cs="Arial"/>
          <w:b/>
          <w:sz w:val="28"/>
          <w:szCs w:val="28"/>
        </w:rPr>
        <w:br w:type="page"/>
      </w:r>
    </w:p>
    <w:p w14:paraId="6D163F75" w14:textId="77777777" w:rsidR="004864DC" w:rsidRPr="00227E88" w:rsidRDefault="004864DC" w:rsidP="004864DC">
      <w:pPr>
        <w:ind w:left="-142" w:right="-23"/>
        <w:jc w:val="center"/>
        <w:rPr>
          <w:rFonts w:ascii="Arial" w:hAnsi="Arial" w:cs="Arial"/>
          <w:b/>
          <w:sz w:val="28"/>
          <w:szCs w:val="28"/>
        </w:rPr>
      </w:pPr>
      <w:r w:rsidRPr="00227E88">
        <w:rPr>
          <w:rFonts w:ascii="Arial" w:hAnsi="Arial" w:cs="Arial"/>
          <w:b/>
          <w:sz w:val="28"/>
          <w:szCs w:val="28"/>
        </w:rPr>
        <w:t xml:space="preserve">London Borough of Barking and Dagenham </w:t>
      </w:r>
    </w:p>
    <w:p w14:paraId="6D163F76" w14:textId="77777777" w:rsidR="004864DC" w:rsidRPr="00227E88" w:rsidRDefault="004864DC" w:rsidP="004864DC">
      <w:pPr>
        <w:ind w:left="-142" w:right="-23"/>
        <w:jc w:val="center"/>
        <w:rPr>
          <w:rFonts w:ascii="Arial" w:hAnsi="Arial" w:cs="Arial"/>
          <w:b/>
          <w:sz w:val="28"/>
          <w:szCs w:val="28"/>
        </w:rPr>
      </w:pPr>
      <w:r w:rsidRPr="00227E88">
        <w:rPr>
          <w:rFonts w:ascii="Arial" w:hAnsi="Arial" w:cs="Arial"/>
          <w:b/>
          <w:sz w:val="28"/>
          <w:szCs w:val="28"/>
        </w:rPr>
        <w:t>Pension Board Terms of Reference</w:t>
      </w:r>
    </w:p>
    <w:p w14:paraId="6D163F77" w14:textId="77777777" w:rsidR="004864DC" w:rsidRPr="00227E88" w:rsidRDefault="004864DC" w:rsidP="004864DC">
      <w:pPr>
        <w:ind w:left="425" w:right="-23" w:hanging="426"/>
        <w:jc w:val="both"/>
        <w:rPr>
          <w:rFonts w:ascii="Arial" w:hAnsi="Arial" w:cs="Arial"/>
        </w:rPr>
      </w:pPr>
    </w:p>
    <w:p w14:paraId="6D163F78" w14:textId="77777777" w:rsidR="004864DC" w:rsidRPr="00227E88" w:rsidRDefault="004864DC" w:rsidP="007337FE">
      <w:pPr>
        <w:pStyle w:val="ListParagraph"/>
        <w:numPr>
          <w:ilvl w:val="0"/>
          <w:numId w:val="62"/>
        </w:numPr>
        <w:spacing w:after="0" w:line="240" w:lineRule="auto"/>
        <w:ind w:left="567" w:right="-23" w:hanging="567"/>
        <w:jc w:val="both"/>
        <w:rPr>
          <w:rFonts w:ascii="Arial" w:hAnsi="Arial" w:cs="Arial"/>
          <w:b/>
          <w:sz w:val="24"/>
          <w:szCs w:val="24"/>
        </w:rPr>
      </w:pPr>
      <w:r w:rsidRPr="00227E88">
        <w:rPr>
          <w:rFonts w:ascii="Arial" w:hAnsi="Arial" w:cs="Arial"/>
          <w:b/>
          <w:sz w:val="24"/>
          <w:szCs w:val="24"/>
        </w:rPr>
        <w:t>Introduction</w:t>
      </w:r>
    </w:p>
    <w:p w14:paraId="6D163F79" w14:textId="77777777" w:rsidR="004864DC" w:rsidRPr="00227E88" w:rsidRDefault="004864DC" w:rsidP="004864DC">
      <w:pPr>
        <w:ind w:left="567" w:right="-23" w:hanging="567"/>
        <w:jc w:val="both"/>
        <w:rPr>
          <w:rFonts w:ascii="Arial" w:hAnsi="Arial" w:cs="Arial"/>
        </w:rPr>
      </w:pPr>
    </w:p>
    <w:p w14:paraId="6D163F7A" w14:textId="77777777" w:rsidR="004864DC" w:rsidRPr="00227E88" w:rsidRDefault="004864DC" w:rsidP="004864DC">
      <w:pPr>
        <w:pStyle w:val="Default"/>
        <w:tabs>
          <w:tab w:val="left" w:pos="426"/>
        </w:tabs>
        <w:ind w:left="567" w:right="-23" w:hanging="567"/>
        <w:jc w:val="both"/>
        <w:rPr>
          <w:color w:val="auto"/>
        </w:rPr>
      </w:pPr>
      <w:r w:rsidRPr="00227E88">
        <w:t>1.1</w:t>
      </w:r>
      <w:r w:rsidRPr="00227E88">
        <w:tab/>
      </w:r>
      <w:r w:rsidRPr="00227E88">
        <w:tab/>
      </w:r>
      <w:r w:rsidRPr="00227E88">
        <w:rPr>
          <w:color w:val="auto"/>
        </w:rPr>
        <w:t xml:space="preserve">This document sets out the terms of reference of the Local Pension Board (“the Board”) of </w:t>
      </w:r>
      <w:r w:rsidRPr="00227E88">
        <w:t xml:space="preserve">The London Borough of Barking and Dagenham (the 'Administering Authority') a scheme manager as defined under Section 4 </w:t>
      </w:r>
      <w:r w:rsidRPr="00227E88">
        <w:rPr>
          <w:color w:val="auto"/>
        </w:rPr>
        <w:t xml:space="preserve">of the Public Service Pensions Act 2013. The Board is established in accordance with Section 5 of that Act and under regulation 106 of the Local Government Pension Scheme Regulations 2013 (as amended). </w:t>
      </w:r>
    </w:p>
    <w:p w14:paraId="6D163F7B" w14:textId="77777777" w:rsidR="004864DC" w:rsidRPr="00227E88" w:rsidRDefault="004864DC" w:rsidP="004864DC">
      <w:pPr>
        <w:pStyle w:val="Default"/>
        <w:ind w:left="567" w:right="-23" w:hanging="567"/>
        <w:jc w:val="both"/>
        <w:rPr>
          <w:color w:val="auto"/>
        </w:rPr>
      </w:pPr>
    </w:p>
    <w:p w14:paraId="6D163F7C" w14:textId="77777777" w:rsidR="004864DC" w:rsidRPr="00227E88" w:rsidRDefault="004864DC" w:rsidP="004864DC">
      <w:pPr>
        <w:pStyle w:val="Default"/>
        <w:ind w:left="567" w:right="-23" w:hanging="567"/>
        <w:jc w:val="both"/>
        <w:rPr>
          <w:color w:val="auto"/>
        </w:rPr>
      </w:pPr>
      <w:r w:rsidRPr="00227E88">
        <w:t>1.2</w:t>
      </w:r>
      <w:r w:rsidRPr="00227E88">
        <w:tab/>
      </w:r>
      <w:r w:rsidRPr="00227E88">
        <w:rPr>
          <w:color w:val="auto"/>
        </w:rPr>
        <w:t xml:space="preserve">The Board is established by the Administering Authority and operates independently of the Pension </w:t>
      </w:r>
      <w:r w:rsidR="00D576F8" w:rsidRPr="00227E88">
        <w:rPr>
          <w:color w:val="auto"/>
        </w:rPr>
        <w:t>Committee</w:t>
      </w:r>
      <w:r w:rsidRPr="00227E88">
        <w:rPr>
          <w:color w:val="auto"/>
        </w:rPr>
        <w:t>. Relevant information about its creation and operation are contained in these Terms of Reference (“</w:t>
      </w:r>
      <w:proofErr w:type="spellStart"/>
      <w:r w:rsidRPr="00227E88">
        <w:rPr>
          <w:color w:val="auto"/>
        </w:rPr>
        <w:t>ToR</w:t>
      </w:r>
      <w:proofErr w:type="spellEnd"/>
      <w:r w:rsidRPr="00227E88">
        <w:rPr>
          <w:color w:val="auto"/>
        </w:rPr>
        <w:t>”).</w:t>
      </w:r>
    </w:p>
    <w:p w14:paraId="6D163F7D" w14:textId="77777777" w:rsidR="004864DC" w:rsidRPr="00227E88" w:rsidRDefault="004864DC" w:rsidP="004864DC">
      <w:pPr>
        <w:pStyle w:val="ListParagraph"/>
        <w:spacing w:after="0" w:line="240" w:lineRule="auto"/>
        <w:ind w:left="567" w:right="-23" w:hanging="567"/>
        <w:jc w:val="both"/>
        <w:rPr>
          <w:rFonts w:ascii="Arial" w:hAnsi="Arial" w:cs="Arial"/>
          <w:sz w:val="24"/>
          <w:szCs w:val="24"/>
        </w:rPr>
      </w:pPr>
    </w:p>
    <w:p w14:paraId="6D163F7E" w14:textId="77777777" w:rsidR="004864DC" w:rsidRPr="00227E88" w:rsidRDefault="004864DC" w:rsidP="004864DC">
      <w:pPr>
        <w:pStyle w:val="Default"/>
        <w:ind w:left="567" w:right="-23" w:hanging="567"/>
        <w:jc w:val="both"/>
        <w:rPr>
          <w:color w:val="auto"/>
        </w:rPr>
      </w:pPr>
      <w:r w:rsidRPr="00227E88">
        <w:t xml:space="preserve">1.3 </w:t>
      </w:r>
      <w:r w:rsidRPr="00227E88">
        <w:tab/>
      </w:r>
      <w:r w:rsidRPr="00227E88">
        <w:rPr>
          <w:color w:val="auto"/>
        </w:rPr>
        <w:t xml:space="preserve">The Board is not a committee constituted under Section 101 of the Local Government Act 1972 and therefore no general duties, responsibilities or powers assigned to such committees or to any sub-committees or officers under the constitution, standing orders or scheme of delegation of </w:t>
      </w:r>
      <w:r w:rsidRPr="00227E88">
        <w:t xml:space="preserve">the Administering Authority </w:t>
      </w:r>
      <w:r w:rsidRPr="00227E88">
        <w:rPr>
          <w:color w:val="auto"/>
        </w:rPr>
        <w:t xml:space="preserve">apply to the Board unless expressly included in this document. </w:t>
      </w:r>
    </w:p>
    <w:p w14:paraId="6D163F7F" w14:textId="77777777" w:rsidR="004864DC" w:rsidRPr="00227E88" w:rsidRDefault="004864DC" w:rsidP="004864DC">
      <w:pPr>
        <w:pStyle w:val="Default"/>
        <w:ind w:left="567" w:right="-23" w:hanging="567"/>
        <w:jc w:val="both"/>
        <w:rPr>
          <w:color w:val="auto"/>
        </w:rPr>
      </w:pPr>
    </w:p>
    <w:p w14:paraId="6D163F80" w14:textId="77777777" w:rsidR="004864DC" w:rsidRPr="00227E88" w:rsidRDefault="004864DC" w:rsidP="004864DC">
      <w:pPr>
        <w:pStyle w:val="Default"/>
        <w:ind w:left="567" w:right="-23" w:hanging="567"/>
        <w:jc w:val="both"/>
      </w:pPr>
      <w:r w:rsidRPr="00227E88">
        <w:rPr>
          <w:color w:val="auto"/>
        </w:rPr>
        <w:t>1.4</w:t>
      </w:r>
      <w:r w:rsidRPr="00227E88">
        <w:rPr>
          <w:color w:val="auto"/>
        </w:rPr>
        <w:tab/>
        <w:t>Except where approval has been granted under regulation 106(2) of the Regulations the Board shall be constituted separately from any committee or sub-committee constituted under Section 101 of the Local Government Act 1972 with delegated authority to execute the function of the Administering Authority.</w:t>
      </w:r>
    </w:p>
    <w:p w14:paraId="6D163F81" w14:textId="77777777" w:rsidR="004864DC" w:rsidRPr="00227E88" w:rsidRDefault="004864DC" w:rsidP="004864DC">
      <w:pPr>
        <w:pStyle w:val="Default"/>
        <w:ind w:left="567" w:right="-23" w:hanging="567"/>
        <w:jc w:val="both"/>
      </w:pPr>
    </w:p>
    <w:p w14:paraId="6D163F82" w14:textId="77777777" w:rsidR="004864DC" w:rsidRPr="00227E88" w:rsidRDefault="004864DC" w:rsidP="004864DC">
      <w:pPr>
        <w:pStyle w:val="Default"/>
        <w:ind w:left="567" w:right="-23" w:hanging="567"/>
        <w:jc w:val="both"/>
      </w:pPr>
      <w:r w:rsidRPr="00227E88">
        <w:t>1.5</w:t>
      </w:r>
      <w:r w:rsidRPr="00227E88">
        <w:tab/>
        <w:t xml:space="preserve">The Board is not a decision making body in relation to the management of the Pension Fund (“the Fund”). The Fund’s management powers and responsibilities will remain delegated to the Pension </w:t>
      </w:r>
      <w:r w:rsidR="00D576F8" w:rsidRPr="00227E88">
        <w:t>Committee</w:t>
      </w:r>
      <w:r w:rsidRPr="00227E88">
        <w:t xml:space="preserve"> (“the </w:t>
      </w:r>
      <w:r w:rsidR="00D576F8" w:rsidRPr="00227E88">
        <w:t>Committee</w:t>
      </w:r>
      <w:r w:rsidRPr="00227E88">
        <w:t xml:space="preserve">”). The Board will exercise its powers and duties in accordance with the law and this </w:t>
      </w:r>
      <w:proofErr w:type="spellStart"/>
      <w:r w:rsidRPr="00227E88">
        <w:t>ToR</w:t>
      </w:r>
      <w:proofErr w:type="spellEnd"/>
      <w:r w:rsidRPr="00227E88">
        <w:t>.</w:t>
      </w:r>
    </w:p>
    <w:p w14:paraId="6D163F83" w14:textId="77777777" w:rsidR="004864DC" w:rsidRPr="00227E88" w:rsidRDefault="004864DC" w:rsidP="004864DC">
      <w:pPr>
        <w:ind w:left="567" w:right="-23" w:hanging="567"/>
        <w:jc w:val="both"/>
        <w:rPr>
          <w:rFonts w:ascii="Arial" w:hAnsi="Arial" w:cs="Arial"/>
        </w:rPr>
      </w:pPr>
    </w:p>
    <w:p w14:paraId="6D163F84" w14:textId="77777777" w:rsidR="004864DC" w:rsidRPr="00227E88" w:rsidRDefault="004864DC" w:rsidP="007337FE">
      <w:pPr>
        <w:pStyle w:val="ListParagraph"/>
        <w:numPr>
          <w:ilvl w:val="0"/>
          <w:numId w:val="62"/>
        </w:numPr>
        <w:spacing w:after="0" w:line="240" w:lineRule="auto"/>
        <w:ind w:left="567" w:right="-23" w:hanging="567"/>
        <w:jc w:val="both"/>
        <w:rPr>
          <w:rFonts w:ascii="Arial" w:hAnsi="Arial" w:cs="Arial"/>
          <w:b/>
          <w:sz w:val="24"/>
          <w:szCs w:val="24"/>
        </w:rPr>
      </w:pPr>
      <w:r w:rsidRPr="00227E88">
        <w:rPr>
          <w:rFonts w:ascii="Arial" w:hAnsi="Arial" w:cs="Arial"/>
          <w:b/>
          <w:sz w:val="24"/>
          <w:szCs w:val="24"/>
        </w:rPr>
        <w:t>Role of the Pension Board</w:t>
      </w:r>
    </w:p>
    <w:p w14:paraId="6D163F85" w14:textId="77777777" w:rsidR="004864DC" w:rsidRPr="00227E88" w:rsidRDefault="004864DC" w:rsidP="004864DC">
      <w:pPr>
        <w:ind w:left="567" w:right="-23" w:hanging="567"/>
        <w:jc w:val="both"/>
        <w:rPr>
          <w:rFonts w:ascii="Arial" w:hAnsi="Arial" w:cs="Arial"/>
          <w:b/>
        </w:rPr>
      </w:pPr>
    </w:p>
    <w:p w14:paraId="6D163F86" w14:textId="77777777" w:rsidR="004864DC" w:rsidRPr="00227E88" w:rsidRDefault="004864DC" w:rsidP="004864DC">
      <w:pPr>
        <w:ind w:left="567" w:right="-23" w:hanging="567"/>
        <w:jc w:val="both"/>
        <w:rPr>
          <w:rFonts w:ascii="Arial" w:hAnsi="Arial" w:cs="Arial"/>
        </w:rPr>
      </w:pPr>
      <w:r w:rsidRPr="00227E88">
        <w:rPr>
          <w:rFonts w:ascii="Arial" w:hAnsi="Arial" w:cs="Arial"/>
        </w:rPr>
        <w:t>2.1</w:t>
      </w:r>
      <w:r w:rsidRPr="00227E88">
        <w:rPr>
          <w:rFonts w:ascii="Arial" w:hAnsi="Arial" w:cs="Arial"/>
        </w:rPr>
        <w:tab/>
        <w:t>The role of the Board is defined by regulation 106 (1) of the LGPS regulations as:</w:t>
      </w:r>
    </w:p>
    <w:p w14:paraId="6D163F87" w14:textId="77777777" w:rsidR="004864DC" w:rsidRPr="00227E88" w:rsidRDefault="004864DC" w:rsidP="004864DC">
      <w:pPr>
        <w:ind w:left="567" w:right="-23" w:hanging="567"/>
        <w:jc w:val="both"/>
        <w:rPr>
          <w:rFonts w:ascii="Arial" w:hAnsi="Arial" w:cs="Arial"/>
        </w:rPr>
      </w:pPr>
    </w:p>
    <w:p w14:paraId="6D163F88" w14:textId="77777777" w:rsidR="004864DC" w:rsidRPr="00227E88" w:rsidRDefault="004864DC" w:rsidP="007337FE">
      <w:pPr>
        <w:pStyle w:val="ListParagraph"/>
        <w:numPr>
          <w:ilvl w:val="0"/>
          <w:numId w:val="63"/>
        </w:numPr>
        <w:spacing w:after="0" w:line="240" w:lineRule="auto"/>
        <w:ind w:left="1134" w:right="-23" w:hanging="425"/>
        <w:jc w:val="both"/>
        <w:rPr>
          <w:rFonts w:ascii="Arial" w:hAnsi="Arial" w:cs="Arial"/>
          <w:sz w:val="24"/>
          <w:szCs w:val="24"/>
        </w:rPr>
      </w:pPr>
      <w:r w:rsidRPr="00227E88">
        <w:rPr>
          <w:rFonts w:ascii="Arial" w:hAnsi="Arial" w:cs="Arial"/>
          <w:sz w:val="24"/>
          <w:szCs w:val="24"/>
        </w:rPr>
        <w:t>to secure compliance with the LGPS Regulations and any other legislation relating to the governance and administration of the Scheme and requirements imposed in relation to the LGPS by the Pensions Regulator (“the PR”);</w:t>
      </w:r>
    </w:p>
    <w:p w14:paraId="6D163F89" w14:textId="77777777" w:rsidR="004864DC" w:rsidRPr="00227E88" w:rsidRDefault="004864DC" w:rsidP="004864DC">
      <w:pPr>
        <w:pStyle w:val="ListParagraph"/>
        <w:spacing w:after="0" w:line="240" w:lineRule="auto"/>
        <w:ind w:left="1134" w:right="-23" w:hanging="425"/>
        <w:jc w:val="both"/>
        <w:rPr>
          <w:rFonts w:ascii="Arial" w:hAnsi="Arial" w:cs="Arial"/>
          <w:sz w:val="16"/>
          <w:szCs w:val="16"/>
        </w:rPr>
      </w:pPr>
    </w:p>
    <w:p w14:paraId="6D163F8A" w14:textId="77777777" w:rsidR="004864DC" w:rsidRPr="00227E88" w:rsidRDefault="004864DC" w:rsidP="007337FE">
      <w:pPr>
        <w:pStyle w:val="ListParagraph"/>
        <w:numPr>
          <w:ilvl w:val="0"/>
          <w:numId w:val="63"/>
        </w:numPr>
        <w:spacing w:after="0" w:line="240" w:lineRule="auto"/>
        <w:ind w:left="1134" w:right="-23" w:hanging="425"/>
        <w:jc w:val="both"/>
        <w:rPr>
          <w:rFonts w:ascii="Arial" w:hAnsi="Arial" w:cs="Arial"/>
          <w:sz w:val="24"/>
          <w:szCs w:val="24"/>
        </w:rPr>
      </w:pPr>
      <w:r w:rsidRPr="00227E88">
        <w:rPr>
          <w:rFonts w:ascii="Arial" w:hAnsi="Arial" w:cs="Arial"/>
          <w:sz w:val="24"/>
          <w:szCs w:val="24"/>
        </w:rPr>
        <w:t xml:space="preserve">to ensure the effective and efficient governance and administration of the Fund. </w:t>
      </w:r>
    </w:p>
    <w:p w14:paraId="6D163F8B" w14:textId="77777777" w:rsidR="004864DC" w:rsidRPr="00227E88" w:rsidRDefault="004864DC" w:rsidP="004864DC">
      <w:pPr>
        <w:pStyle w:val="ListParagraph"/>
        <w:spacing w:after="0" w:line="240" w:lineRule="auto"/>
        <w:ind w:left="567" w:right="-23" w:hanging="567"/>
        <w:jc w:val="both"/>
        <w:rPr>
          <w:rFonts w:ascii="Arial" w:hAnsi="Arial" w:cs="Arial"/>
          <w:sz w:val="24"/>
          <w:szCs w:val="24"/>
        </w:rPr>
      </w:pPr>
    </w:p>
    <w:p w14:paraId="6D163F8C" w14:textId="77777777" w:rsidR="004864DC" w:rsidRPr="00227E88" w:rsidRDefault="004864DC" w:rsidP="004864DC">
      <w:pPr>
        <w:ind w:left="567" w:right="-23" w:hanging="567"/>
        <w:jc w:val="both"/>
        <w:rPr>
          <w:rFonts w:ascii="Arial" w:hAnsi="Arial" w:cs="Arial"/>
        </w:rPr>
      </w:pPr>
      <w:r w:rsidRPr="00227E88">
        <w:rPr>
          <w:rFonts w:ascii="Arial" w:hAnsi="Arial" w:cs="Arial"/>
        </w:rPr>
        <w:t>2.2</w:t>
      </w:r>
      <w:r w:rsidRPr="00227E88">
        <w:rPr>
          <w:rFonts w:ascii="Arial" w:hAnsi="Arial" w:cs="Arial"/>
        </w:rPr>
        <w:tab/>
        <w:t xml:space="preserve">The Council recognises that the Board’s main role will be that of having oversight of whether the aims and objectives outlined within the Fund's Governance and Administration strategies are being achieved; and having regard to any overriding requirements included within guidance from DCLG, and the Scheme Advisory Board. </w:t>
      </w:r>
    </w:p>
    <w:p w14:paraId="6D163F8D" w14:textId="77777777" w:rsidR="004864DC" w:rsidRPr="00227E88" w:rsidRDefault="004864DC" w:rsidP="004864DC">
      <w:pPr>
        <w:ind w:left="567" w:right="-23" w:hanging="567"/>
        <w:jc w:val="both"/>
        <w:rPr>
          <w:rFonts w:ascii="Arial" w:hAnsi="Arial" w:cs="Arial"/>
        </w:rPr>
      </w:pPr>
    </w:p>
    <w:p w14:paraId="6D163F8E" w14:textId="77777777" w:rsidR="004864DC" w:rsidRPr="00227E88" w:rsidRDefault="004864DC" w:rsidP="004864DC">
      <w:pPr>
        <w:ind w:left="567" w:right="-23" w:hanging="567"/>
        <w:jc w:val="both"/>
        <w:rPr>
          <w:rFonts w:ascii="Arial" w:hAnsi="Arial" w:cs="Arial"/>
        </w:rPr>
      </w:pPr>
      <w:r w:rsidRPr="00227E88">
        <w:rPr>
          <w:rFonts w:ascii="Arial" w:hAnsi="Arial" w:cs="Arial"/>
        </w:rPr>
        <w:t>2.3</w:t>
      </w:r>
      <w:r w:rsidRPr="00227E88">
        <w:rPr>
          <w:rFonts w:ascii="Arial" w:hAnsi="Arial" w:cs="Arial"/>
        </w:rPr>
        <w:tab/>
        <w:t xml:space="preserve">The Board will ensure that in performing their role it is done effectively and efficiently and complies with relevant legislation. In addition the Board shall have due regard for the Code of Practice on the governance and administration of LGPSs issued by the PR and any other relevant statutory or </w:t>
      </w:r>
      <w:proofErr w:type="spellStart"/>
      <w:r w:rsidRPr="00227E88">
        <w:rPr>
          <w:rFonts w:ascii="Arial" w:hAnsi="Arial" w:cs="Arial"/>
        </w:rPr>
        <w:t>nonstatutory</w:t>
      </w:r>
      <w:proofErr w:type="spellEnd"/>
      <w:r w:rsidRPr="00227E88">
        <w:rPr>
          <w:rFonts w:ascii="Arial" w:hAnsi="Arial" w:cs="Arial"/>
        </w:rPr>
        <w:t xml:space="preserve"> guidance.</w:t>
      </w:r>
    </w:p>
    <w:p w14:paraId="6D163F8F" w14:textId="77777777" w:rsidR="004864DC" w:rsidRPr="00227E88" w:rsidRDefault="004864DC" w:rsidP="004864DC">
      <w:pPr>
        <w:ind w:left="567" w:right="-23" w:hanging="567"/>
        <w:jc w:val="both"/>
        <w:rPr>
          <w:rFonts w:ascii="Arial" w:hAnsi="Arial" w:cs="Arial"/>
        </w:rPr>
      </w:pPr>
    </w:p>
    <w:p w14:paraId="6D163F90" w14:textId="77777777" w:rsidR="004864DC" w:rsidRPr="00227E88" w:rsidRDefault="004864DC" w:rsidP="004864DC">
      <w:pPr>
        <w:ind w:left="567" w:right="-23" w:hanging="567"/>
        <w:jc w:val="both"/>
        <w:rPr>
          <w:rFonts w:ascii="Arial" w:hAnsi="Arial" w:cs="Arial"/>
        </w:rPr>
      </w:pPr>
      <w:r w:rsidRPr="00227E88">
        <w:rPr>
          <w:rFonts w:ascii="Arial" w:hAnsi="Arial" w:cs="Arial"/>
        </w:rPr>
        <w:t>2.4</w:t>
      </w:r>
      <w:r w:rsidRPr="00227E88">
        <w:rPr>
          <w:rFonts w:ascii="Arial" w:hAnsi="Arial" w:cs="Arial"/>
        </w:rPr>
        <w:tab/>
        <w:t>The Board will follow the Aon Hewitt method for governance review including:</w:t>
      </w:r>
    </w:p>
    <w:p w14:paraId="6D163F91" w14:textId="77777777" w:rsidR="004864DC" w:rsidRPr="00227E88" w:rsidRDefault="004864DC" w:rsidP="004864DC">
      <w:pPr>
        <w:ind w:left="567" w:right="-23" w:hanging="567"/>
        <w:jc w:val="both"/>
        <w:rPr>
          <w:rFonts w:ascii="Arial" w:hAnsi="Arial" w:cs="Arial"/>
        </w:rPr>
      </w:pPr>
    </w:p>
    <w:p w14:paraId="6D163F92" w14:textId="77777777" w:rsidR="004864DC" w:rsidRPr="00227E88" w:rsidRDefault="004864DC" w:rsidP="007337FE">
      <w:pPr>
        <w:pStyle w:val="ListParagraph"/>
        <w:numPr>
          <w:ilvl w:val="0"/>
          <w:numId w:val="65"/>
        </w:numPr>
        <w:spacing w:after="0" w:line="240" w:lineRule="auto"/>
        <w:ind w:left="567" w:right="-23" w:hanging="141"/>
        <w:jc w:val="both"/>
        <w:rPr>
          <w:rFonts w:ascii="Arial" w:hAnsi="Arial" w:cs="Arial"/>
          <w:sz w:val="24"/>
          <w:szCs w:val="24"/>
        </w:rPr>
      </w:pPr>
      <w:r w:rsidRPr="00227E88">
        <w:rPr>
          <w:rFonts w:ascii="Arial" w:hAnsi="Arial" w:cs="Arial"/>
          <w:b/>
          <w:i/>
          <w:sz w:val="24"/>
          <w:szCs w:val="24"/>
        </w:rPr>
        <w:t>Direction:</w:t>
      </w:r>
      <w:r w:rsidRPr="00227E88">
        <w:rPr>
          <w:rFonts w:ascii="Arial" w:hAnsi="Arial" w:cs="Arial"/>
          <w:sz w:val="24"/>
          <w:szCs w:val="24"/>
        </w:rPr>
        <w:t xml:space="preserve">  </w:t>
      </w:r>
      <w:r w:rsidRPr="00227E88">
        <w:rPr>
          <w:rFonts w:ascii="Arial" w:hAnsi="Arial" w:cs="Arial"/>
          <w:sz w:val="24"/>
          <w:szCs w:val="24"/>
        </w:rPr>
        <w:tab/>
        <w:t>What is the fund trying to achieve (legislation, strategy and policy);</w:t>
      </w:r>
    </w:p>
    <w:p w14:paraId="6D163F93" w14:textId="77777777" w:rsidR="004864DC" w:rsidRPr="00227E88" w:rsidRDefault="004864DC" w:rsidP="004864DC">
      <w:pPr>
        <w:pStyle w:val="ListParagraph"/>
        <w:spacing w:after="0" w:line="240" w:lineRule="auto"/>
        <w:ind w:left="567" w:right="-23" w:hanging="141"/>
        <w:jc w:val="both"/>
        <w:rPr>
          <w:rFonts w:ascii="Arial" w:hAnsi="Arial" w:cs="Arial"/>
          <w:sz w:val="16"/>
          <w:szCs w:val="16"/>
        </w:rPr>
      </w:pPr>
    </w:p>
    <w:p w14:paraId="6D163F94" w14:textId="77777777" w:rsidR="004864DC" w:rsidRPr="00227E88" w:rsidRDefault="004864DC" w:rsidP="007337FE">
      <w:pPr>
        <w:pStyle w:val="ListParagraph"/>
        <w:numPr>
          <w:ilvl w:val="0"/>
          <w:numId w:val="65"/>
        </w:numPr>
        <w:spacing w:after="0" w:line="240" w:lineRule="auto"/>
        <w:ind w:left="720" w:right="-23" w:hanging="294"/>
        <w:jc w:val="both"/>
        <w:rPr>
          <w:rFonts w:ascii="Arial" w:hAnsi="Arial" w:cs="Arial"/>
          <w:sz w:val="24"/>
          <w:szCs w:val="24"/>
        </w:rPr>
      </w:pPr>
      <w:r w:rsidRPr="00227E88">
        <w:rPr>
          <w:rFonts w:ascii="Arial" w:hAnsi="Arial" w:cs="Arial"/>
          <w:b/>
          <w:i/>
          <w:sz w:val="24"/>
          <w:szCs w:val="24"/>
        </w:rPr>
        <w:t>Delivery:</w:t>
      </w:r>
      <w:r w:rsidRPr="00227E88">
        <w:rPr>
          <w:rFonts w:ascii="Arial" w:hAnsi="Arial" w:cs="Arial"/>
          <w:b/>
          <w:i/>
          <w:sz w:val="24"/>
          <w:szCs w:val="24"/>
        </w:rPr>
        <w:tab/>
      </w:r>
      <w:r w:rsidRPr="00227E88">
        <w:rPr>
          <w:rFonts w:ascii="Arial" w:hAnsi="Arial" w:cs="Arial"/>
          <w:sz w:val="24"/>
          <w:szCs w:val="24"/>
        </w:rPr>
        <w:t>How the Fund meets its aims (planning, performance monitoring &amp; risk management); and</w:t>
      </w:r>
    </w:p>
    <w:p w14:paraId="6D163F95" w14:textId="77777777" w:rsidR="004864DC" w:rsidRPr="00227E88" w:rsidRDefault="004864DC" w:rsidP="004864DC">
      <w:pPr>
        <w:pStyle w:val="ListParagraph"/>
        <w:spacing w:after="0" w:line="240" w:lineRule="auto"/>
        <w:ind w:left="567" w:right="-23" w:hanging="141"/>
        <w:jc w:val="both"/>
        <w:rPr>
          <w:rFonts w:ascii="Arial" w:hAnsi="Arial" w:cs="Arial"/>
          <w:sz w:val="16"/>
          <w:szCs w:val="16"/>
        </w:rPr>
      </w:pPr>
    </w:p>
    <w:p w14:paraId="6D163F96" w14:textId="77777777" w:rsidR="004864DC" w:rsidRPr="00227E88" w:rsidRDefault="004864DC" w:rsidP="007337FE">
      <w:pPr>
        <w:pStyle w:val="ListParagraph"/>
        <w:numPr>
          <w:ilvl w:val="0"/>
          <w:numId w:val="65"/>
        </w:numPr>
        <w:spacing w:after="0" w:line="240" w:lineRule="auto"/>
        <w:ind w:left="567" w:right="-23" w:hanging="141"/>
        <w:jc w:val="both"/>
        <w:rPr>
          <w:rFonts w:ascii="Arial" w:hAnsi="Arial" w:cs="Arial"/>
          <w:sz w:val="24"/>
          <w:szCs w:val="24"/>
        </w:rPr>
      </w:pPr>
      <w:r w:rsidRPr="00227E88">
        <w:rPr>
          <w:rFonts w:ascii="Arial" w:hAnsi="Arial" w:cs="Arial"/>
          <w:b/>
          <w:i/>
          <w:sz w:val="24"/>
          <w:szCs w:val="24"/>
        </w:rPr>
        <w:t>Decisions:</w:t>
      </w:r>
      <w:r w:rsidRPr="00227E88">
        <w:rPr>
          <w:rFonts w:ascii="Arial" w:hAnsi="Arial" w:cs="Arial"/>
          <w:sz w:val="24"/>
          <w:szCs w:val="24"/>
        </w:rPr>
        <w:t xml:space="preserve"> </w:t>
      </w:r>
      <w:r w:rsidRPr="00227E88">
        <w:rPr>
          <w:rFonts w:ascii="Arial" w:hAnsi="Arial" w:cs="Arial"/>
          <w:sz w:val="24"/>
          <w:szCs w:val="24"/>
        </w:rPr>
        <w:tab/>
        <w:t>Does the Fund have effective decision making (governance structure, behaviour and Pension Skills and Knowledge and training).</w:t>
      </w:r>
    </w:p>
    <w:p w14:paraId="6D163F97" w14:textId="77777777" w:rsidR="004864DC" w:rsidRPr="00227E88" w:rsidRDefault="004864DC" w:rsidP="004864DC">
      <w:pPr>
        <w:pStyle w:val="ListParagraph"/>
        <w:spacing w:after="0" w:line="240" w:lineRule="auto"/>
        <w:ind w:left="567" w:right="-23" w:hanging="567"/>
        <w:jc w:val="both"/>
        <w:rPr>
          <w:rFonts w:ascii="Arial" w:hAnsi="Arial" w:cs="Arial"/>
          <w:sz w:val="24"/>
          <w:szCs w:val="24"/>
        </w:rPr>
      </w:pPr>
    </w:p>
    <w:p w14:paraId="6D163F98" w14:textId="77777777" w:rsidR="004864DC" w:rsidRPr="00227E88" w:rsidRDefault="004864DC" w:rsidP="004864DC">
      <w:pPr>
        <w:ind w:left="567" w:right="-23" w:hanging="567"/>
        <w:jc w:val="both"/>
        <w:rPr>
          <w:rFonts w:ascii="Arial" w:hAnsi="Arial" w:cs="Arial"/>
        </w:rPr>
      </w:pPr>
      <w:r w:rsidRPr="00227E88">
        <w:rPr>
          <w:rFonts w:ascii="Arial" w:hAnsi="Arial" w:cs="Arial"/>
        </w:rPr>
        <w:t>2.5</w:t>
      </w:r>
      <w:r w:rsidRPr="00227E88">
        <w:rPr>
          <w:rFonts w:ascii="Arial" w:hAnsi="Arial" w:cs="Arial"/>
        </w:rPr>
        <w:tab/>
        <w:t>The Board will review the “Direction” in June and the “Delivery and Decisions” in March.</w:t>
      </w:r>
    </w:p>
    <w:p w14:paraId="6D163F99" w14:textId="77777777" w:rsidR="004864DC" w:rsidRPr="00227E88" w:rsidRDefault="004864DC" w:rsidP="004864DC">
      <w:pPr>
        <w:ind w:left="567" w:right="-23" w:hanging="567"/>
        <w:jc w:val="both"/>
        <w:rPr>
          <w:rFonts w:ascii="Arial" w:hAnsi="Arial" w:cs="Arial"/>
        </w:rPr>
      </w:pPr>
    </w:p>
    <w:p w14:paraId="6D163F9A" w14:textId="77777777" w:rsidR="004864DC" w:rsidRPr="00227E88" w:rsidRDefault="004864DC" w:rsidP="004864DC">
      <w:pPr>
        <w:ind w:left="567" w:right="-23" w:hanging="567"/>
        <w:jc w:val="both"/>
        <w:rPr>
          <w:rFonts w:ascii="Arial" w:hAnsi="Arial" w:cs="Arial"/>
        </w:rPr>
      </w:pPr>
      <w:r w:rsidRPr="00227E88">
        <w:rPr>
          <w:rFonts w:ascii="Arial" w:hAnsi="Arial" w:cs="Arial"/>
        </w:rPr>
        <w:t>2.6</w:t>
      </w:r>
      <w:r w:rsidRPr="00227E88">
        <w:rPr>
          <w:rFonts w:ascii="Arial" w:hAnsi="Arial" w:cs="Arial"/>
        </w:rPr>
        <w:tab/>
        <w:t xml:space="preserve">The Board must provide minutes of each meeting to the following </w:t>
      </w:r>
      <w:r w:rsidR="00D576F8" w:rsidRPr="00227E88">
        <w:rPr>
          <w:rFonts w:ascii="Arial" w:hAnsi="Arial" w:cs="Arial"/>
        </w:rPr>
        <w:t>Committee</w:t>
      </w:r>
      <w:r w:rsidRPr="00227E88">
        <w:rPr>
          <w:rFonts w:ascii="Arial" w:hAnsi="Arial" w:cs="Arial"/>
        </w:rPr>
        <w:t xml:space="preserve"> and may make reports and recommendations to the </w:t>
      </w:r>
      <w:r w:rsidR="00D576F8" w:rsidRPr="00227E88">
        <w:rPr>
          <w:rFonts w:ascii="Arial" w:hAnsi="Arial" w:cs="Arial"/>
        </w:rPr>
        <w:t>Committee</w:t>
      </w:r>
      <w:r w:rsidRPr="00227E88">
        <w:rPr>
          <w:rFonts w:ascii="Arial" w:hAnsi="Arial" w:cs="Arial"/>
        </w:rPr>
        <w:t xml:space="preserve"> insofar as they relate to the role of the Board. Any such reports or recommendations must be provided at least 15 working days in advance of the next </w:t>
      </w:r>
      <w:r w:rsidR="00D576F8" w:rsidRPr="00227E88">
        <w:rPr>
          <w:rFonts w:ascii="Arial" w:hAnsi="Arial" w:cs="Arial"/>
        </w:rPr>
        <w:t>Committee</w:t>
      </w:r>
      <w:r w:rsidRPr="00227E88">
        <w:rPr>
          <w:rFonts w:ascii="Arial" w:hAnsi="Arial" w:cs="Arial"/>
        </w:rPr>
        <w:t xml:space="preserve"> to the </w:t>
      </w:r>
      <w:r w:rsidR="00AF5822" w:rsidRPr="00227E88">
        <w:rPr>
          <w:rFonts w:ascii="Arial" w:hAnsi="Arial" w:cs="Arial"/>
        </w:rPr>
        <w:t>Chief Operating Officer</w:t>
      </w:r>
      <w:r w:rsidRPr="00227E88">
        <w:rPr>
          <w:rFonts w:ascii="Arial" w:hAnsi="Arial" w:cs="Arial"/>
        </w:rPr>
        <w:t xml:space="preserve"> (“the </w:t>
      </w:r>
      <w:r w:rsidR="008C3DBB" w:rsidRPr="00227E88">
        <w:rPr>
          <w:rFonts w:ascii="Arial" w:hAnsi="Arial" w:cs="Arial"/>
        </w:rPr>
        <w:t>COO</w:t>
      </w:r>
      <w:r w:rsidRPr="00227E88">
        <w:rPr>
          <w:rFonts w:ascii="Arial" w:hAnsi="Arial" w:cs="Arial"/>
        </w:rPr>
        <w:t xml:space="preserve">”). </w:t>
      </w:r>
    </w:p>
    <w:p w14:paraId="6D163F9B" w14:textId="77777777" w:rsidR="004864DC" w:rsidRPr="00227E88" w:rsidRDefault="004864DC" w:rsidP="004864DC">
      <w:pPr>
        <w:ind w:left="567" w:right="-23" w:hanging="567"/>
        <w:jc w:val="both"/>
        <w:rPr>
          <w:rFonts w:ascii="Arial" w:hAnsi="Arial" w:cs="Arial"/>
        </w:rPr>
      </w:pPr>
    </w:p>
    <w:p w14:paraId="6D163F9C" w14:textId="77777777" w:rsidR="004864DC" w:rsidRPr="00227E88" w:rsidRDefault="004864DC" w:rsidP="004864DC">
      <w:pPr>
        <w:ind w:left="567" w:right="-23" w:hanging="567"/>
        <w:jc w:val="both"/>
        <w:rPr>
          <w:rFonts w:ascii="Arial" w:hAnsi="Arial" w:cs="Arial"/>
        </w:rPr>
      </w:pPr>
      <w:r w:rsidRPr="00227E88">
        <w:rPr>
          <w:rFonts w:ascii="Arial" w:hAnsi="Arial" w:cs="Arial"/>
        </w:rPr>
        <w:t>2.7</w:t>
      </w:r>
      <w:r w:rsidRPr="00227E88">
        <w:rPr>
          <w:rFonts w:ascii="Arial" w:hAnsi="Arial" w:cs="Arial"/>
        </w:rPr>
        <w:tab/>
        <w:t xml:space="preserve">Where the Board considers that a matter brought to the attention of the </w:t>
      </w:r>
      <w:r w:rsidR="00D576F8" w:rsidRPr="00227E88">
        <w:rPr>
          <w:rFonts w:ascii="Arial" w:hAnsi="Arial" w:cs="Arial"/>
        </w:rPr>
        <w:t>Committee</w:t>
      </w:r>
      <w:r w:rsidRPr="00227E88">
        <w:rPr>
          <w:rFonts w:ascii="Arial" w:hAnsi="Arial" w:cs="Arial"/>
        </w:rPr>
        <w:t xml:space="preserve"> and the </w:t>
      </w:r>
      <w:r w:rsidR="008C3DBB" w:rsidRPr="00227E88">
        <w:rPr>
          <w:rFonts w:ascii="Arial" w:hAnsi="Arial" w:cs="Arial"/>
        </w:rPr>
        <w:t>COO</w:t>
      </w:r>
      <w:r w:rsidRPr="00227E88">
        <w:rPr>
          <w:rFonts w:ascii="Arial" w:hAnsi="Arial" w:cs="Arial"/>
        </w:rPr>
        <w:t xml:space="preserve"> has not been acted upon or resolved to their satisfaction, the Board will provide a report to the next appropriate Assembly.</w:t>
      </w:r>
    </w:p>
    <w:p w14:paraId="6D163F9D" w14:textId="77777777" w:rsidR="004864DC" w:rsidRPr="00227E88" w:rsidRDefault="004864DC" w:rsidP="004864DC">
      <w:pPr>
        <w:pStyle w:val="ListParagraph"/>
        <w:spacing w:after="0" w:line="240" w:lineRule="auto"/>
        <w:ind w:left="567" w:right="-23" w:hanging="567"/>
        <w:jc w:val="both"/>
        <w:rPr>
          <w:rFonts w:ascii="Arial" w:hAnsi="Arial" w:cs="Arial"/>
          <w:sz w:val="24"/>
          <w:szCs w:val="24"/>
          <w:lang w:eastAsia="en-GB"/>
        </w:rPr>
      </w:pPr>
    </w:p>
    <w:p w14:paraId="6D163F9E" w14:textId="77777777" w:rsidR="004864DC" w:rsidRPr="00227E88" w:rsidRDefault="004864DC" w:rsidP="004864DC">
      <w:pPr>
        <w:pStyle w:val="ListParagraph"/>
        <w:spacing w:after="0" w:line="240" w:lineRule="auto"/>
        <w:ind w:left="567" w:right="-23" w:hanging="567"/>
        <w:jc w:val="both"/>
        <w:rPr>
          <w:rFonts w:ascii="Arial" w:hAnsi="Arial" w:cs="Arial"/>
          <w:sz w:val="24"/>
          <w:szCs w:val="24"/>
          <w:lang w:eastAsia="en-GB"/>
        </w:rPr>
      </w:pPr>
      <w:r w:rsidRPr="00227E88">
        <w:rPr>
          <w:rFonts w:ascii="Arial" w:hAnsi="Arial" w:cs="Arial"/>
          <w:sz w:val="24"/>
          <w:szCs w:val="24"/>
          <w:lang w:eastAsia="en-GB"/>
        </w:rPr>
        <w:t>2.8</w:t>
      </w:r>
      <w:r w:rsidRPr="00227E88">
        <w:rPr>
          <w:rFonts w:ascii="Arial" w:hAnsi="Arial" w:cs="Arial"/>
          <w:sz w:val="24"/>
          <w:szCs w:val="24"/>
          <w:lang w:eastAsia="en-GB"/>
        </w:rPr>
        <w:tab/>
        <w:t>Establishment</w:t>
      </w:r>
    </w:p>
    <w:p w14:paraId="6D163F9F" w14:textId="77777777" w:rsidR="004864DC" w:rsidRPr="00227E88" w:rsidRDefault="004864DC" w:rsidP="004864DC">
      <w:pPr>
        <w:pStyle w:val="ListParagraph"/>
        <w:spacing w:after="0" w:line="240" w:lineRule="auto"/>
        <w:ind w:left="567" w:right="-23" w:hanging="567"/>
        <w:jc w:val="both"/>
        <w:rPr>
          <w:rFonts w:ascii="Arial" w:hAnsi="Arial" w:cs="Arial"/>
          <w:sz w:val="24"/>
          <w:szCs w:val="24"/>
          <w:lang w:eastAsia="en-GB"/>
        </w:rPr>
      </w:pPr>
    </w:p>
    <w:p w14:paraId="6D163FA0" w14:textId="77777777" w:rsidR="004864DC" w:rsidRPr="00227E88" w:rsidRDefault="004864DC" w:rsidP="004864DC">
      <w:pPr>
        <w:pStyle w:val="ListParagraph"/>
        <w:spacing w:after="0" w:line="240" w:lineRule="auto"/>
        <w:ind w:left="567" w:right="-23" w:hanging="567"/>
        <w:jc w:val="both"/>
        <w:rPr>
          <w:rFonts w:ascii="Arial" w:hAnsi="Arial" w:cs="Arial"/>
          <w:sz w:val="24"/>
          <w:szCs w:val="24"/>
          <w:lang w:eastAsia="en-GB"/>
        </w:rPr>
      </w:pPr>
      <w:r w:rsidRPr="00227E88">
        <w:rPr>
          <w:rFonts w:ascii="Arial" w:hAnsi="Arial" w:cs="Arial"/>
          <w:sz w:val="24"/>
          <w:szCs w:val="24"/>
          <w:lang w:eastAsia="en-GB"/>
        </w:rPr>
        <w:tab/>
        <w:t>The Board was established on 31 March 2015.</w:t>
      </w:r>
    </w:p>
    <w:p w14:paraId="6D163FA1" w14:textId="77777777" w:rsidR="004864DC" w:rsidRPr="00227E88" w:rsidRDefault="004864DC" w:rsidP="004864DC">
      <w:pPr>
        <w:pStyle w:val="ListParagraph"/>
        <w:spacing w:after="0" w:line="240" w:lineRule="auto"/>
        <w:ind w:left="567" w:right="-23" w:hanging="567"/>
        <w:jc w:val="both"/>
        <w:rPr>
          <w:rFonts w:ascii="Arial" w:hAnsi="Arial" w:cs="Arial"/>
          <w:sz w:val="24"/>
          <w:szCs w:val="24"/>
          <w:lang w:eastAsia="en-GB"/>
        </w:rPr>
      </w:pPr>
    </w:p>
    <w:p w14:paraId="6D163FA2" w14:textId="77777777" w:rsidR="004864DC" w:rsidRPr="00227E88" w:rsidRDefault="004864DC" w:rsidP="007337FE">
      <w:pPr>
        <w:pStyle w:val="ListParagraph"/>
        <w:numPr>
          <w:ilvl w:val="0"/>
          <w:numId w:val="62"/>
        </w:numPr>
        <w:spacing w:after="0" w:line="240" w:lineRule="auto"/>
        <w:ind w:left="567" w:right="-23" w:hanging="567"/>
        <w:jc w:val="both"/>
        <w:rPr>
          <w:rFonts w:ascii="Arial" w:hAnsi="Arial" w:cs="Arial"/>
          <w:b/>
          <w:sz w:val="24"/>
          <w:szCs w:val="24"/>
        </w:rPr>
      </w:pPr>
      <w:r w:rsidRPr="00227E88">
        <w:rPr>
          <w:rFonts w:ascii="Arial" w:hAnsi="Arial" w:cs="Arial"/>
          <w:b/>
          <w:sz w:val="24"/>
          <w:szCs w:val="24"/>
        </w:rPr>
        <w:t>Composition of the Board and Appointments</w:t>
      </w:r>
    </w:p>
    <w:p w14:paraId="6D163FA3" w14:textId="77777777" w:rsidR="004864DC" w:rsidRPr="00227E88" w:rsidRDefault="004864DC" w:rsidP="004864DC">
      <w:pPr>
        <w:ind w:left="567" w:right="-23" w:hanging="567"/>
        <w:jc w:val="both"/>
        <w:rPr>
          <w:rFonts w:ascii="Arial" w:hAnsi="Arial" w:cs="Arial"/>
        </w:rPr>
      </w:pPr>
    </w:p>
    <w:p w14:paraId="6D163FA4" w14:textId="77777777" w:rsidR="004864DC" w:rsidRPr="00227E88" w:rsidRDefault="004864DC" w:rsidP="004864DC">
      <w:pPr>
        <w:ind w:left="567" w:right="-23" w:hanging="567"/>
        <w:jc w:val="both"/>
        <w:rPr>
          <w:rFonts w:ascii="Arial" w:hAnsi="Arial" w:cs="Arial"/>
          <w:u w:val="single"/>
        </w:rPr>
      </w:pPr>
      <w:r w:rsidRPr="00227E88">
        <w:rPr>
          <w:rFonts w:ascii="Arial" w:hAnsi="Arial" w:cs="Arial"/>
        </w:rPr>
        <w:t>3.1</w:t>
      </w:r>
      <w:r w:rsidRPr="00227E88">
        <w:rPr>
          <w:rFonts w:ascii="Arial" w:hAnsi="Arial" w:cs="Arial"/>
        </w:rPr>
        <w:tab/>
      </w:r>
      <w:r w:rsidRPr="00227E88">
        <w:rPr>
          <w:rFonts w:ascii="Arial" w:hAnsi="Arial" w:cs="Arial"/>
          <w:u w:val="single"/>
        </w:rPr>
        <w:t>Composition</w:t>
      </w:r>
    </w:p>
    <w:p w14:paraId="6D163FA5" w14:textId="77777777" w:rsidR="004864DC" w:rsidRPr="00227E88" w:rsidRDefault="004864DC" w:rsidP="004864DC">
      <w:pPr>
        <w:ind w:left="567" w:right="-23" w:hanging="567"/>
        <w:jc w:val="both"/>
        <w:rPr>
          <w:rFonts w:ascii="Arial" w:hAnsi="Arial" w:cs="Arial"/>
        </w:rPr>
      </w:pPr>
    </w:p>
    <w:p w14:paraId="6D163FA6" w14:textId="77777777" w:rsidR="004864DC" w:rsidRPr="00227E88" w:rsidRDefault="004864DC" w:rsidP="004864DC">
      <w:pPr>
        <w:pStyle w:val="Default"/>
        <w:ind w:left="567" w:right="-23"/>
        <w:jc w:val="both"/>
      </w:pPr>
      <w:r w:rsidRPr="00227E88">
        <w:t>The Board will consist of up to six members and be constituted as follows (substitutes for the Employer or Scheme Member Representatives are not permitted). There shall be an equal number of Member and Employer Representatives.</w:t>
      </w:r>
    </w:p>
    <w:p w14:paraId="6D163FA7" w14:textId="77777777" w:rsidR="004864DC" w:rsidRPr="00227E88" w:rsidRDefault="004864DC" w:rsidP="004864DC">
      <w:pPr>
        <w:ind w:right="-23"/>
        <w:jc w:val="both"/>
        <w:rPr>
          <w:rFonts w:ascii="Arial" w:hAnsi="Arial" w:cs="Arial"/>
        </w:rPr>
      </w:pPr>
    </w:p>
    <w:p w14:paraId="6D163FA8" w14:textId="77777777" w:rsidR="004864DC" w:rsidRPr="00227E88" w:rsidRDefault="004864DC" w:rsidP="007337FE">
      <w:pPr>
        <w:pStyle w:val="ListParagraph"/>
        <w:numPr>
          <w:ilvl w:val="0"/>
          <w:numId w:val="66"/>
        </w:numPr>
        <w:spacing w:after="0" w:line="240" w:lineRule="auto"/>
        <w:ind w:left="1134" w:right="-23" w:hanging="283"/>
        <w:jc w:val="both"/>
        <w:rPr>
          <w:rFonts w:ascii="Arial" w:hAnsi="Arial" w:cs="Arial"/>
          <w:sz w:val="24"/>
          <w:szCs w:val="24"/>
        </w:rPr>
      </w:pPr>
      <w:r w:rsidRPr="00227E88">
        <w:rPr>
          <w:rFonts w:ascii="Arial" w:hAnsi="Arial" w:cs="Arial"/>
          <w:sz w:val="24"/>
          <w:szCs w:val="24"/>
        </w:rPr>
        <w:t>Up to three Employer Representatives; and</w:t>
      </w:r>
    </w:p>
    <w:p w14:paraId="6D163FA9" w14:textId="77777777" w:rsidR="004864DC" w:rsidRPr="00227E88" w:rsidRDefault="004864DC" w:rsidP="007337FE">
      <w:pPr>
        <w:pStyle w:val="ListParagraph"/>
        <w:numPr>
          <w:ilvl w:val="0"/>
          <w:numId w:val="66"/>
        </w:numPr>
        <w:spacing w:after="0" w:line="240" w:lineRule="auto"/>
        <w:ind w:left="1134" w:right="-23" w:hanging="283"/>
        <w:jc w:val="both"/>
        <w:rPr>
          <w:rFonts w:ascii="Arial" w:hAnsi="Arial" w:cs="Arial"/>
          <w:sz w:val="24"/>
          <w:szCs w:val="24"/>
        </w:rPr>
      </w:pPr>
      <w:r w:rsidRPr="00227E88">
        <w:rPr>
          <w:rFonts w:ascii="Arial" w:hAnsi="Arial" w:cs="Arial"/>
          <w:sz w:val="24"/>
          <w:szCs w:val="24"/>
        </w:rPr>
        <w:t>Up to three Scheme Member Representatives.</w:t>
      </w:r>
    </w:p>
    <w:p w14:paraId="6D163FAA" w14:textId="77777777" w:rsidR="004864DC" w:rsidRPr="00227E88" w:rsidRDefault="004864DC" w:rsidP="004864DC">
      <w:pPr>
        <w:ind w:left="1134" w:right="-23" w:hanging="567"/>
        <w:jc w:val="both"/>
        <w:rPr>
          <w:rFonts w:ascii="Arial" w:hAnsi="Arial" w:cs="Arial"/>
        </w:rPr>
      </w:pPr>
    </w:p>
    <w:p w14:paraId="6D163FAB" w14:textId="77777777" w:rsidR="004864DC" w:rsidRPr="00227E88" w:rsidRDefault="004864DC" w:rsidP="004864DC">
      <w:pPr>
        <w:ind w:left="567" w:right="-23" w:hanging="567"/>
        <w:jc w:val="both"/>
        <w:rPr>
          <w:rFonts w:ascii="Arial" w:hAnsi="Arial" w:cs="Arial"/>
        </w:rPr>
      </w:pPr>
      <w:r w:rsidRPr="00227E88">
        <w:rPr>
          <w:rFonts w:ascii="Arial" w:hAnsi="Arial" w:cs="Arial"/>
        </w:rPr>
        <w:t>3.2</w:t>
      </w:r>
      <w:r w:rsidRPr="00227E88">
        <w:rPr>
          <w:rFonts w:ascii="Arial" w:hAnsi="Arial" w:cs="Arial"/>
          <w:b/>
        </w:rPr>
        <w:tab/>
      </w:r>
      <w:r w:rsidRPr="00227E88">
        <w:rPr>
          <w:rFonts w:ascii="Arial" w:hAnsi="Arial" w:cs="Arial"/>
          <w:u w:val="single"/>
        </w:rPr>
        <w:t>Eligibility and selection criteria</w:t>
      </w:r>
    </w:p>
    <w:p w14:paraId="6D163FAC" w14:textId="77777777" w:rsidR="004864DC" w:rsidRPr="00227E88" w:rsidRDefault="004864DC" w:rsidP="004864DC">
      <w:pPr>
        <w:pStyle w:val="ListParagraph"/>
        <w:spacing w:after="0" w:line="240" w:lineRule="auto"/>
        <w:ind w:left="1134" w:right="-23" w:hanging="567"/>
        <w:jc w:val="both"/>
        <w:rPr>
          <w:rFonts w:ascii="Arial" w:hAnsi="Arial" w:cs="Arial"/>
          <w:sz w:val="24"/>
          <w:szCs w:val="24"/>
        </w:rPr>
      </w:pPr>
    </w:p>
    <w:p w14:paraId="6D163FAD" w14:textId="77777777" w:rsidR="004864DC" w:rsidRPr="00227E88" w:rsidRDefault="004864DC" w:rsidP="007337FE">
      <w:pPr>
        <w:pStyle w:val="ListParagraph"/>
        <w:numPr>
          <w:ilvl w:val="0"/>
          <w:numId w:val="64"/>
        </w:numPr>
        <w:spacing w:after="0" w:line="240" w:lineRule="auto"/>
        <w:ind w:left="1134" w:right="-23" w:hanging="283"/>
        <w:jc w:val="both"/>
        <w:rPr>
          <w:rFonts w:ascii="Arial" w:hAnsi="Arial" w:cs="Arial"/>
          <w:sz w:val="24"/>
          <w:szCs w:val="24"/>
        </w:rPr>
      </w:pPr>
      <w:r w:rsidRPr="00227E88">
        <w:rPr>
          <w:rFonts w:ascii="Arial" w:hAnsi="Arial" w:cs="Arial"/>
          <w:sz w:val="24"/>
          <w:szCs w:val="24"/>
        </w:rPr>
        <w:t>Three Employer Representatives: At least one of the employer representatives must be an employee of the Council. The second employer representative will be from one of the Fund’s scheduled bodies.</w:t>
      </w:r>
    </w:p>
    <w:p w14:paraId="6D163FAE" w14:textId="77777777" w:rsidR="004864DC" w:rsidRPr="00227E88" w:rsidRDefault="004864DC" w:rsidP="004864DC">
      <w:pPr>
        <w:pStyle w:val="ListParagraph"/>
        <w:spacing w:after="0" w:line="240" w:lineRule="auto"/>
        <w:ind w:left="1134" w:right="-23" w:hanging="283"/>
        <w:jc w:val="both"/>
        <w:rPr>
          <w:rFonts w:ascii="Arial" w:hAnsi="Arial" w:cs="Arial"/>
          <w:sz w:val="16"/>
          <w:szCs w:val="16"/>
        </w:rPr>
      </w:pPr>
    </w:p>
    <w:p w14:paraId="6D163FAF" w14:textId="77777777" w:rsidR="004864DC" w:rsidRPr="00227E88" w:rsidRDefault="004864DC" w:rsidP="007337FE">
      <w:pPr>
        <w:pStyle w:val="ListParagraph"/>
        <w:numPr>
          <w:ilvl w:val="0"/>
          <w:numId w:val="64"/>
        </w:numPr>
        <w:spacing w:after="0" w:line="240" w:lineRule="auto"/>
        <w:ind w:left="1134" w:right="-23" w:hanging="283"/>
        <w:jc w:val="both"/>
        <w:rPr>
          <w:rFonts w:ascii="Arial" w:hAnsi="Arial" w:cs="Arial"/>
          <w:sz w:val="24"/>
          <w:szCs w:val="24"/>
        </w:rPr>
      </w:pPr>
      <w:r w:rsidRPr="00227E88">
        <w:rPr>
          <w:rFonts w:ascii="Arial" w:hAnsi="Arial" w:cs="Arial"/>
          <w:sz w:val="24"/>
          <w:szCs w:val="24"/>
        </w:rPr>
        <w:t>Three Scheme Member Representatives: Representatives would preferably by members of the Fund (active, deferred or pensioner). Where the member representative is not a member of the Fund, they must have the requisite knowledge and skills to be able to represent the interests of the scheme members</w:t>
      </w:r>
    </w:p>
    <w:p w14:paraId="6D163FB0" w14:textId="77777777" w:rsidR="004864DC" w:rsidRPr="00227E88" w:rsidRDefault="004864DC" w:rsidP="004864DC">
      <w:pPr>
        <w:pStyle w:val="ListParagraph"/>
        <w:spacing w:after="0" w:line="240" w:lineRule="auto"/>
        <w:ind w:left="1134" w:right="-23" w:hanging="283"/>
        <w:jc w:val="both"/>
        <w:rPr>
          <w:rFonts w:ascii="Arial" w:hAnsi="Arial" w:cs="Arial"/>
          <w:sz w:val="24"/>
          <w:szCs w:val="24"/>
        </w:rPr>
      </w:pPr>
    </w:p>
    <w:p w14:paraId="6D163FB1" w14:textId="77777777" w:rsidR="004864DC" w:rsidRPr="00227E88" w:rsidRDefault="004864DC" w:rsidP="007337FE">
      <w:pPr>
        <w:pStyle w:val="ListParagraph"/>
        <w:numPr>
          <w:ilvl w:val="0"/>
          <w:numId w:val="64"/>
        </w:numPr>
        <w:spacing w:after="0" w:line="240" w:lineRule="auto"/>
        <w:ind w:left="1134" w:right="-23" w:hanging="283"/>
        <w:jc w:val="both"/>
        <w:rPr>
          <w:rFonts w:ascii="Arial" w:hAnsi="Arial" w:cs="Arial"/>
          <w:sz w:val="24"/>
          <w:szCs w:val="24"/>
        </w:rPr>
      </w:pPr>
      <w:r w:rsidRPr="00227E88">
        <w:rPr>
          <w:rFonts w:ascii="Arial" w:hAnsi="Arial" w:cs="Arial"/>
          <w:sz w:val="24"/>
          <w:szCs w:val="24"/>
        </w:rPr>
        <w:t xml:space="preserve">The </w:t>
      </w:r>
      <w:r w:rsidR="008C3DBB" w:rsidRPr="00227E88">
        <w:rPr>
          <w:rFonts w:ascii="Arial" w:hAnsi="Arial" w:cs="Arial"/>
          <w:sz w:val="24"/>
          <w:szCs w:val="24"/>
        </w:rPr>
        <w:t>COO</w:t>
      </w:r>
      <w:r w:rsidRPr="00227E88">
        <w:rPr>
          <w:rFonts w:ascii="Arial" w:hAnsi="Arial" w:cs="Arial"/>
          <w:sz w:val="24"/>
          <w:szCs w:val="24"/>
        </w:rPr>
        <w:t xml:space="preserve"> will define and keep under review any further eligibility and/or selection criteria that will apply to Board members.</w:t>
      </w:r>
    </w:p>
    <w:p w14:paraId="6D163FB2" w14:textId="77777777" w:rsidR="004864DC" w:rsidRPr="00227E88" w:rsidRDefault="004864DC" w:rsidP="004864DC">
      <w:pPr>
        <w:pStyle w:val="ListParagraph"/>
        <w:spacing w:after="0" w:line="240" w:lineRule="auto"/>
        <w:ind w:left="567" w:right="-23" w:hanging="567"/>
        <w:jc w:val="both"/>
        <w:rPr>
          <w:rFonts w:ascii="Arial" w:hAnsi="Arial" w:cs="Arial"/>
          <w:sz w:val="24"/>
          <w:szCs w:val="24"/>
        </w:rPr>
      </w:pPr>
    </w:p>
    <w:p w14:paraId="6D163FB3" w14:textId="77777777" w:rsidR="004864DC" w:rsidRPr="00227E88" w:rsidRDefault="004864DC" w:rsidP="004864DC">
      <w:pPr>
        <w:ind w:left="567" w:right="-23" w:hanging="567"/>
        <w:jc w:val="both"/>
        <w:rPr>
          <w:rFonts w:ascii="Arial" w:hAnsi="Arial" w:cs="Arial"/>
        </w:rPr>
      </w:pPr>
      <w:r w:rsidRPr="00227E88">
        <w:rPr>
          <w:rFonts w:ascii="Arial" w:hAnsi="Arial" w:cs="Arial"/>
        </w:rPr>
        <w:t>3.3</w:t>
      </w:r>
      <w:r w:rsidRPr="00227E88">
        <w:rPr>
          <w:rFonts w:ascii="Arial" w:hAnsi="Arial" w:cs="Arial"/>
        </w:rPr>
        <w:tab/>
      </w:r>
      <w:r w:rsidRPr="00227E88">
        <w:rPr>
          <w:rFonts w:ascii="Arial" w:hAnsi="Arial" w:cs="Arial"/>
          <w:u w:val="single"/>
        </w:rPr>
        <w:t>Appointment of Members</w:t>
      </w:r>
    </w:p>
    <w:p w14:paraId="6D163FB4" w14:textId="77777777" w:rsidR="004864DC" w:rsidRPr="00227E88" w:rsidRDefault="004864DC" w:rsidP="004864DC">
      <w:pPr>
        <w:ind w:left="567" w:right="-23" w:hanging="567"/>
        <w:jc w:val="both"/>
        <w:rPr>
          <w:rFonts w:ascii="Arial" w:hAnsi="Arial" w:cs="Arial"/>
        </w:rPr>
      </w:pPr>
    </w:p>
    <w:p w14:paraId="6D163FB5"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The </w:t>
      </w:r>
      <w:r w:rsidR="008C3DBB" w:rsidRPr="00227E88">
        <w:rPr>
          <w:rFonts w:ascii="Arial" w:hAnsi="Arial" w:cs="Arial"/>
        </w:rPr>
        <w:t>COO</w:t>
      </w:r>
      <w:r w:rsidRPr="00227E88">
        <w:rPr>
          <w:rFonts w:ascii="Arial" w:hAnsi="Arial" w:cs="Arial"/>
        </w:rPr>
        <w:t xml:space="preserve"> will manage the appointment process. Initial Board members will be direct appointments from Fund’s current observers, who will fulfil the role of the two employee representatives and one employer representative. A representative from the Council’s Legal department will also be directly appointed by the </w:t>
      </w:r>
      <w:r w:rsidR="008C3DBB" w:rsidRPr="00227E88">
        <w:rPr>
          <w:rFonts w:ascii="Arial" w:hAnsi="Arial" w:cs="Arial"/>
        </w:rPr>
        <w:t>COO</w:t>
      </w:r>
      <w:r w:rsidRPr="00227E88">
        <w:rPr>
          <w:rFonts w:ascii="Arial" w:hAnsi="Arial" w:cs="Arial"/>
        </w:rPr>
        <w:t xml:space="preserve"> and will be the Council representative. The process to select replacement Board members is as set out below:</w:t>
      </w:r>
    </w:p>
    <w:p w14:paraId="6D163FB6" w14:textId="77777777" w:rsidR="004864DC" w:rsidRPr="00227E88" w:rsidRDefault="004864DC" w:rsidP="004864DC">
      <w:pPr>
        <w:ind w:left="981" w:right="-23" w:hanging="567"/>
        <w:jc w:val="both"/>
        <w:rPr>
          <w:rFonts w:ascii="Arial" w:hAnsi="Arial" w:cs="Arial"/>
        </w:rPr>
      </w:pPr>
    </w:p>
    <w:p w14:paraId="6D163FB7" w14:textId="77777777" w:rsidR="004864DC" w:rsidRPr="00227E88" w:rsidRDefault="004864DC" w:rsidP="004864DC">
      <w:pPr>
        <w:ind w:left="993" w:right="-23" w:hanging="426"/>
        <w:jc w:val="both"/>
        <w:rPr>
          <w:rFonts w:ascii="Arial" w:hAnsi="Arial" w:cs="Arial"/>
        </w:rPr>
      </w:pPr>
      <w:r w:rsidRPr="00227E88">
        <w:rPr>
          <w:rFonts w:ascii="Arial" w:hAnsi="Arial" w:cs="Arial"/>
        </w:rPr>
        <w:t>1.</w:t>
      </w:r>
      <w:r w:rsidRPr="00227E88">
        <w:rPr>
          <w:rFonts w:ascii="Arial" w:hAnsi="Arial" w:cs="Arial"/>
        </w:rPr>
        <w:tab/>
        <w:t xml:space="preserve">One Council Employer Representative: This will be a direct appointment by the </w:t>
      </w:r>
      <w:r w:rsidR="008C3DBB" w:rsidRPr="00227E88">
        <w:rPr>
          <w:rFonts w:ascii="Arial" w:hAnsi="Arial" w:cs="Arial"/>
        </w:rPr>
        <w:t>COO</w:t>
      </w:r>
      <w:r w:rsidRPr="00227E88">
        <w:rPr>
          <w:rFonts w:ascii="Arial" w:hAnsi="Arial" w:cs="Arial"/>
        </w:rPr>
        <w:t>.</w:t>
      </w:r>
    </w:p>
    <w:p w14:paraId="6D163FB8" w14:textId="77777777" w:rsidR="004864DC" w:rsidRPr="00227E88" w:rsidRDefault="004864DC" w:rsidP="004864DC">
      <w:pPr>
        <w:pStyle w:val="ListParagraph"/>
        <w:spacing w:after="0" w:line="240" w:lineRule="auto"/>
        <w:ind w:left="414" w:right="-23"/>
        <w:jc w:val="both"/>
        <w:rPr>
          <w:rFonts w:ascii="Arial" w:hAnsi="Arial" w:cs="Arial"/>
          <w:sz w:val="24"/>
          <w:szCs w:val="24"/>
        </w:rPr>
      </w:pPr>
    </w:p>
    <w:p w14:paraId="6D163FB9" w14:textId="77777777" w:rsidR="004864DC" w:rsidRPr="00E35F96" w:rsidRDefault="004864DC" w:rsidP="004864DC">
      <w:pPr>
        <w:ind w:left="993" w:right="-23" w:hanging="426"/>
        <w:jc w:val="both"/>
        <w:rPr>
          <w:rFonts w:ascii="Arial" w:hAnsi="Arial" w:cs="Arial"/>
        </w:rPr>
      </w:pPr>
      <w:r w:rsidRPr="00227E88">
        <w:rPr>
          <w:rFonts w:ascii="Arial" w:hAnsi="Arial" w:cs="Arial"/>
        </w:rPr>
        <w:t>2.</w:t>
      </w:r>
      <w:r w:rsidRPr="00227E88">
        <w:rPr>
          <w:rFonts w:ascii="Arial" w:hAnsi="Arial" w:cs="Arial"/>
        </w:rPr>
        <w:tab/>
        <w:t xml:space="preserve">Two other Employer Representatives: All the Fund’s scheduled body employers will be invited to nominate individuals to represent employers on the Pension Board. </w:t>
      </w:r>
    </w:p>
    <w:p w14:paraId="6D163FBA" w14:textId="77777777" w:rsidR="004864DC" w:rsidRPr="00E35F96" w:rsidRDefault="004864DC" w:rsidP="004864DC">
      <w:pPr>
        <w:pStyle w:val="ListParagraph"/>
        <w:spacing w:after="0" w:line="240" w:lineRule="auto"/>
        <w:ind w:left="981" w:right="-23"/>
        <w:jc w:val="both"/>
        <w:rPr>
          <w:rFonts w:ascii="Arial" w:hAnsi="Arial" w:cs="Arial"/>
        </w:rPr>
      </w:pPr>
    </w:p>
    <w:p w14:paraId="6D163FBB" w14:textId="77777777" w:rsidR="004864DC" w:rsidRPr="00227E88" w:rsidRDefault="004864DC" w:rsidP="004864DC">
      <w:pPr>
        <w:ind w:left="993" w:right="-23" w:hanging="426"/>
        <w:jc w:val="both"/>
        <w:rPr>
          <w:rFonts w:ascii="Arial" w:hAnsi="Arial" w:cs="Arial"/>
        </w:rPr>
      </w:pPr>
      <w:r w:rsidRPr="00227E88">
        <w:rPr>
          <w:rFonts w:ascii="Arial" w:hAnsi="Arial" w:cs="Arial"/>
        </w:rPr>
        <w:t>3. Two Member Representatives shall be appointed by the recognised trade unions representing employees who are scheme members of the Fund.</w:t>
      </w:r>
    </w:p>
    <w:p w14:paraId="6D163FBC" w14:textId="77777777" w:rsidR="004864DC" w:rsidRPr="00227E88" w:rsidRDefault="004864DC" w:rsidP="004864DC">
      <w:pPr>
        <w:pStyle w:val="ListParagraph"/>
        <w:spacing w:after="0" w:line="240" w:lineRule="auto"/>
        <w:ind w:left="414" w:right="-23"/>
        <w:jc w:val="both"/>
        <w:rPr>
          <w:rFonts w:ascii="Arial" w:hAnsi="Arial" w:cs="Arial"/>
          <w:sz w:val="24"/>
          <w:szCs w:val="24"/>
        </w:rPr>
      </w:pPr>
    </w:p>
    <w:p w14:paraId="6D163FBD" w14:textId="77777777" w:rsidR="004864DC" w:rsidRPr="00227E88" w:rsidRDefault="004864DC" w:rsidP="004864DC">
      <w:pPr>
        <w:ind w:left="993" w:right="-23" w:hanging="426"/>
        <w:jc w:val="both"/>
        <w:rPr>
          <w:rFonts w:ascii="Arial" w:hAnsi="Arial" w:cs="Arial"/>
        </w:rPr>
      </w:pPr>
      <w:r w:rsidRPr="00227E88">
        <w:rPr>
          <w:rFonts w:ascii="Arial" w:hAnsi="Arial" w:cs="Arial"/>
        </w:rPr>
        <w:t xml:space="preserve">4. </w:t>
      </w:r>
      <w:r w:rsidRPr="00227E88">
        <w:rPr>
          <w:rFonts w:ascii="Arial" w:hAnsi="Arial" w:cs="Arial"/>
        </w:rPr>
        <w:tab/>
        <w:t xml:space="preserve">The third Member Representative shall initially be filled by the current Member Observer to the Pension </w:t>
      </w:r>
      <w:r w:rsidR="00D576F8" w:rsidRPr="00227E88">
        <w:rPr>
          <w:rFonts w:ascii="Arial" w:hAnsi="Arial" w:cs="Arial"/>
        </w:rPr>
        <w:t>Committee</w:t>
      </w:r>
      <w:r w:rsidRPr="00227E88">
        <w:rPr>
          <w:rFonts w:ascii="Arial" w:hAnsi="Arial" w:cs="Arial"/>
        </w:rPr>
        <w:t>.  Future appointments will be made following a nomination process open to all scheme members.</w:t>
      </w:r>
    </w:p>
    <w:p w14:paraId="6D163FBE" w14:textId="77777777" w:rsidR="004864DC" w:rsidRPr="00227E88" w:rsidRDefault="004864DC" w:rsidP="004864DC">
      <w:pPr>
        <w:pStyle w:val="ListParagraph"/>
        <w:spacing w:after="0" w:line="240" w:lineRule="auto"/>
        <w:ind w:left="981" w:right="-23"/>
        <w:jc w:val="both"/>
        <w:rPr>
          <w:rFonts w:ascii="Arial" w:hAnsi="Arial" w:cs="Arial"/>
          <w:sz w:val="24"/>
          <w:szCs w:val="24"/>
        </w:rPr>
      </w:pPr>
    </w:p>
    <w:p w14:paraId="6D163FBF" w14:textId="77777777" w:rsidR="004864DC" w:rsidRPr="00227E88" w:rsidRDefault="004864DC" w:rsidP="004864DC">
      <w:pPr>
        <w:ind w:left="993" w:right="-23" w:hanging="426"/>
        <w:jc w:val="both"/>
        <w:rPr>
          <w:rFonts w:ascii="Arial" w:hAnsi="Arial" w:cs="Arial"/>
        </w:rPr>
      </w:pPr>
      <w:r w:rsidRPr="00227E88">
        <w:rPr>
          <w:rFonts w:ascii="Arial" w:hAnsi="Arial" w:cs="Arial"/>
        </w:rPr>
        <w:t>5.</w:t>
      </w:r>
      <w:r w:rsidRPr="00227E88">
        <w:rPr>
          <w:rFonts w:ascii="Arial" w:hAnsi="Arial" w:cs="Arial"/>
        </w:rPr>
        <w:tab/>
        <w:t xml:space="preserve">Nominations can be rejected where the individual does not appropriately meet the eligibility and/or selection criteria or where the number of nominations for any category of Board member merits a short-list being created for interviews. </w:t>
      </w:r>
    </w:p>
    <w:p w14:paraId="6D163FC0" w14:textId="77777777" w:rsidR="004864DC" w:rsidRPr="00227E88" w:rsidRDefault="004864DC" w:rsidP="004864DC">
      <w:pPr>
        <w:ind w:left="993" w:right="-23" w:hanging="426"/>
        <w:jc w:val="both"/>
        <w:rPr>
          <w:rFonts w:ascii="Arial" w:hAnsi="Arial" w:cs="Arial"/>
        </w:rPr>
      </w:pPr>
    </w:p>
    <w:p w14:paraId="6D163FC1" w14:textId="77777777" w:rsidR="004864DC" w:rsidRPr="00227E88" w:rsidRDefault="004864DC" w:rsidP="004864DC">
      <w:pPr>
        <w:ind w:left="993" w:right="-23" w:hanging="426"/>
        <w:jc w:val="both"/>
        <w:rPr>
          <w:rFonts w:ascii="Arial" w:hAnsi="Arial" w:cs="Arial"/>
        </w:rPr>
      </w:pPr>
      <w:r w:rsidRPr="00227E88">
        <w:rPr>
          <w:rFonts w:ascii="Arial" w:hAnsi="Arial" w:cs="Arial"/>
        </w:rPr>
        <w:t>6.</w:t>
      </w:r>
      <w:r w:rsidRPr="00227E88">
        <w:rPr>
          <w:rFonts w:ascii="Arial" w:hAnsi="Arial" w:cs="Arial"/>
        </w:rPr>
        <w:tab/>
        <w:t xml:space="preserve">Employer and Employee representatives should be able to demonstrate their capacity to attend and complete the necessary preparation for meetings and participate in training as required.   </w:t>
      </w:r>
    </w:p>
    <w:p w14:paraId="6D163FC2" w14:textId="77777777" w:rsidR="004864DC" w:rsidRPr="00227E88" w:rsidRDefault="004864DC" w:rsidP="004864DC">
      <w:pPr>
        <w:ind w:left="981" w:right="-23"/>
        <w:jc w:val="both"/>
        <w:rPr>
          <w:rFonts w:ascii="Arial" w:hAnsi="Arial" w:cs="Arial"/>
        </w:rPr>
      </w:pPr>
    </w:p>
    <w:p w14:paraId="6D163FC3" w14:textId="77777777" w:rsidR="004864DC" w:rsidRPr="00227E88" w:rsidRDefault="004864DC" w:rsidP="004864DC">
      <w:pPr>
        <w:ind w:left="993" w:right="-23" w:hanging="426"/>
        <w:jc w:val="both"/>
        <w:rPr>
          <w:rFonts w:ascii="Arial" w:hAnsi="Arial" w:cs="Arial"/>
        </w:rPr>
      </w:pPr>
      <w:r w:rsidRPr="00227E88">
        <w:rPr>
          <w:rFonts w:ascii="Arial" w:hAnsi="Arial" w:cs="Arial"/>
        </w:rPr>
        <w:t xml:space="preserve">7. </w:t>
      </w:r>
      <w:r w:rsidRPr="00227E88">
        <w:rPr>
          <w:rFonts w:ascii="Arial" w:hAnsi="Arial" w:cs="Arial"/>
        </w:rPr>
        <w:tab/>
        <w:t xml:space="preserve">The </w:t>
      </w:r>
      <w:r w:rsidR="008C3DBB" w:rsidRPr="00227E88">
        <w:rPr>
          <w:rFonts w:ascii="Arial" w:hAnsi="Arial" w:cs="Arial"/>
        </w:rPr>
        <w:t>COO</w:t>
      </w:r>
      <w:r w:rsidRPr="00227E88">
        <w:rPr>
          <w:rFonts w:ascii="Arial" w:hAnsi="Arial" w:cs="Arial"/>
        </w:rPr>
        <w:t xml:space="preserve"> will agree the Board appointment process which may include, but is not restricted to, a formal interview. Where there are no appropriate nominations, the </w:t>
      </w:r>
      <w:r w:rsidR="008C3DBB" w:rsidRPr="00227E88">
        <w:rPr>
          <w:rFonts w:ascii="Arial" w:hAnsi="Arial" w:cs="Arial"/>
        </w:rPr>
        <w:t>COO</w:t>
      </w:r>
      <w:r w:rsidRPr="00227E88">
        <w:rPr>
          <w:rFonts w:ascii="Arial" w:hAnsi="Arial" w:cs="Arial"/>
        </w:rPr>
        <w:t xml:space="preserve"> will take any other action consider appropriate, including leaving a position vacant.</w:t>
      </w:r>
    </w:p>
    <w:p w14:paraId="6D163FC4" w14:textId="77777777" w:rsidR="004864DC" w:rsidRPr="00227E88" w:rsidRDefault="004864DC" w:rsidP="004864DC">
      <w:pPr>
        <w:ind w:left="1134" w:right="-23" w:hanging="567"/>
        <w:jc w:val="both"/>
        <w:rPr>
          <w:rFonts w:ascii="Arial" w:hAnsi="Arial" w:cs="Arial"/>
        </w:rPr>
      </w:pPr>
    </w:p>
    <w:p w14:paraId="6D163FC5" w14:textId="77777777" w:rsidR="004864DC" w:rsidRPr="00227E88" w:rsidRDefault="004864DC" w:rsidP="004864DC">
      <w:pPr>
        <w:pStyle w:val="Default"/>
        <w:ind w:left="567" w:right="-23" w:hanging="567"/>
      </w:pPr>
      <w:r w:rsidRPr="00227E88">
        <w:t>3.4</w:t>
      </w:r>
      <w:r w:rsidRPr="00227E88">
        <w:tab/>
      </w:r>
      <w:r w:rsidRPr="00227E88">
        <w:rPr>
          <w:u w:val="single"/>
        </w:rPr>
        <w:t>Notification of appointments</w:t>
      </w:r>
      <w:r w:rsidRPr="00227E88">
        <w:t xml:space="preserve"> </w:t>
      </w:r>
    </w:p>
    <w:p w14:paraId="6D163FC6" w14:textId="77777777" w:rsidR="004864DC" w:rsidRPr="00227E88" w:rsidRDefault="004864DC" w:rsidP="004864DC">
      <w:pPr>
        <w:pStyle w:val="Default"/>
        <w:ind w:right="-23"/>
      </w:pPr>
    </w:p>
    <w:p w14:paraId="6D163FC7" w14:textId="77777777" w:rsidR="004864DC" w:rsidRPr="00227E88" w:rsidRDefault="004864DC" w:rsidP="004864DC">
      <w:pPr>
        <w:pStyle w:val="Default"/>
        <w:ind w:left="567" w:right="-23"/>
      </w:pPr>
      <w:r w:rsidRPr="00227E88">
        <w:t>When appointments to the Board have been made the Council shall publish the name of Board members, the process followed in the appointment together with the way in which the appointments support the effective delivery of the purpose of the Board.</w:t>
      </w:r>
    </w:p>
    <w:p w14:paraId="6D163FC8" w14:textId="77777777" w:rsidR="00A71BC4" w:rsidRPr="00227E88" w:rsidRDefault="00A71BC4" w:rsidP="004864DC">
      <w:pPr>
        <w:ind w:left="567" w:right="-23" w:hanging="567"/>
        <w:rPr>
          <w:rFonts w:ascii="Arial" w:hAnsi="Arial" w:cs="Arial"/>
          <w:b/>
        </w:rPr>
      </w:pPr>
    </w:p>
    <w:p w14:paraId="6D163FC9" w14:textId="77777777" w:rsidR="004864DC" w:rsidRPr="00227E88" w:rsidRDefault="004864DC" w:rsidP="004864DC">
      <w:pPr>
        <w:ind w:left="567" w:right="-23" w:hanging="567"/>
        <w:rPr>
          <w:rFonts w:ascii="Arial" w:hAnsi="Arial" w:cs="Arial"/>
          <w:b/>
        </w:rPr>
      </w:pPr>
      <w:r w:rsidRPr="00227E88">
        <w:rPr>
          <w:rFonts w:ascii="Arial" w:hAnsi="Arial" w:cs="Arial"/>
          <w:b/>
        </w:rPr>
        <w:t>4.</w:t>
      </w:r>
      <w:r w:rsidRPr="00227E88">
        <w:rPr>
          <w:rFonts w:ascii="Arial" w:hAnsi="Arial" w:cs="Arial"/>
          <w:b/>
        </w:rPr>
        <w:tab/>
        <w:t>Board Requirements and Support</w:t>
      </w:r>
    </w:p>
    <w:p w14:paraId="6D163FCA" w14:textId="77777777" w:rsidR="004864DC" w:rsidRPr="00227E88" w:rsidRDefault="004864DC" w:rsidP="004864DC">
      <w:pPr>
        <w:pStyle w:val="ListParagraph"/>
        <w:spacing w:after="0" w:line="240" w:lineRule="auto"/>
        <w:ind w:left="567" w:right="-23" w:hanging="567"/>
        <w:jc w:val="both"/>
        <w:rPr>
          <w:rFonts w:ascii="Arial" w:hAnsi="Arial" w:cs="Arial"/>
          <w:sz w:val="24"/>
          <w:szCs w:val="24"/>
          <w:u w:val="single"/>
        </w:rPr>
      </w:pPr>
    </w:p>
    <w:p w14:paraId="6D163FCB" w14:textId="77777777" w:rsidR="004864DC" w:rsidRPr="00227E88" w:rsidRDefault="004864DC" w:rsidP="007337FE">
      <w:pPr>
        <w:pStyle w:val="ListParagraph"/>
        <w:numPr>
          <w:ilvl w:val="1"/>
          <w:numId w:val="71"/>
        </w:numPr>
        <w:spacing w:after="0" w:line="240" w:lineRule="auto"/>
        <w:ind w:left="567" w:right="-23" w:hanging="567"/>
        <w:jc w:val="both"/>
        <w:rPr>
          <w:rFonts w:ascii="Arial" w:hAnsi="Arial" w:cs="Arial"/>
          <w:sz w:val="24"/>
          <w:szCs w:val="24"/>
          <w:u w:val="single"/>
        </w:rPr>
      </w:pPr>
      <w:r w:rsidRPr="00227E88">
        <w:rPr>
          <w:rFonts w:ascii="Arial" w:hAnsi="Arial" w:cs="Arial"/>
          <w:sz w:val="24"/>
          <w:szCs w:val="24"/>
          <w:u w:val="single"/>
        </w:rPr>
        <w:t>Term of Office</w:t>
      </w:r>
    </w:p>
    <w:p w14:paraId="6D163FCC" w14:textId="77777777" w:rsidR="004864DC" w:rsidRPr="00227E88" w:rsidRDefault="004864DC" w:rsidP="004864DC">
      <w:pPr>
        <w:pStyle w:val="ListParagraph"/>
        <w:spacing w:after="0" w:line="240" w:lineRule="auto"/>
        <w:ind w:left="567" w:right="-23" w:hanging="567"/>
        <w:jc w:val="both"/>
        <w:rPr>
          <w:rFonts w:ascii="Arial" w:hAnsi="Arial" w:cs="Arial"/>
          <w:sz w:val="24"/>
          <w:szCs w:val="24"/>
          <w:u w:val="single"/>
        </w:rPr>
      </w:pPr>
    </w:p>
    <w:p w14:paraId="6D163FCD" w14:textId="77777777" w:rsidR="004864DC" w:rsidRPr="00227E88" w:rsidRDefault="004864DC" w:rsidP="004864DC">
      <w:pPr>
        <w:ind w:left="567" w:right="-23"/>
        <w:jc w:val="both"/>
        <w:rPr>
          <w:rFonts w:ascii="Arial" w:hAnsi="Arial" w:cs="Arial"/>
        </w:rPr>
      </w:pPr>
      <w:r w:rsidRPr="00227E88">
        <w:rPr>
          <w:rFonts w:ascii="Arial" w:hAnsi="Arial" w:cs="Arial"/>
        </w:rPr>
        <w:t xml:space="preserve">The Employer and Scheme Member Representatives are appointed for a period of </w:t>
      </w:r>
      <w:r w:rsidR="00A71BC4" w:rsidRPr="00227E88">
        <w:rPr>
          <w:rFonts w:ascii="Arial" w:hAnsi="Arial" w:cs="Arial"/>
        </w:rPr>
        <w:t>four</w:t>
      </w:r>
      <w:r w:rsidRPr="00227E88">
        <w:rPr>
          <w:rFonts w:ascii="Arial" w:hAnsi="Arial" w:cs="Arial"/>
        </w:rPr>
        <w:t xml:space="preserve"> years from the date of establishment of the Board or the date of their appointment if later. This period may be extended to up to four years if agreed by the </w:t>
      </w:r>
      <w:r w:rsidR="008C3DBB" w:rsidRPr="00227E88">
        <w:rPr>
          <w:rFonts w:ascii="Arial" w:hAnsi="Arial" w:cs="Arial"/>
        </w:rPr>
        <w:t>COO</w:t>
      </w:r>
      <w:r w:rsidRPr="00227E88">
        <w:rPr>
          <w:rFonts w:ascii="Arial" w:hAnsi="Arial" w:cs="Arial"/>
        </w:rPr>
        <w:t>. An appointment will automatically cease if an employer requests their removal or an employee representative asks to be removed.</w:t>
      </w:r>
    </w:p>
    <w:p w14:paraId="6D163FCE" w14:textId="77777777" w:rsidR="004864DC" w:rsidRPr="00227E88" w:rsidRDefault="004864DC" w:rsidP="004864DC">
      <w:pPr>
        <w:ind w:left="567" w:right="-23" w:hanging="567"/>
        <w:jc w:val="both"/>
        <w:rPr>
          <w:rFonts w:ascii="Arial" w:hAnsi="Arial" w:cs="Arial"/>
        </w:rPr>
      </w:pPr>
    </w:p>
    <w:p w14:paraId="6D163FCF" w14:textId="77777777" w:rsidR="004864DC" w:rsidRPr="00227E88" w:rsidRDefault="004864DC" w:rsidP="004864DC">
      <w:pPr>
        <w:ind w:left="567" w:right="-23"/>
        <w:jc w:val="both"/>
        <w:rPr>
          <w:rFonts w:ascii="Arial" w:hAnsi="Arial" w:cs="Arial"/>
        </w:rPr>
      </w:pPr>
      <w:r w:rsidRPr="00227E88">
        <w:rPr>
          <w:rFonts w:ascii="Arial" w:hAnsi="Arial" w:cs="Arial"/>
        </w:rPr>
        <w:t xml:space="preserve">Any Board member may be re-appointed for further terms following an appointment process. Other than ceasing requesting to be removed (as set out above) a Board member may only be removed from office during the term of appointment by the </w:t>
      </w:r>
      <w:r w:rsidR="008C3DBB" w:rsidRPr="00227E88">
        <w:rPr>
          <w:rFonts w:ascii="Arial" w:hAnsi="Arial" w:cs="Arial"/>
        </w:rPr>
        <w:t>COO</w:t>
      </w:r>
      <w:r w:rsidRPr="00227E88">
        <w:rPr>
          <w:rFonts w:ascii="Arial" w:hAnsi="Arial" w:cs="Arial"/>
        </w:rPr>
        <w:t xml:space="preserve"> or by unanimous agreement of the Board. Such reasons may include non-compliance with these </w:t>
      </w:r>
      <w:proofErr w:type="spellStart"/>
      <w:r w:rsidRPr="00227E88">
        <w:rPr>
          <w:rFonts w:ascii="Arial" w:hAnsi="Arial" w:cs="Arial"/>
        </w:rPr>
        <w:t>ToR</w:t>
      </w:r>
      <w:proofErr w:type="spellEnd"/>
      <w:r w:rsidRPr="00227E88">
        <w:rPr>
          <w:rFonts w:ascii="Arial" w:hAnsi="Arial" w:cs="Arial"/>
        </w:rPr>
        <w:t xml:space="preserve"> including inappropriate conduct, conflicts of interest, avoidance of training or low meeting attendance. </w:t>
      </w:r>
    </w:p>
    <w:p w14:paraId="6D163FD0" w14:textId="77777777" w:rsidR="004864DC" w:rsidRPr="00227E88" w:rsidRDefault="004864DC" w:rsidP="004864DC">
      <w:pPr>
        <w:ind w:left="567" w:right="-23" w:hanging="567"/>
        <w:jc w:val="both"/>
        <w:rPr>
          <w:rFonts w:ascii="Arial" w:hAnsi="Arial" w:cs="Arial"/>
        </w:rPr>
      </w:pPr>
    </w:p>
    <w:p w14:paraId="6D163FD1" w14:textId="77777777" w:rsidR="004864DC" w:rsidRPr="00227E88" w:rsidRDefault="004864DC" w:rsidP="004864DC">
      <w:pPr>
        <w:ind w:left="567" w:right="-23"/>
        <w:jc w:val="both"/>
        <w:rPr>
          <w:rFonts w:ascii="Arial" w:hAnsi="Arial" w:cs="Arial"/>
        </w:rPr>
      </w:pPr>
      <w:r w:rsidRPr="00227E88">
        <w:rPr>
          <w:rFonts w:ascii="Arial" w:hAnsi="Arial" w:cs="Arial"/>
        </w:rPr>
        <w:t xml:space="preserve">As term dates may not be exact due to the period of the appointment process, the term date may be extended by up to three months with the agreement of the </w:t>
      </w:r>
      <w:r w:rsidR="008C3DBB" w:rsidRPr="00227E88">
        <w:rPr>
          <w:rFonts w:ascii="Arial" w:hAnsi="Arial" w:cs="Arial"/>
        </w:rPr>
        <w:t>COO</w:t>
      </w:r>
      <w:r w:rsidRPr="00227E88">
        <w:rPr>
          <w:rFonts w:ascii="Arial" w:hAnsi="Arial" w:cs="Arial"/>
        </w:rPr>
        <w:t>.</w:t>
      </w:r>
    </w:p>
    <w:p w14:paraId="6D163FD2" w14:textId="77777777" w:rsidR="004864DC" w:rsidRPr="00227E88" w:rsidRDefault="004864DC" w:rsidP="004864DC">
      <w:pPr>
        <w:ind w:left="567" w:right="-23" w:hanging="567"/>
        <w:jc w:val="both"/>
        <w:rPr>
          <w:rFonts w:ascii="Arial" w:hAnsi="Arial" w:cs="Arial"/>
        </w:rPr>
      </w:pPr>
    </w:p>
    <w:p w14:paraId="6D163FD3" w14:textId="77777777" w:rsidR="004864DC" w:rsidRPr="00227E88" w:rsidRDefault="004864DC" w:rsidP="004864DC">
      <w:pPr>
        <w:ind w:left="567" w:right="-23" w:hanging="567"/>
        <w:jc w:val="both"/>
        <w:rPr>
          <w:rFonts w:ascii="Arial" w:hAnsi="Arial" w:cs="Arial"/>
          <w:u w:val="single"/>
        </w:rPr>
      </w:pPr>
      <w:r w:rsidRPr="00227E88">
        <w:rPr>
          <w:rFonts w:ascii="Arial" w:hAnsi="Arial" w:cs="Arial"/>
        </w:rPr>
        <w:t>4.2</w:t>
      </w:r>
      <w:r w:rsidRPr="00227E88">
        <w:rPr>
          <w:rFonts w:ascii="Arial" w:hAnsi="Arial" w:cs="Arial"/>
        </w:rPr>
        <w:tab/>
      </w:r>
      <w:r w:rsidRPr="00227E88">
        <w:rPr>
          <w:rFonts w:ascii="Arial" w:hAnsi="Arial" w:cs="Arial"/>
          <w:u w:val="single"/>
        </w:rPr>
        <w:t>Quorum</w:t>
      </w:r>
    </w:p>
    <w:p w14:paraId="6D163FD4" w14:textId="77777777" w:rsidR="004864DC" w:rsidRPr="00227E88" w:rsidRDefault="004864DC" w:rsidP="004864DC">
      <w:pPr>
        <w:ind w:left="567" w:right="-23" w:hanging="567"/>
        <w:jc w:val="both"/>
        <w:rPr>
          <w:rFonts w:ascii="Arial" w:hAnsi="Arial" w:cs="Arial"/>
        </w:rPr>
      </w:pPr>
      <w:r w:rsidRPr="00227E88">
        <w:rPr>
          <w:rFonts w:ascii="Arial" w:hAnsi="Arial" w:cs="Arial"/>
        </w:rPr>
        <w:tab/>
      </w:r>
    </w:p>
    <w:p w14:paraId="6D163FD5"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All Board members are expected to regularly attend meetings. Records of attendance of all Members will be maintained and reported to the </w:t>
      </w:r>
      <w:r w:rsidR="008C3DBB" w:rsidRPr="00227E88">
        <w:rPr>
          <w:rFonts w:ascii="Arial" w:hAnsi="Arial" w:cs="Arial"/>
        </w:rPr>
        <w:t>COO</w:t>
      </w:r>
      <w:r w:rsidRPr="00227E88">
        <w:rPr>
          <w:rFonts w:ascii="Arial" w:hAnsi="Arial" w:cs="Arial"/>
        </w:rPr>
        <w:t xml:space="preserve"> on an annual basis. A meeting of the Pension Board will be quorate when any three of the six Board members are present. A meeting that is / becomes at any point not quorate will cease immediately.</w:t>
      </w:r>
    </w:p>
    <w:p w14:paraId="6D163FD6" w14:textId="77777777" w:rsidR="004864DC" w:rsidRPr="00227E88" w:rsidRDefault="004864DC" w:rsidP="004864DC">
      <w:pPr>
        <w:ind w:left="567" w:right="-23" w:hanging="567"/>
        <w:jc w:val="both"/>
        <w:rPr>
          <w:rFonts w:ascii="Arial" w:hAnsi="Arial" w:cs="Arial"/>
        </w:rPr>
      </w:pPr>
    </w:p>
    <w:p w14:paraId="6D163FD7" w14:textId="77777777" w:rsidR="004864DC" w:rsidRPr="00227E88" w:rsidRDefault="004864DC" w:rsidP="004864DC">
      <w:pPr>
        <w:ind w:left="567" w:right="-23" w:hanging="567"/>
        <w:jc w:val="both"/>
        <w:rPr>
          <w:rFonts w:ascii="Arial" w:hAnsi="Arial" w:cs="Arial"/>
        </w:rPr>
      </w:pPr>
      <w:r w:rsidRPr="00227E88">
        <w:rPr>
          <w:rFonts w:ascii="Arial" w:hAnsi="Arial" w:cs="Arial"/>
        </w:rPr>
        <w:t xml:space="preserve">4.3 </w:t>
      </w:r>
      <w:r w:rsidRPr="00227E88">
        <w:rPr>
          <w:rFonts w:ascii="Arial" w:hAnsi="Arial" w:cs="Arial"/>
        </w:rPr>
        <w:tab/>
      </w:r>
      <w:r w:rsidRPr="00227E88">
        <w:rPr>
          <w:rFonts w:ascii="Arial" w:hAnsi="Arial" w:cs="Arial"/>
          <w:u w:val="single"/>
        </w:rPr>
        <w:t>Location and Timing</w:t>
      </w:r>
    </w:p>
    <w:p w14:paraId="6D163FD8" w14:textId="77777777" w:rsidR="004864DC" w:rsidRPr="00227E88" w:rsidRDefault="004864DC" w:rsidP="004864DC">
      <w:pPr>
        <w:ind w:left="567" w:right="-23" w:hanging="567"/>
        <w:jc w:val="both"/>
        <w:rPr>
          <w:rFonts w:ascii="Arial" w:hAnsi="Arial" w:cs="Arial"/>
        </w:rPr>
      </w:pPr>
    </w:p>
    <w:p w14:paraId="6D163FD9"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The Board will normally meet at an office of the Council. Meetings will take place at any point on a Monday to Friday if it is a normal working day apart from in exceptional circumstances and agreed by all Board members and other individuals expected to attend the Board meetings. The Board will meet twice a year. The Chair may call, or agree to call, additional meetings in exceptional circumstances. </w:t>
      </w:r>
    </w:p>
    <w:p w14:paraId="6D163FDA" w14:textId="77777777" w:rsidR="004864DC" w:rsidRPr="00227E88" w:rsidRDefault="004864DC" w:rsidP="004864DC">
      <w:pPr>
        <w:ind w:left="567" w:right="-23" w:hanging="567"/>
        <w:jc w:val="both"/>
        <w:rPr>
          <w:rFonts w:ascii="Arial" w:hAnsi="Arial" w:cs="Arial"/>
        </w:rPr>
      </w:pPr>
    </w:p>
    <w:p w14:paraId="6D163FDB" w14:textId="77777777" w:rsidR="004864DC" w:rsidRPr="00227E88" w:rsidRDefault="004864DC" w:rsidP="004864DC">
      <w:pPr>
        <w:ind w:left="567" w:right="-23" w:hanging="567"/>
        <w:jc w:val="both"/>
        <w:rPr>
          <w:rFonts w:ascii="Arial" w:hAnsi="Arial" w:cs="Arial"/>
        </w:rPr>
      </w:pPr>
      <w:r w:rsidRPr="00227E88">
        <w:rPr>
          <w:rFonts w:ascii="Arial" w:hAnsi="Arial" w:cs="Arial"/>
        </w:rPr>
        <w:tab/>
        <w:t>Urgent business of the Board between meetings may, in exceptional circumstances, be conducted via telephone conferencing and e-mails. A summary of these discussions will be reported at the following Board.</w:t>
      </w:r>
    </w:p>
    <w:p w14:paraId="6D163FDC" w14:textId="77777777" w:rsidR="004864DC" w:rsidRPr="00227E88" w:rsidRDefault="004864DC" w:rsidP="004864DC">
      <w:pPr>
        <w:ind w:left="567" w:right="-23" w:hanging="567"/>
        <w:jc w:val="both"/>
        <w:rPr>
          <w:rFonts w:ascii="Arial" w:hAnsi="Arial" w:cs="Arial"/>
        </w:rPr>
      </w:pPr>
    </w:p>
    <w:p w14:paraId="6D163FDD" w14:textId="77777777" w:rsidR="004864DC" w:rsidRPr="00227E88" w:rsidRDefault="004864DC" w:rsidP="004864DC">
      <w:pPr>
        <w:ind w:left="567" w:right="-23" w:hanging="567"/>
        <w:jc w:val="both"/>
        <w:rPr>
          <w:rFonts w:ascii="Arial" w:hAnsi="Arial" w:cs="Arial"/>
        </w:rPr>
      </w:pPr>
      <w:r w:rsidRPr="00227E88">
        <w:rPr>
          <w:rFonts w:ascii="Arial" w:hAnsi="Arial" w:cs="Arial"/>
        </w:rPr>
        <w:t xml:space="preserve">4.4 </w:t>
      </w:r>
      <w:r w:rsidRPr="00227E88">
        <w:rPr>
          <w:rFonts w:ascii="Arial" w:hAnsi="Arial" w:cs="Arial"/>
        </w:rPr>
        <w:tab/>
      </w:r>
      <w:r w:rsidRPr="00227E88">
        <w:rPr>
          <w:rFonts w:ascii="Arial" w:hAnsi="Arial" w:cs="Arial"/>
          <w:u w:val="single"/>
        </w:rPr>
        <w:t>Receipt of advice and information</w:t>
      </w:r>
    </w:p>
    <w:p w14:paraId="6D163FDE" w14:textId="77777777" w:rsidR="004864DC" w:rsidRPr="00227E88" w:rsidRDefault="004864DC" w:rsidP="004864DC">
      <w:pPr>
        <w:ind w:left="567" w:right="-23" w:hanging="567"/>
        <w:jc w:val="both"/>
        <w:rPr>
          <w:rFonts w:ascii="Arial" w:hAnsi="Arial" w:cs="Arial"/>
        </w:rPr>
      </w:pPr>
    </w:p>
    <w:p w14:paraId="6D163FDF"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The Board will be supported in its role by officers and by advisors (where requested). In addition Board members will receive the final reports, minutes and agendas relating to all </w:t>
      </w:r>
      <w:r w:rsidR="00D576F8" w:rsidRPr="00227E88">
        <w:rPr>
          <w:rFonts w:ascii="Arial" w:hAnsi="Arial" w:cs="Arial"/>
        </w:rPr>
        <w:t>Committee</w:t>
      </w:r>
      <w:r w:rsidRPr="00227E88">
        <w:rPr>
          <w:rFonts w:ascii="Arial" w:hAnsi="Arial" w:cs="Arial"/>
        </w:rPr>
        <w:t xml:space="preserve">s and may attend </w:t>
      </w:r>
      <w:r w:rsidR="00D576F8" w:rsidRPr="00227E88">
        <w:rPr>
          <w:rFonts w:ascii="Arial" w:hAnsi="Arial" w:cs="Arial"/>
        </w:rPr>
        <w:t>Committee</w:t>
      </w:r>
      <w:r w:rsidRPr="00227E88">
        <w:rPr>
          <w:rFonts w:ascii="Arial" w:hAnsi="Arial" w:cs="Arial"/>
        </w:rPr>
        <w:t>s as observers (including during exempt items).</w:t>
      </w:r>
    </w:p>
    <w:p w14:paraId="6D163FE0" w14:textId="77777777" w:rsidR="004864DC" w:rsidRPr="00227E88" w:rsidRDefault="004864DC" w:rsidP="004864DC">
      <w:pPr>
        <w:ind w:left="567" w:right="-23" w:hanging="567"/>
        <w:jc w:val="both"/>
        <w:rPr>
          <w:rFonts w:ascii="Arial" w:hAnsi="Arial" w:cs="Arial"/>
        </w:rPr>
      </w:pPr>
    </w:p>
    <w:p w14:paraId="6D163FE1"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Insofar as it relates to the role of the Board, it may also request and receive information and reports from the </w:t>
      </w:r>
      <w:r w:rsidR="00D576F8" w:rsidRPr="00227E88">
        <w:rPr>
          <w:rFonts w:ascii="Arial" w:hAnsi="Arial" w:cs="Arial"/>
        </w:rPr>
        <w:t>Committee</w:t>
      </w:r>
      <w:r w:rsidRPr="00227E88">
        <w:rPr>
          <w:rFonts w:ascii="Arial" w:hAnsi="Arial" w:cs="Arial"/>
        </w:rPr>
        <w:t xml:space="preserve"> and examine decisions made or actions taken by the </w:t>
      </w:r>
      <w:r w:rsidR="00D576F8" w:rsidRPr="00227E88">
        <w:rPr>
          <w:rFonts w:ascii="Arial" w:hAnsi="Arial" w:cs="Arial"/>
        </w:rPr>
        <w:t>Committee</w:t>
      </w:r>
      <w:r w:rsidRPr="00227E88">
        <w:rPr>
          <w:rFonts w:ascii="Arial" w:hAnsi="Arial" w:cs="Arial"/>
        </w:rPr>
        <w:t xml:space="preserve">. Any further requests for information and advice are subject to the approval of the </w:t>
      </w:r>
      <w:r w:rsidR="008C3DBB" w:rsidRPr="00227E88">
        <w:rPr>
          <w:rFonts w:ascii="Arial" w:hAnsi="Arial" w:cs="Arial"/>
        </w:rPr>
        <w:t>COO</w:t>
      </w:r>
      <w:r w:rsidRPr="00227E88">
        <w:rPr>
          <w:rFonts w:ascii="Arial" w:hAnsi="Arial" w:cs="Arial"/>
        </w:rPr>
        <w:t xml:space="preserve"> who will be required to consider positively all reasonable requests in relation to the role of the Pension Board whilst being mindful of value for money.</w:t>
      </w:r>
    </w:p>
    <w:p w14:paraId="6D163FE2" w14:textId="77777777" w:rsidR="004864DC" w:rsidRPr="00227E88" w:rsidRDefault="004864DC" w:rsidP="004864DC">
      <w:pPr>
        <w:ind w:left="567" w:right="-23" w:hanging="567"/>
        <w:jc w:val="both"/>
        <w:rPr>
          <w:rFonts w:ascii="Arial" w:hAnsi="Arial" w:cs="Arial"/>
        </w:rPr>
      </w:pPr>
    </w:p>
    <w:p w14:paraId="6D163FE3" w14:textId="77777777" w:rsidR="004864DC" w:rsidRPr="00227E88" w:rsidRDefault="004864DC" w:rsidP="004864DC">
      <w:pPr>
        <w:ind w:left="567" w:right="-23" w:hanging="567"/>
        <w:jc w:val="both"/>
        <w:rPr>
          <w:rFonts w:ascii="Arial" w:hAnsi="Arial" w:cs="Arial"/>
        </w:rPr>
      </w:pPr>
      <w:r w:rsidRPr="00227E88">
        <w:rPr>
          <w:rFonts w:ascii="Arial" w:hAnsi="Arial" w:cs="Arial"/>
        </w:rPr>
        <w:t>4.5</w:t>
      </w:r>
      <w:r w:rsidRPr="00227E88">
        <w:rPr>
          <w:rFonts w:ascii="Arial" w:hAnsi="Arial" w:cs="Arial"/>
        </w:rPr>
        <w:tab/>
      </w:r>
      <w:r w:rsidRPr="00227E88">
        <w:rPr>
          <w:rFonts w:ascii="Arial" w:hAnsi="Arial" w:cs="Arial"/>
          <w:u w:val="single"/>
        </w:rPr>
        <w:t>Administration</w:t>
      </w:r>
    </w:p>
    <w:p w14:paraId="6D163FE4" w14:textId="77777777" w:rsidR="004864DC" w:rsidRPr="00227E88" w:rsidRDefault="004864DC" w:rsidP="004864DC">
      <w:pPr>
        <w:ind w:left="567" w:right="-23" w:hanging="567"/>
        <w:jc w:val="both"/>
        <w:rPr>
          <w:rFonts w:ascii="Arial" w:hAnsi="Arial" w:cs="Arial"/>
        </w:rPr>
      </w:pPr>
    </w:p>
    <w:p w14:paraId="6D163FE5"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The </w:t>
      </w:r>
      <w:r w:rsidR="008C3DBB" w:rsidRPr="00227E88">
        <w:rPr>
          <w:rFonts w:ascii="Arial" w:hAnsi="Arial" w:cs="Arial"/>
        </w:rPr>
        <w:t>COO</w:t>
      </w:r>
      <w:r w:rsidRPr="00227E88">
        <w:rPr>
          <w:rFonts w:ascii="Arial" w:hAnsi="Arial" w:cs="Arial"/>
        </w:rPr>
        <w:t xml:space="preserve"> will agree an agenda with the Chair of the Board prior to each Board meeting. The agenda and any papers for the Board will be issued at least 5 working days (where practicable) in advance of the meeting except in the case of matters of urgency. High level minutes of each meeting including all actions and agreements will be recorded and circulated to all Board members within 10 working days after the meeting. These minutes will be subject to formal agreement by the Chair taking consideration of comments by Board members (which may be done electronically between meetings).</w:t>
      </w:r>
    </w:p>
    <w:p w14:paraId="6D163FE6" w14:textId="77777777" w:rsidR="004864DC" w:rsidRPr="00227E88" w:rsidRDefault="004864DC" w:rsidP="004864DC">
      <w:pPr>
        <w:ind w:left="567" w:right="-23" w:hanging="567"/>
        <w:jc w:val="both"/>
        <w:rPr>
          <w:rFonts w:ascii="Arial" w:hAnsi="Arial" w:cs="Arial"/>
        </w:rPr>
      </w:pPr>
    </w:p>
    <w:p w14:paraId="6D163FE7"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The minutes may, at the discretion of the Chair, be edited to exclude items on the grounds that they would either involve the likely disclosure of exempt information as specified in Part 1 of Schedule 12A of the Local Government Act 1972 or it being confidential for the purposes of Section 100A(2) of that Act and/or they represent data covered by the Data Protection Act 1998. </w:t>
      </w:r>
    </w:p>
    <w:p w14:paraId="6D163FE8" w14:textId="77777777" w:rsidR="004864DC" w:rsidRPr="00227E88" w:rsidRDefault="004864DC" w:rsidP="004864DC">
      <w:pPr>
        <w:ind w:left="567" w:right="-23" w:hanging="567"/>
        <w:jc w:val="both"/>
        <w:rPr>
          <w:rFonts w:ascii="Arial" w:hAnsi="Arial" w:cs="Arial"/>
        </w:rPr>
      </w:pPr>
    </w:p>
    <w:p w14:paraId="6D163FE9" w14:textId="77777777" w:rsidR="004864DC" w:rsidRPr="00227E88" w:rsidRDefault="004864DC" w:rsidP="004864DC">
      <w:pPr>
        <w:ind w:left="567" w:right="-23" w:hanging="567"/>
        <w:jc w:val="both"/>
        <w:rPr>
          <w:rFonts w:ascii="Arial" w:hAnsi="Arial" w:cs="Arial"/>
        </w:rPr>
      </w:pPr>
      <w:r w:rsidRPr="00227E88">
        <w:rPr>
          <w:rFonts w:ascii="Arial" w:hAnsi="Arial" w:cs="Arial"/>
        </w:rPr>
        <w:t xml:space="preserve">4.6 </w:t>
      </w:r>
      <w:r w:rsidRPr="00227E88">
        <w:rPr>
          <w:rFonts w:ascii="Arial" w:hAnsi="Arial" w:cs="Arial"/>
        </w:rPr>
        <w:tab/>
      </w:r>
      <w:r w:rsidRPr="00227E88">
        <w:rPr>
          <w:rFonts w:ascii="Arial" w:hAnsi="Arial" w:cs="Arial"/>
          <w:u w:val="single"/>
        </w:rPr>
        <w:t>Access to the Public and publication of Pension Board information</w:t>
      </w:r>
    </w:p>
    <w:p w14:paraId="6D163FEA" w14:textId="77777777" w:rsidR="004864DC" w:rsidRPr="00227E88" w:rsidRDefault="004864DC" w:rsidP="004864DC">
      <w:pPr>
        <w:ind w:left="567" w:right="-23" w:hanging="567"/>
        <w:jc w:val="both"/>
        <w:rPr>
          <w:rFonts w:ascii="Arial" w:hAnsi="Arial" w:cs="Arial"/>
        </w:rPr>
      </w:pPr>
    </w:p>
    <w:p w14:paraId="6D163FEB" w14:textId="77777777" w:rsidR="004864DC" w:rsidRPr="00227E88" w:rsidRDefault="004864DC" w:rsidP="004864DC">
      <w:pPr>
        <w:ind w:left="567" w:right="-23" w:hanging="567"/>
        <w:jc w:val="both"/>
        <w:rPr>
          <w:rFonts w:ascii="Arial" w:hAnsi="Arial" w:cs="Arial"/>
        </w:rPr>
      </w:pPr>
      <w:r w:rsidRPr="00227E88">
        <w:rPr>
          <w:rFonts w:ascii="Arial" w:hAnsi="Arial" w:cs="Arial"/>
        </w:rPr>
        <w:tab/>
        <w:t>The following will be entitled to attend the entire Board meeting in an observer capacity:</w:t>
      </w:r>
    </w:p>
    <w:p w14:paraId="6D163FEC" w14:textId="77777777" w:rsidR="004864DC" w:rsidRPr="00227E88" w:rsidRDefault="004864DC" w:rsidP="004864DC">
      <w:pPr>
        <w:ind w:left="993" w:right="-23" w:hanging="283"/>
        <w:jc w:val="both"/>
        <w:rPr>
          <w:rFonts w:ascii="Arial" w:hAnsi="Arial" w:cs="Arial"/>
        </w:rPr>
      </w:pPr>
    </w:p>
    <w:p w14:paraId="6D163FED" w14:textId="77777777" w:rsidR="004864DC" w:rsidRPr="00227E88" w:rsidRDefault="004864DC" w:rsidP="007337FE">
      <w:pPr>
        <w:pStyle w:val="ListParagraph"/>
        <w:numPr>
          <w:ilvl w:val="0"/>
          <w:numId w:val="70"/>
        </w:numPr>
        <w:spacing w:after="0" w:line="240" w:lineRule="auto"/>
        <w:ind w:left="993" w:right="-23" w:hanging="284"/>
        <w:jc w:val="both"/>
        <w:rPr>
          <w:rFonts w:ascii="Arial" w:hAnsi="Arial" w:cs="Arial"/>
          <w:sz w:val="24"/>
          <w:szCs w:val="24"/>
        </w:rPr>
      </w:pPr>
      <w:r w:rsidRPr="00227E88">
        <w:rPr>
          <w:rFonts w:ascii="Arial" w:hAnsi="Arial" w:cs="Arial"/>
          <w:sz w:val="24"/>
          <w:szCs w:val="24"/>
        </w:rPr>
        <w:t xml:space="preserve">Any Members of the </w:t>
      </w:r>
      <w:r w:rsidR="00D576F8" w:rsidRPr="00227E88">
        <w:rPr>
          <w:rFonts w:ascii="Arial" w:hAnsi="Arial" w:cs="Arial"/>
          <w:sz w:val="24"/>
          <w:szCs w:val="24"/>
        </w:rPr>
        <w:t>Committee</w:t>
      </w:r>
      <w:r w:rsidRPr="00227E88">
        <w:rPr>
          <w:rFonts w:ascii="Arial" w:hAnsi="Arial" w:cs="Arial"/>
          <w:sz w:val="24"/>
          <w:szCs w:val="24"/>
        </w:rPr>
        <w:t xml:space="preserve">; </w:t>
      </w:r>
    </w:p>
    <w:p w14:paraId="6D163FEE" w14:textId="77777777" w:rsidR="004864DC" w:rsidRPr="00227E88" w:rsidRDefault="004864DC" w:rsidP="004864DC">
      <w:pPr>
        <w:ind w:left="993" w:right="-23" w:hanging="284"/>
        <w:jc w:val="both"/>
        <w:rPr>
          <w:rFonts w:ascii="Arial" w:hAnsi="Arial" w:cs="Arial"/>
        </w:rPr>
      </w:pPr>
    </w:p>
    <w:p w14:paraId="6D163FEF" w14:textId="77777777" w:rsidR="004864DC" w:rsidRPr="00227E88" w:rsidRDefault="004864DC" w:rsidP="007337FE">
      <w:pPr>
        <w:pStyle w:val="ListParagraph"/>
        <w:numPr>
          <w:ilvl w:val="0"/>
          <w:numId w:val="70"/>
        </w:numPr>
        <w:spacing w:after="0" w:line="240" w:lineRule="auto"/>
        <w:ind w:left="993" w:right="-23" w:hanging="284"/>
        <w:jc w:val="both"/>
        <w:rPr>
          <w:rFonts w:ascii="Arial" w:hAnsi="Arial" w:cs="Arial"/>
          <w:sz w:val="24"/>
          <w:szCs w:val="24"/>
        </w:rPr>
      </w:pPr>
      <w:r w:rsidRPr="00227E88">
        <w:rPr>
          <w:rFonts w:ascii="Arial" w:hAnsi="Arial" w:cs="Arial"/>
          <w:sz w:val="24"/>
          <w:szCs w:val="24"/>
        </w:rPr>
        <w:t>officers or advisers of the Council involved with the management of the Fund; or</w:t>
      </w:r>
    </w:p>
    <w:p w14:paraId="6D163FF0" w14:textId="77777777" w:rsidR="004864DC" w:rsidRPr="00227E88" w:rsidRDefault="004864DC" w:rsidP="004864DC">
      <w:pPr>
        <w:ind w:left="993" w:right="-23" w:hanging="284"/>
        <w:jc w:val="both"/>
        <w:rPr>
          <w:rFonts w:ascii="Arial" w:hAnsi="Arial" w:cs="Arial"/>
        </w:rPr>
      </w:pPr>
    </w:p>
    <w:p w14:paraId="6D163FF1" w14:textId="77777777" w:rsidR="004864DC" w:rsidRPr="00227E88" w:rsidRDefault="004864DC" w:rsidP="007337FE">
      <w:pPr>
        <w:pStyle w:val="ListParagraph"/>
        <w:numPr>
          <w:ilvl w:val="0"/>
          <w:numId w:val="70"/>
        </w:numPr>
        <w:spacing w:after="0" w:line="240" w:lineRule="auto"/>
        <w:ind w:left="993" w:right="-23" w:hanging="284"/>
        <w:jc w:val="both"/>
        <w:rPr>
          <w:rFonts w:ascii="Arial" w:hAnsi="Arial" w:cs="Arial"/>
          <w:sz w:val="24"/>
          <w:szCs w:val="24"/>
        </w:rPr>
      </w:pPr>
      <w:r w:rsidRPr="00227E88">
        <w:rPr>
          <w:rFonts w:ascii="Arial" w:hAnsi="Arial" w:cs="Arial"/>
          <w:sz w:val="24"/>
          <w:szCs w:val="24"/>
        </w:rPr>
        <w:t xml:space="preserve">any other person requested to attend by the Chair of the Board or </w:t>
      </w:r>
      <w:r w:rsidR="008C3DBB" w:rsidRPr="00227E88">
        <w:rPr>
          <w:rFonts w:ascii="Arial" w:hAnsi="Arial" w:cs="Arial"/>
          <w:sz w:val="24"/>
          <w:szCs w:val="24"/>
        </w:rPr>
        <w:t>COO</w:t>
      </w:r>
      <w:r w:rsidRPr="00227E88">
        <w:rPr>
          <w:rFonts w:ascii="Arial" w:hAnsi="Arial" w:cs="Arial"/>
          <w:sz w:val="24"/>
          <w:szCs w:val="24"/>
        </w:rPr>
        <w:t>.</w:t>
      </w:r>
    </w:p>
    <w:p w14:paraId="6D163FF2" w14:textId="77777777" w:rsidR="004864DC" w:rsidRPr="00227E88" w:rsidRDefault="004864DC" w:rsidP="004864DC">
      <w:pPr>
        <w:ind w:left="993" w:right="-23" w:hanging="284"/>
        <w:jc w:val="both"/>
        <w:rPr>
          <w:rFonts w:ascii="Arial" w:hAnsi="Arial" w:cs="Arial"/>
        </w:rPr>
      </w:pPr>
    </w:p>
    <w:p w14:paraId="6D163FF3" w14:textId="77777777" w:rsidR="004864DC" w:rsidRPr="00227E88" w:rsidRDefault="004864DC" w:rsidP="004864DC">
      <w:pPr>
        <w:ind w:left="993" w:right="-23" w:hanging="284"/>
        <w:jc w:val="both"/>
        <w:rPr>
          <w:rFonts w:ascii="Arial" w:hAnsi="Arial" w:cs="Arial"/>
        </w:rPr>
      </w:pPr>
      <w:r w:rsidRPr="00227E88">
        <w:rPr>
          <w:rFonts w:ascii="Arial" w:hAnsi="Arial" w:cs="Arial"/>
        </w:rPr>
        <w:tab/>
        <w:t>Any such attendees will be permitted to speak on request to the Chair. Members of the public may attend the public part of the meeting and papers will be made public in accordance with the Access to Information Procedure Rules in the Council's Constitution.</w:t>
      </w:r>
    </w:p>
    <w:p w14:paraId="6D163FF4" w14:textId="77777777" w:rsidR="004864DC" w:rsidRPr="00227E88" w:rsidRDefault="004864DC" w:rsidP="004864DC">
      <w:pPr>
        <w:ind w:left="567" w:right="-23" w:hanging="567"/>
        <w:jc w:val="both"/>
        <w:rPr>
          <w:rFonts w:ascii="Arial" w:hAnsi="Arial" w:cs="Arial"/>
        </w:rPr>
      </w:pPr>
    </w:p>
    <w:p w14:paraId="6D163FF5" w14:textId="77777777" w:rsidR="004864DC" w:rsidRPr="00227E88" w:rsidRDefault="004864DC" w:rsidP="004864DC">
      <w:pPr>
        <w:ind w:left="567" w:right="-23" w:hanging="567"/>
        <w:jc w:val="both"/>
        <w:rPr>
          <w:rFonts w:ascii="Arial" w:hAnsi="Arial" w:cs="Arial"/>
        </w:rPr>
      </w:pPr>
      <w:r w:rsidRPr="00227E88">
        <w:rPr>
          <w:rFonts w:ascii="Arial" w:hAnsi="Arial" w:cs="Arial"/>
        </w:rPr>
        <w:t xml:space="preserve">4.7 </w:t>
      </w:r>
      <w:r w:rsidRPr="00227E88">
        <w:rPr>
          <w:rFonts w:ascii="Arial" w:hAnsi="Arial" w:cs="Arial"/>
        </w:rPr>
        <w:tab/>
      </w:r>
      <w:r w:rsidRPr="00227E88">
        <w:rPr>
          <w:rFonts w:ascii="Arial" w:hAnsi="Arial" w:cs="Arial"/>
          <w:u w:val="single"/>
        </w:rPr>
        <w:t>Accountability</w:t>
      </w:r>
    </w:p>
    <w:p w14:paraId="6D163FF6" w14:textId="77777777" w:rsidR="004864DC" w:rsidRPr="00227E88" w:rsidRDefault="004864DC" w:rsidP="004864DC">
      <w:pPr>
        <w:ind w:left="567" w:right="-23" w:hanging="567"/>
        <w:jc w:val="both"/>
        <w:rPr>
          <w:rFonts w:ascii="Arial" w:hAnsi="Arial" w:cs="Arial"/>
        </w:rPr>
      </w:pPr>
    </w:p>
    <w:p w14:paraId="6D163FF7" w14:textId="77777777" w:rsidR="004864DC" w:rsidRPr="00227E88" w:rsidRDefault="004864DC" w:rsidP="004864DC">
      <w:pPr>
        <w:ind w:left="567" w:right="-23" w:hanging="567"/>
        <w:jc w:val="both"/>
        <w:rPr>
          <w:rFonts w:ascii="Arial" w:hAnsi="Arial" w:cs="Arial"/>
        </w:rPr>
      </w:pPr>
      <w:r w:rsidRPr="00227E88">
        <w:rPr>
          <w:rFonts w:ascii="Arial" w:hAnsi="Arial" w:cs="Arial"/>
        </w:rPr>
        <w:tab/>
        <w:t>The Board will be collectively and individually accountable to the Council.</w:t>
      </w:r>
    </w:p>
    <w:p w14:paraId="6D163FF8" w14:textId="77777777" w:rsidR="004864DC" w:rsidRPr="00227E88" w:rsidRDefault="004864DC" w:rsidP="004864DC">
      <w:pPr>
        <w:ind w:right="-23"/>
        <w:jc w:val="both"/>
        <w:rPr>
          <w:rFonts w:ascii="Arial" w:hAnsi="Arial" w:cs="Arial"/>
          <w:b/>
        </w:rPr>
      </w:pPr>
    </w:p>
    <w:p w14:paraId="6D163FF9" w14:textId="77777777" w:rsidR="004864DC" w:rsidRPr="00227E88" w:rsidRDefault="004864DC" w:rsidP="004864DC">
      <w:pPr>
        <w:ind w:left="567" w:right="-23" w:hanging="567"/>
        <w:jc w:val="both"/>
        <w:rPr>
          <w:rFonts w:ascii="Arial" w:hAnsi="Arial" w:cs="Arial"/>
          <w:b/>
        </w:rPr>
      </w:pPr>
      <w:r w:rsidRPr="00227E88">
        <w:rPr>
          <w:rFonts w:ascii="Arial" w:hAnsi="Arial" w:cs="Arial"/>
          <w:b/>
        </w:rPr>
        <w:t xml:space="preserve">5. </w:t>
      </w:r>
      <w:r w:rsidRPr="00227E88">
        <w:rPr>
          <w:rFonts w:ascii="Arial" w:hAnsi="Arial" w:cs="Arial"/>
          <w:b/>
        </w:rPr>
        <w:tab/>
        <w:t>Conflicts of Interest</w:t>
      </w:r>
    </w:p>
    <w:p w14:paraId="6D163FFA" w14:textId="77777777" w:rsidR="004864DC" w:rsidRPr="00227E88" w:rsidRDefault="004864DC" w:rsidP="004864DC">
      <w:pPr>
        <w:ind w:left="567" w:right="-23" w:hanging="567"/>
        <w:jc w:val="both"/>
        <w:rPr>
          <w:rFonts w:ascii="Arial" w:hAnsi="Arial" w:cs="Arial"/>
        </w:rPr>
      </w:pPr>
    </w:p>
    <w:p w14:paraId="6D163FFB" w14:textId="77777777" w:rsidR="004864DC" w:rsidRPr="00227E88" w:rsidRDefault="004864DC" w:rsidP="004864DC">
      <w:pPr>
        <w:ind w:left="567" w:right="-23" w:hanging="567"/>
        <w:jc w:val="both"/>
        <w:rPr>
          <w:rFonts w:ascii="Arial" w:hAnsi="Arial" w:cs="Arial"/>
        </w:rPr>
      </w:pPr>
      <w:r w:rsidRPr="00227E88">
        <w:rPr>
          <w:rFonts w:ascii="Arial" w:hAnsi="Arial" w:cs="Arial"/>
        </w:rPr>
        <w:t>5.1</w:t>
      </w:r>
      <w:r w:rsidRPr="00227E88">
        <w:rPr>
          <w:rFonts w:ascii="Arial" w:hAnsi="Arial" w:cs="Arial"/>
        </w:rPr>
        <w:tab/>
        <w:t xml:space="preserve">Each member is required to have due regard to the role of the Board as outlined in the </w:t>
      </w:r>
      <w:proofErr w:type="spellStart"/>
      <w:r w:rsidRPr="00227E88">
        <w:rPr>
          <w:rFonts w:ascii="Arial" w:hAnsi="Arial" w:cs="Arial"/>
        </w:rPr>
        <w:t>ToR</w:t>
      </w:r>
      <w:proofErr w:type="spellEnd"/>
      <w:r w:rsidRPr="00227E88">
        <w:rPr>
          <w:rFonts w:ascii="Arial" w:hAnsi="Arial" w:cs="Arial"/>
        </w:rPr>
        <w:t>. All members are expected to work jointly in the best interests of the Fund, putting aside any individual views of any stakeholders. This should not prevent members from sharing their knowledge on how matters might impact specific stakeholders of the Fund. Board members are expected to declare, on appointment and at each meeting, any interests which may lead to conflicts of interest (COI) in the subject area or specific agenda of that Board. The Board’s Chair must be satisfied that the Board is acting within:</w:t>
      </w:r>
    </w:p>
    <w:p w14:paraId="6D163FFC" w14:textId="77777777" w:rsidR="004864DC" w:rsidRPr="00227E88" w:rsidRDefault="004864DC" w:rsidP="004864DC">
      <w:pPr>
        <w:ind w:left="567" w:right="-23" w:hanging="567"/>
        <w:jc w:val="both"/>
        <w:rPr>
          <w:rFonts w:ascii="Arial" w:hAnsi="Arial" w:cs="Arial"/>
        </w:rPr>
      </w:pPr>
    </w:p>
    <w:p w14:paraId="6D163FFD" w14:textId="77777777" w:rsidR="004864DC" w:rsidRPr="00227E88" w:rsidRDefault="004864DC" w:rsidP="007337FE">
      <w:pPr>
        <w:pStyle w:val="ListParagraph"/>
        <w:numPr>
          <w:ilvl w:val="0"/>
          <w:numId w:val="68"/>
        </w:numPr>
        <w:spacing w:after="0" w:line="240" w:lineRule="auto"/>
        <w:ind w:left="993" w:right="-23" w:hanging="294"/>
        <w:jc w:val="both"/>
        <w:rPr>
          <w:rFonts w:ascii="Arial" w:hAnsi="Arial" w:cs="Arial"/>
          <w:sz w:val="24"/>
          <w:szCs w:val="24"/>
        </w:rPr>
      </w:pPr>
      <w:r w:rsidRPr="00227E88">
        <w:rPr>
          <w:rFonts w:ascii="Arial" w:hAnsi="Arial" w:cs="Arial"/>
          <w:sz w:val="24"/>
          <w:szCs w:val="24"/>
        </w:rPr>
        <w:t>the Public Service Pension Act and the LGPS Regulations COI requirements;</w:t>
      </w:r>
    </w:p>
    <w:p w14:paraId="6D163FFE" w14:textId="77777777" w:rsidR="004864DC" w:rsidRPr="00227E88" w:rsidRDefault="004864DC" w:rsidP="004864DC">
      <w:pPr>
        <w:ind w:left="993" w:right="-23" w:hanging="294"/>
        <w:jc w:val="both"/>
        <w:rPr>
          <w:rFonts w:ascii="Arial" w:hAnsi="Arial" w:cs="Arial"/>
          <w:sz w:val="16"/>
          <w:szCs w:val="16"/>
        </w:rPr>
      </w:pPr>
    </w:p>
    <w:p w14:paraId="6D163FFF" w14:textId="77777777" w:rsidR="004864DC" w:rsidRPr="00227E88" w:rsidRDefault="004864DC" w:rsidP="007337FE">
      <w:pPr>
        <w:pStyle w:val="ListParagraph"/>
        <w:numPr>
          <w:ilvl w:val="0"/>
          <w:numId w:val="68"/>
        </w:numPr>
        <w:spacing w:after="0" w:line="240" w:lineRule="auto"/>
        <w:ind w:left="993" w:right="-23" w:hanging="294"/>
        <w:jc w:val="both"/>
        <w:rPr>
          <w:rFonts w:ascii="Arial" w:hAnsi="Arial" w:cs="Arial"/>
          <w:sz w:val="24"/>
          <w:szCs w:val="24"/>
        </w:rPr>
      </w:pPr>
      <w:r w:rsidRPr="00227E88">
        <w:rPr>
          <w:rFonts w:ascii="Arial" w:hAnsi="Arial" w:cs="Arial"/>
          <w:sz w:val="24"/>
          <w:szCs w:val="24"/>
        </w:rPr>
        <w:t>accordance with any Fund COI Policy that apply to the Board; and</w:t>
      </w:r>
    </w:p>
    <w:p w14:paraId="6D164000" w14:textId="77777777" w:rsidR="004864DC" w:rsidRPr="00227E88" w:rsidRDefault="004864DC" w:rsidP="004864DC">
      <w:pPr>
        <w:ind w:left="993" w:right="-23" w:hanging="294"/>
        <w:jc w:val="both"/>
        <w:rPr>
          <w:rFonts w:ascii="Arial" w:hAnsi="Arial" w:cs="Arial"/>
          <w:sz w:val="16"/>
          <w:szCs w:val="16"/>
        </w:rPr>
      </w:pPr>
    </w:p>
    <w:p w14:paraId="6D164001" w14:textId="77777777" w:rsidR="004864DC" w:rsidRPr="00227E88" w:rsidRDefault="004864DC" w:rsidP="007337FE">
      <w:pPr>
        <w:pStyle w:val="ListParagraph"/>
        <w:numPr>
          <w:ilvl w:val="0"/>
          <w:numId w:val="68"/>
        </w:numPr>
        <w:spacing w:after="0" w:line="240" w:lineRule="auto"/>
        <w:ind w:left="993" w:right="-23" w:hanging="294"/>
        <w:jc w:val="both"/>
        <w:rPr>
          <w:rFonts w:ascii="Arial" w:hAnsi="Arial" w:cs="Arial"/>
          <w:sz w:val="24"/>
          <w:szCs w:val="24"/>
        </w:rPr>
      </w:pPr>
      <w:r w:rsidRPr="00227E88">
        <w:rPr>
          <w:rFonts w:ascii="Arial" w:hAnsi="Arial" w:cs="Arial"/>
          <w:sz w:val="24"/>
          <w:szCs w:val="24"/>
        </w:rPr>
        <w:t>the spirit of any national guidance or code of practice in relation to Board COI.</w:t>
      </w:r>
    </w:p>
    <w:p w14:paraId="6D164002" w14:textId="77777777" w:rsidR="004864DC" w:rsidRPr="00227E88" w:rsidRDefault="004864DC" w:rsidP="004864DC">
      <w:pPr>
        <w:ind w:left="567" w:right="-23" w:hanging="567"/>
        <w:jc w:val="both"/>
        <w:rPr>
          <w:rFonts w:ascii="Arial" w:hAnsi="Arial" w:cs="Arial"/>
        </w:rPr>
      </w:pPr>
    </w:p>
    <w:p w14:paraId="6D164003" w14:textId="77777777" w:rsidR="004864DC" w:rsidRPr="00227E88" w:rsidRDefault="004864DC" w:rsidP="004864DC">
      <w:pPr>
        <w:ind w:left="567" w:right="-23" w:hanging="567"/>
        <w:jc w:val="both"/>
        <w:rPr>
          <w:rFonts w:ascii="Arial" w:hAnsi="Arial" w:cs="Arial"/>
        </w:rPr>
      </w:pPr>
      <w:r w:rsidRPr="00227E88">
        <w:rPr>
          <w:rFonts w:ascii="Arial" w:hAnsi="Arial" w:cs="Arial"/>
        </w:rPr>
        <w:t>5.2</w:t>
      </w:r>
      <w:r w:rsidRPr="00227E88">
        <w:rPr>
          <w:rFonts w:ascii="Arial" w:hAnsi="Arial" w:cs="Arial"/>
        </w:rPr>
        <w:tab/>
        <w:t>The LBBD Councillors’ Code of Conduct shall apply in relation to the management of conflicts of interest of the Board with the exception of the registration of pecuniary interests and how interests are to be disclosed which are detailed below.</w:t>
      </w:r>
    </w:p>
    <w:p w14:paraId="6D164004" w14:textId="77777777" w:rsidR="004864DC" w:rsidRPr="00227E88" w:rsidRDefault="004864DC" w:rsidP="004864DC">
      <w:pPr>
        <w:ind w:left="567" w:right="-23" w:hanging="567"/>
        <w:jc w:val="both"/>
        <w:rPr>
          <w:rFonts w:ascii="Arial" w:hAnsi="Arial" w:cs="Arial"/>
        </w:rPr>
      </w:pPr>
    </w:p>
    <w:p w14:paraId="6D164005" w14:textId="77777777" w:rsidR="004864DC" w:rsidRPr="00227E88" w:rsidRDefault="004864DC" w:rsidP="004864DC">
      <w:pPr>
        <w:ind w:left="567" w:right="-23" w:hanging="567"/>
        <w:jc w:val="both"/>
        <w:rPr>
          <w:rFonts w:ascii="Arial" w:hAnsi="Arial" w:cs="Arial"/>
        </w:rPr>
      </w:pPr>
      <w:r w:rsidRPr="00227E88">
        <w:rPr>
          <w:rFonts w:ascii="Arial" w:hAnsi="Arial" w:cs="Arial"/>
        </w:rPr>
        <w:t>5.3</w:t>
      </w:r>
      <w:r w:rsidRPr="00227E88">
        <w:rPr>
          <w:rFonts w:ascii="Arial" w:hAnsi="Arial" w:cs="Arial"/>
        </w:rPr>
        <w:tab/>
        <w:t xml:space="preserve">Each Board member must provide the Chair with such information as he or she reasonably requires for the purposes of demonstrating that there is no COI. The </w:t>
      </w:r>
      <w:r w:rsidR="008C3DBB" w:rsidRPr="00227E88">
        <w:rPr>
          <w:rFonts w:ascii="Arial" w:hAnsi="Arial" w:cs="Arial"/>
        </w:rPr>
        <w:t>COO</w:t>
      </w:r>
      <w:r w:rsidRPr="00227E88">
        <w:rPr>
          <w:rFonts w:ascii="Arial" w:hAnsi="Arial" w:cs="Arial"/>
        </w:rPr>
        <w:t xml:space="preserve"> will ensure that the Chair does not have a COI. A COI is defined in the Public Service Pensions Act as: </w:t>
      </w:r>
    </w:p>
    <w:p w14:paraId="6D164006" w14:textId="77777777" w:rsidR="004864DC" w:rsidRPr="00227E88" w:rsidRDefault="004864DC" w:rsidP="004864DC">
      <w:pPr>
        <w:ind w:left="567" w:right="-23" w:hanging="567"/>
        <w:jc w:val="both"/>
        <w:rPr>
          <w:rFonts w:ascii="Arial" w:hAnsi="Arial" w:cs="Arial"/>
        </w:rPr>
      </w:pPr>
    </w:p>
    <w:p w14:paraId="6D164007" w14:textId="77777777" w:rsidR="004864DC" w:rsidRPr="00227E88" w:rsidRDefault="004864DC" w:rsidP="004864DC">
      <w:pPr>
        <w:ind w:left="567" w:right="-23" w:hanging="567"/>
        <w:jc w:val="both"/>
        <w:rPr>
          <w:rFonts w:ascii="Arial" w:hAnsi="Arial" w:cs="Arial"/>
          <w:i/>
        </w:rPr>
      </w:pPr>
      <w:r w:rsidRPr="00227E88">
        <w:rPr>
          <w:rFonts w:ascii="Arial" w:hAnsi="Arial" w:cs="Arial"/>
        </w:rPr>
        <w:tab/>
      </w:r>
      <w:r w:rsidRPr="00227E88">
        <w:rPr>
          <w:rFonts w:ascii="Arial" w:hAnsi="Arial" w:cs="Arial"/>
          <w:i/>
        </w:rPr>
        <w:t>"in relation to a person, means a financial or other interest which is likely to prejudice the person’s exercise of functions as a member of the board (but does not include a financial or other interest arising merely by virtue of membership of the scheme)".</w:t>
      </w:r>
    </w:p>
    <w:p w14:paraId="6D164008" w14:textId="77777777" w:rsidR="004864DC" w:rsidRPr="00227E88" w:rsidRDefault="004864DC" w:rsidP="004864DC">
      <w:pPr>
        <w:ind w:left="567" w:right="-23" w:hanging="567"/>
        <w:jc w:val="both"/>
        <w:rPr>
          <w:rFonts w:ascii="Arial" w:hAnsi="Arial" w:cs="Arial"/>
          <w:i/>
        </w:rPr>
      </w:pPr>
    </w:p>
    <w:p w14:paraId="6D164009" w14:textId="77777777" w:rsidR="004864DC" w:rsidRPr="00227E88" w:rsidRDefault="004864DC" w:rsidP="004864DC">
      <w:pPr>
        <w:ind w:left="567" w:right="-23" w:hanging="567"/>
        <w:jc w:val="both"/>
        <w:rPr>
          <w:rFonts w:ascii="Arial" w:hAnsi="Arial" w:cs="Arial"/>
          <w:b/>
        </w:rPr>
      </w:pPr>
      <w:r w:rsidRPr="00227E88">
        <w:rPr>
          <w:rFonts w:ascii="Arial" w:hAnsi="Arial" w:cs="Arial"/>
          <w:b/>
        </w:rPr>
        <w:t xml:space="preserve">6. </w:t>
      </w:r>
      <w:r w:rsidRPr="00227E88">
        <w:rPr>
          <w:rFonts w:ascii="Arial" w:hAnsi="Arial" w:cs="Arial"/>
          <w:b/>
        </w:rPr>
        <w:tab/>
        <w:t xml:space="preserve">Chair and Deputy Chair </w:t>
      </w:r>
    </w:p>
    <w:p w14:paraId="6D16400A" w14:textId="77777777" w:rsidR="004864DC" w:rsidRPr="00227E88" w:rsidRDefault="004864DC" w:rsidP="004864DC">
      <w:pPr>
        <w:ind w:left="567" w:right="-23" w:hanging="567"/>
        <w:jc w:val="both"/>
        <w:rPr>
          <w:rFonts w:ascii="Arial" w:hAnsi="Arial" w:cs="Arial"/>
        </w:rPr>
      </w:pPr>
      <w:r w:rsidRPr="00227E88">
        <w:rPr>
          <w:rFonts w:ascii="Arial" w:hAnsi="Arial" w:cs="Arial"/>
        </w:rPr>
        <w:tab/>
      </w:r>
    </w:p>
    <w:p w14:paraId="6D16400B" w14:textId="77777777" w:rsidR="004864DC" w:rsidRPr="00227E88" w:rsidRDefault="004864DC" w:rsidP="004864DC">
      <w:pPr>
        <w:ind w:left="567" w:right="-23" w:hanging="567"/>
        <w:jc w:val="both"/>
        <w:rPr>
          <w:rFonts w:ascii="Arial" w:hAnsi="Arial" w:cs="Arial"/>
        </w:rPr>
      </w:pPr>
      <w:r w:rsidRPr="00227E88">
        <w:rPr>
          <w:rFonts w:ascii="Arial" w:hAnsi="Arial" w:cs="Arial"/>
        </w:rPr>
        <w:t>6.1</w:t>
      </w:r>
      <w:r w:rsidRPr="00227E88">
        <w:rPr>
          <w:rFonts w:ascii="Arial" w:hAnsi="Arial" w:cs="Arial"/>
        </w:rPr>
        <w:tab/>
        <w:t xml:space="preserve">The </w:t>
      </w:r>
      <w:r w:rsidR="008C3DBB" w:rsidRPr="00227E88">
        <w:rPr>
          <w:rFonts w:ascii="Arial" w:hAnsi="Arial" w:cs="Arial"/>
        </w:rPr>
        <w:t>COO</w:t>
      </w:r>
      <w:r w:rsidRPr="00227E88">
        <w:rPr>
          <w:rFonts w:ascii="Arial" w:hAnsi="Arial" w:cs="Arial"/>
        </w:rPr>
        <w:t xml:space="preserve"> will appoint a Chair and a Deputy Chair from the Board membership. If the </w:t>
      </w:r>
      <w:r w:rsidR="008C3DBB" w:rsidRPr="00227E88">
        <w:rPr>
          <w:rFonts w:ascii="Arial" w:hAnsi="Arial" w:cs="Arial"/>
        </w:rPr>
        <w:t>COO</w:t>
      </w:r>
      <w:r w:rsidRPr="00227E88">
        <w:rPr>
          <w:rFonts w:ascii="Arial" w:hAnsi="Arial" w:cs="Arial"/>
        </w:rPr>
        <w:t xml:space="preserve"> does not consider any of the members to have the requisite knowledge and skills for the role of Chair at the point in time, they may appoint an Independent Member to the Board who will also undertake the role of Chair to the Board. The appointments to Chair and Deputy Chair will be reviewed at such times as considered appropriate by the </w:t>
      </w:r>
      <w:r w:rsidR="008C3DBB" w:rsidRPr="00227E88">
        <w:rPr>
          <w:rFonts w:ascii="Arial" w:hAnsi="Arial" w:cs="Arial"/>
        </w:rPr>
        <w:t>COO</w:t>
      </w:r>
      <w:r w:rsidRPr="00227E88">
        <w:rPr>
          <w:rFonts w:ascii="Arial" w:hAnsi="Arial" w:cs="Arial"/>
        </w:rPr>
        <w:t>.</w:t>
      </w:r>
    </w:p>
    <w:p w14:paraId="6D16400C" w14:textId="77777777" w:rsidR="004864DC" w:rsidRPr="00227E88" w:rsidRDefault="004864DC" w:rsidP="004864DC">
      <w:pPr>
        <w:ind w:left="567" w:right="-23" w:hanging="567"/>
        <w:jc w:val="both"/>
        <w:rPr>
          <w:rFonts w:ascii="Arial" w:hAnsi="Arial" w:cs="Arial"/>
        </w:rPr>
      </w:pPr>
    </w:p>
    <w:p w14:paraId="6D16400D" w14:textId="77777777" w:rsidR="004864DC" w:rsidRPr="00227E88" w:rsidRDefault="004864DC" w:rsidP="004864DC">
      <w:pPr>
        <w:ind w:left="567" w:right="-23" w:hanging="567"/>
        <w:jc w:val="both"/>
        <w:rPr>
          <w:rFonts w:ascii="Arial" w:hAnsi="Arial" w:cs="Arial"/>
        </w:rPr>
      </w:pPr>
      <w:r w:rsidRPr="00227E88">
        <w:rPr>
          <w:rFonts w:ascii="Arial" w:hAnsi="Arial" w:cs="Arial"/>
        </w:rPr>
        <w:t>6.2</w:t>
      </w:r>
      <w:r w:rsidRPr="00227E88">
        <w:rPr>
          <w:rFonts w:ascii="Arial" w:hAnsi="Arial" w:cs="Arial"/>
        </w:rPr>
        <w:tab/>
        <w:t>The role of the Chair is to:</w:t>
      </w:r>
    </w:p>
    <w:p w14:paraId="6D16400E" w14:textId="77777777" w:rsidR="004864DC" w:rsidRPr="00227E88" w:rsidRDefault="004864DC" w:rsidP="004864DC">
      <w:pPr>
        <w:ind w:left="567" w:right="-23" w:hanging="567"/>
        <w:jc w:val="both"/>
        <w:rPr>
          <w:rFonts w:ascii="Arial" w:hAnsi="Arial" w:cs="Arial"/>
        </w:rPr>
      </w:pPr>
    </w:p>
    <w:p w14:paraId="6D16400F" w14:textId="77777777" w:rsidR="004864DC" w:rsidRPr="00227E88" w:rsidRDefault="004864DC" w:rsidP="007337FE">
      <w:pPr>
        <w:pStyle w:val="ListParagraph"/>
        <w:numPr>
          <w:ilvl w:val="0"/>
          <w:numId w:val="67"/>
        </w:numPr>
        <w:spacing w:after="0" w:line="240" w:lineRule="auto"/>
        <w:ind w:left="993" w:right="-23" w:hanging="294"/>
        <w:jc w:val="both"/>
        <w:rPr>
          <w:rFonts w:ascii="Arial" w:hAnsi="Arial" w:cs="Arial"/>
          <w:sz w:val="24"/>
          <w:szCs w:val="24"/>
        </w:rPr>
      </w:pPr>
      <w:r w:rsidRPr="00227E88">
        <w:rPr>
          <w:rFonts w:ascii="Arial" w:hAnsi="Arial" w:cs="Arial"/>
          <w:sz w:val="24"/>
          <w:szCs w:val="24"/>
        </w:rPr>
        <w:t>Ensure all members of the Board show due respect for process, that all views are fully heard and considered and to determine that decisions are democratically made where consensus cannot be reached.</w:t>
      </w:r>
    </w:p>
    <w:p w14:paraId="6D164010" w14:textId="77777777" w:rsidR="004864DC" w:rsidRPr="00227E88" w:rsidRDefault="004864DC" w:rsidP="004864DC">
      <w:pPr>
        <w:ind w:left="993" w:right="-23" w:hanging="294"/>
        <w:jc w:val="both"/>
        <w:rPr>
          <w:rFonts w:ascii="Arial" w:hAnsi="Arial" w:cs="Arial"/>
          <w:sz w:val="16"/>
          <w:szCs w:val="16"/>
        </w:rPr>
      </w:pPr>
    </w:p>
    <w:p w14:paraId="6D164011" w14:textId="77777777" w:rsidR="004864DC" w:rsidRPr="00227E88" w:rsidRDefault="004864DC" w:rsidP="007337FE">
      <w:pPr>
        <w:pStyle w:val="ListParagraph"/>
        <w:numPr>
          <w:ilvl w:val="0"/>
          <w:numId w:val="67"/>
        </w:numPr>
        <w:spacing w:after="0" w:line="240" w:lineRule="auto"/>
        <w:ind w:left="993" w:right="-23" w:hanging="294"/>
        <w:jc w:val="both"/>
        <w:rPr>
          <w:rFonts w:ascii="Arial" w:hAnsi="Arial" w:cs="Arial"/>
          <w:sz w:val="24"/>
          <w:szCs w:val="24"/>
        </w:rPr>
      </w:pPr>
      <w:r w:rsidRPr="00227E88">
        <w:rPr>
          <w:rFonts w:ascii="Arial" w:hAnsi="Arial" w:cs="Arial"/>
          <w:sz w:val="24"/>
          <w:szCs w:val="24"/>
        </w:rPr>
        <w:t>Uphold and promote the purpose of the Board.</w:t>
      </w:r>
    </w:p>
    <w:p w14:paraId="6D164012" w14:textId="77777777" w:rsidR="004864DC" w:rsidRPr="00227E88" w:rsidRDefault="004864DC" w:rsidP="004864DC">
      <w:pPr>
        <w:ind w:left="993" w:right="-23" w:hanging="294"/>
        <w:jc w:val="both"/>
        <w:rPr>
          <w:rFonts w:ascii="Arial" w:hAnsi="Arial" w:cs="Arial"/>
          <w:sz w:val="16"/>
          <w:szCs w:val="16"/>
        </w:rPr>
      </w:pPr>
    </w:p>
    <w:p w14:paraId="6D164013" w14:textId="77777777" w:rsidR="004864DC" w:rsidRPr="00227E88" w:rsidRDefault="004864DC" w:rsidP="007337FE">
      <w:pPr>
        <w:pStyle w:val="ListParagraph"/>
        <w:numPr>
          <w:ilvl w:val="0"/>
          <w:numId w:val="67"/>
        </w:numPr>
        <w:spacing w:after="0" w:line="240" w:lineRule="auto"/>
        <w:ind w:left="993" w:right="-23" w:hanging="294"/>
        <w:jc w:val="both"/>
        <w:rPr>
          <w:rFonts w:ascii="Arial" w:hAnsi="Arial" w:cs="Arial"/>
          <w:sz w:val="24"/>
          <w:szCs w:val="24"/>
        </w:rPr>
      </w:pPr>
      <w:r w:rsidRPr="00227E88">
        <w:rPr>
          <w:rFonts w:ascii="Arial" w:hAnsi="Arial" w:cs="Arial"/>
          <w:sz w:val="24"/>
          <w:szCs w:val="24"/>
        </w:rPr>
        <w:t>Ensure Board members have the knowledge and skills as determined in the Fund's Training Policy and other guidance or legislation and maintain a training record.</w:t>
      </w:r>
    </w:p>
    <w:p w14:paraId="6D164014" w14:textId="77777777" w:rsidR="004864DC" w:rsidRPr="00227E88" w:rsidRDefault="004864DC" w:rsidP="004864DC">
      <w:pPr>
        <w:ind w:left="993" w:right="-23" w:hanging="294"/>
        <w:jc w:val="both"/>
        <w:rPr>
          <w:rFonts w:ascii="Arial" w:hAnsi="Arial" w:cs="Arial"/>
          <w:sz w:val="16"/>
          <w:szCs w:val="16"/>
        </w:rPr>
      </w:pPr>
    </w:p>
    <w:p w14:paraId="6D164015" w14:textId="77777777" w:rsidR="004864DC" w:rsidRPr="00227E88" w:rsidRDefault="004864DC" w:rsidP="007337FE">
      <w:pPr>
        <w:pStyle w:val="ListParagraph"/>
        <w:numPr>
          <w:ilvl w:val="0"/>
          <w:numId w:val="67"/>
        </w:numPr>
        <w:spacing w:after="0" w:line="240" w:lineRule="auto"/>
        <w:ind w:left="993" w:right="-23" w:hanging="294"/>
        <w:jc w:val="both"/>
        <w:rPr>
          <w:rFonts w:ascii="Arial" w:hAnsi="Arial" w:cs="Arial"/>
          <w:sz w:val="24"/>
          <w:szCs w:val="24"/>
        </w:rPr>
      </w:pPr>
      <w:r w:rsidRPr="00227E88">
        <w:rPr>
          <w:rFonts w:ascii="Arial" w:hAnsi="Arial" w:cs="Arial"/>
          <w:sz w:val="24"/>
          <w:szCs w:val="24"/>
        </w:rPr>
        <w:t xml:space="preserve">Agree the agenda and approve minutes for each Pension Board meeting. </w:t>
      </w:r>
    </w:p>
    <w:p w14:paraId="6D164016" w14:textId="77777777" w:rsidR="004864DC" w:rsidRPr="00227E88" w:rsidRDefault="004864DC" w:rsidP="004864DC">
      <w:pPr>
        <w:ind w:left="993" w:right="-23" w:hanging="294"/>
        <w:jc w:val="both"/>
        <w:rPr>
          <w:rFonts w:ascii="Arial" w:hAnsi="Arial" w:cs="Arial"/>
          <w:sz w:val="16"/>
          <w:szCs w:val="16"/>
        </w:rPr>
      </w:pPr>
    </w:p>
    <w:p w14:paraId="6D164017" w14:textId="77777777" w:rsidR="004864DC" w:rsidRPr="00227E88" w:rsidRDefault="004864DC" w:rsidP="007337FE">
      <w:pPr>
        <w:pStyle w:val="ListParagraph"/>
        <w:numPr>
          <w:ilvl w:val="0"/>
          <w:numId w:val="67"/>
        </w:numPr>
        <w:spacing w:after="0" w:line="240" w:lineRule="auto"/>
        <w:ind w:left="993" w:right="-23" w:hanging="294"/>
        <w:jc w:val="both"/>
        <w:rPr>
          <w:rFonts w:ascii="Arial" w:hAnsi="Arial" w:cs="Arial"/>
          <w:sz w:val="24"/>
          <w:szCs w:val="24"/>
        </w:rPr>
      </w:pPr>
      <w:r w:rsidRPr="00227E88">
        <w:rPr>
          <w:rFonts w:ascii="Arial" w:hAnsi="Arial" w:cs="Arial"/>
          <w:sz w:val="24"/>
          <w:szCs w:val="24"/>
        </w:rPr>
        <w:t>Maintain an attendance record and advise the Council on expenses to be paid.</w:t>
      </w:r>
    </w:p>
    <w:p w14:paraId="6D164018" w14:textId="77777777" w:rsidR="004864DC" w:rsidRPr="00227E88" w:rsidRDefault="004864DC" w:rsidP="004864DC">
      <w:pPr>
        <w:ind w:left="993" w:right="-23" w:hanging="294"/>
        <w:jc w:val="both"/>
        <w:rPr>
          <w:rFonts w:ascii="Arial" w:hAnsi="Arial" w:cs="Arial"/>
          <w:sz w:val="16"/>
          <w:szCs w:val="16"/>
        </w:rPr>
      </w:pPr>
    </w:p>
    <w:p w14:paraId="6D164019" w14:textId="77777777" w:rsidR="004864DC" w:rsidRPr="00227E88" w:rsidRDefault="004864DC" w:rsidP="007337FE">
      <w:pPr>
        <w:pStyle w:val="ListParagraph"/>
        <w:numPr>
          <w:ilvl w:val="0"/>
          <w:numId w:val="67"/>
        </w:numPr>
        <w:spacing w:after="0" w:line="240" w:lineRule="auto"/>
        <w:ind w:left="993" w:right="-23" w:hanging="294"/>
        <w:jc w:val="both"/>
        <w:rPr>
          <w:rFonts w:ascii="Arial" w:hAnsi="Arial" w:cs="Arial"/>
          <w:sz w:val="24"/>
          <w:szCs w:val="24"/>
        </w:rPr>
      </w:pPr>
      <w:r w:rsidRPr="00227E88">
        <w:rPr>
          <w:rFonts w:ascii="Arial" w:hAnsi="Arial" w:cs="Arial"/>
          <w:sz w:val="24"/>
          <w:szCs w:val="24"/>
        </w:rPr>
        <w:t>Write reports required by the Council on the work of the Board.</w:t>
      </w:r>
    </w:p>
    <w:p w14:paraId="6D16401A" w14:textId="77777777" w:rsidR="004864DC" w:rsidRPr="00227E88" w:rsidRDefault="004864DC" w:rsidP="004864DC">
      <w:pPr>
        <w:ind w:left="993" w:right="-23" w:hanging="294"/>
        <w:jc w:val="both"/>
        <w:rPr>
          <w:rFonts w:ascii="Arial" w:hAnsi="Arial" w:cs="Arial"/>
          <w:sz w:val="16"/>
          <w:szCs w:val="16"/>
        </w:rPr>
      </w:pPr>
    </w:p>
    <w:p w14:paraId="6D16401B" w14:textId="77777777" w:rsidR="004864DC" w:rsidRPr="00227E88" w:rsidRDefault="004864DC" w:rsidP="007337FE">
      <w:pPr>
        <w:pStyle w:val="ListParagraph"/>
        <w:numPr>
          <w:ilvl w:val="0"/>
          <w:numId w:val="67"/>
        </w:numPr>
        <w:spacing w:after="0" w:line="240" w:lineRule="auto"/>
        <w:ind w:left="993" w:right="-23" w:hanging="294"/>
        <w:jc w:val="both"/>
        <w:rPr>
          <w:rFonts w:ascii="Arial" w:hAnsi="Arial" w:cs="Arial"/>
          <w:sz w:val="24"/>
          <w:szCs w:val="24"/>
        </w:rPr>
      </w:pPr>
      <w:r w:rsidRPr="00227E88">
        <w:rPr>
          <w:rFonts w:ascii="Arial" w:hAnsi="Arial" w:cs="Arial"/>
          <w:sz w:val="24"/>
          <w:szCs w:val="24"/>
        </w:rPr>
        <w:t xml:space="preserve">Liaise with the </w:t>
      </w:r>
      <w:r w:rsidR="008C3DBB" w:rsidRPr="00227E88">
        <w:rPr>
          <w:rFonts w:ascii="Arial" w:hAnsi="Arial" w:cs="Arial"/>
          <w:sz w:val="24"/>
          <w:szCs w:val="24"/>
        </w:rPr>
        <w:t>COO</w:t>
      </w:r>
      <w:r w:rsidRPr="00227E88">
        <w:rPr>
          <w:rFonts w:ascii="Arial" w:hAnsi="Arial" w:cs="Arial"/>
          <w:sz w:val="24"/>
          <w:szCs w:val="24"/>
        </w:rPr>
        <w:t xml:space="preserve"> on the requirements of the Board, including advanced notice for Council officers to attend and arranging dates and times of Board meetings.</w:t>
      </w:r>
    </w:p>
    <w:p w14:paraId="6D16401C" w14:textId="77777777" w:rsidR="004864DC" w:rsidRPr="00227E88" w:rsidRDefault="004864DC" w:rsidP="004864DC">
      <w:pPr>
        <w:ind w:left="993" w:right="-23" w:hanging="294"/>
        <w:jc w:val="both"/>
        <w:rPr>
          <w:rFonts w:ascii="Arial" w:hAnsi="Arial" w:cs="Arial"/>
          <w:sz w:val="16"/>
          <w:szCs w:val="16"/>
        </w:rPr>
      </w:pPr>
    </w:p>
    <w:p w14:paraId="6D16401D" w14:textId="77777777" w:rsidR="004864DC" w:rsidRPr="00227E88" w:rsidRDefault="004864DC" w:rsidP="007337FE">
      <w:pPr>
        <w:pStyle w:val="ListParagraph"/>
        <w:numPr>
          <w:ilvl w:val="0"/>
          <w:numId w:val="67"/>
        </w:numPr>
        <w:spacing w:after="0" w:line="240" w:lineRule="auto"/>
        <w:ind w:left="993" w:right="-23" w:hanging="294"/>
        <w:jc w:val="both"/>
        <w:rPr>
          <w:rFonts w:ascii="Arial" w:hAnsi="Arial" w:cs="Arial"/>
          <w:sz w:val="24"/>
          <w:szCs w:val="24"/>
        </w:rPr>
      </w:pPr>
      <w:r w:rsidRPr="00227E88">
        <w:rPr>
          <w:rFonts w:ascii="Arial" w:hAnsi="Arial" w:cs="Arial"/>
          <w:sz w:val="24"/>
          <w:szCs w:val="24"/>
        </w:rPr>
        <w:t xml:space="preserve">Other tasks that may be requested by the members of the Board, within the remit of the </w:t>
      </w:r>
      <w:proofErr w:type="spellStart"/>
      <w:r w:rsidRPr="00227E88">
        <w:rPr>
          <w:rFonts w:ascii="Arial" w:hAnsi="Arial" w:cs="Arial"/>
          <w:sz w:val="24"/>
          <w:szCs w:val="24"/>
        </w:rPr>
        <w:t>ToR</w:t>
      </w:r>
      <w:proofErr w:type="spellEnd"/>
      <w:r w:rsidRPr="00227E88">
        <w:rPr>
          <w:rFonts w:ascii="Arial" w:hAnsi="Arial" w:cs="Arial"/>
          <w:sz w:val="24"/>
          <w:szCs w:val="24"/>
        </w:rPr>
        <w:t xml:space="preserve"> and subject to agreement with the </w:t>
      </w:r>
      <w:r w:rsidR="008C3DBB" w:rsidRPr="00227E88">
        <w:rPr>
          <w:rFonts w:ascii="Arial" w:hAnsi="Arial" w:cs="Arial"/>
          <w:sz w:val="24"/>
          <w:szCs w:val="24"/>
        </w:rPr>
        <w:t>COO</w:t>
      </w:r>
      <w:r w:rsidRPr="00227E88">
        <w:rPr>
          <w:rFonts w:ascii="Arial" w:hAnsi="Arial" w:cs="Arial"/>
          <w:sz w:val="24"/>
          <w:szCs w:val="24"/>
        </w:rPr>
        <w:t>.</w:t>
      </w:r>
    </w:p>
    <w:p w14:paraId="6D16401E" w14:textId="77777777" w:rsidR="004864DC" w:rsidRPr="00227E88" w:rsidRDefault="004864DC" w:rsidP="004864DC">
      <w:pPr>
        <w:ind w:left="993" w:right="-23" w:hanging="294"/>
        <w:jc w:val="both"/>
        <w:rPr>
          <w:rFonts w:ascii="Arial" w:hAnsi="Arial" w:cs="Arial"/>
          <w:sz w:val="16"/>
          <w:szCs w:val="16"/>
        </w:rPr>
      </w:pPr>
    </w:p>
    <w:p w14:paraId="6D16401F" w14:textId="77777777" w:rsidR="004864DC" w:rsidRPr="00227E88" w:rsidRDefault="004864DC" w:rsidP="007337FE">
      <w:pPr>
        <w:pStyle w:val="ListParagraph"/>
        <w:numPr>
          <w:ilvl w:val="0"/>
          <w:numId w:val="67"/>
        </w:numPr>
        <w:spacing w:after="0" w:line="240" w:lineRule="auto"/>
        <w:ind w:left="993" w:right="-23" w:hanging="294"/>
        <w:jc w:val="both"/>
        <w:rPr>
          <w:rFonts w:ascii="Arial" w:hAnsi="Arial" w:cs="Arial"/>
          <w:sz w:val="24"/>
          <w:szCs w:val="24"/>
        </w:rPr>
      </w:pPr>
      <w:r w:rsidRPr="00227E88">
        <w:rPr>
          <w:rFonts w:ascii="Arial" w:hAnsi="Arial" w:cs="Arial"/>
          <w:sz w:val="24"/>
          <w:szCs w:val="24"/>
        </w:rPr>
        <w:t xml:space="preserve">Annually reviewing and reporting on the performance of the Board. </w:t>
      </w:r>
    </w:p>
    <w:p w14:paraId="6D164020" w14:textId="77777777" w:rsidR="004864DC" w:rsidRPr="00227E88" w:rsidRDefault="004864DC" w:rsidP="004864DC">
      <w:pPr>
        <w:pStyle w:val="ListParagraph"/>
        <w:spacing w:after="0" w:line="240" w:lineRule="auto"/>
        <w:ind w:left="567" w:right="-23" w:hanging="567"/>
        <w:jc w:val="both"/>
        <w:rPr>
          <w:rFonts w:ascii="Arial" w:hAnsi="Arial" w:cs="Arial"/>
          <w:sz w:val="24"/>
          <w:szCs w:val="24"/>
        </w:rPr>
      </w:pPr>
    </w:p>
    <w:p w14:paraId="6D164021" w14:textId="77777777" w:rsidR="004864DC" w:rsidRPr="00227E88" w:rsidRDefault="004864DC" w:rsidP="004864DC">
      <w:pPr>
        <w:ind w:left="567" w:right="-23" w:hanging="567"/>
        <w:jc w:val="both"/>
        <w:rPr>
          <w:rFonts w:ascii="Arial" w:hAnsi="Arial" w:cs="Arial"/>
          <w:b/>
        </w:rPr>
      </w:pPr>
      <w:r w:rsidRPr="00227E88">
        <w:rPr>
          <w:rFonts w:ascii="Arial" w:hAnsi="Arial" w:cs="Arial"/>
          <w:b/>
        </w:rPr>
        <w:t xml:space="preserve">7. </w:t>
      </w:r>
      <w:r w:rsidRPr="00227E88">
        <w:rPr>
          <w:rFonts w:ascii="Arial" w:hAnsi="Arial" w:cs="Arial"/>
          <w:b/>
        </w:rPr>
        <w:tab/>
        <w:t>Voting</w:t>
      </w:r>
    </w:p>
    <w:p w14:paraId="6D164022" w14:textId="77777777" w:rsidR="004864DC" w:rsidRPr="00227E88" w:rsidRDefault="004864DC" w:rsidP="004864DC">
      <w:pPr>
        <w:ind w:left="567" w:right="-23" w:hanging="567"/>
        <w:jc w:val="both"/>
        <w:rPr>
          <w:rFonts w:ascii="Arial" w:hAnsi="Arial" w:cs="Arial"/>
        </w:rPr>
      </w:pPr>
    </w:p>
    <w:p w14:paraId="6D164023" w14:textId="77777777" w:rsidR="004864DC" w:rsidRPr="00227E88" w:rsidRDefault="004864DC" w:rsidP="004864DC">
      <w:pPr>
        <w:ind w:left="567" w:right="-23" w:hanging="567"/>
        <w:jc w:val="both"/>
        <w:rPr>
          <w:rFonts w:ascii="Arial" w:hAnsi="Arial" w:cs="Arial"/>
        </w:rPr>
      </w:pPr>
      <w:r w:rsidRPr="00227E88">
        <w:rPr>
          <w:rFonts w:ascii="Arial" w:hAnsi="Arial" w:cs="Arial"/>
        </w:rPr>
        <w:t>7.1</w:t>
      </w:r>
      <w:r w:rsidRPr="00227E88">
        <w:rPr>
          <w:rFonts w:ascii="Arial" w:hAnsi="Arial" w:cs="Arial"/>
        </w:rPr>
        <w:tab/>
        <w:t xml:space="preserve">All Board members will have individual voting rights but it is expected the Board will, as far as possible, reach a consensus. Any other person attending a meeting will not have the right to vote. Voting results will be reported in the Board minutes. </w:t>
      </w:r>
    </w:p>
    <w:p w14:paraId="6D164024" w14:textId="77777777" w:rsidR="004864DC" w:rsidRPr="00227E88" w:rsidRDefault="004864DC" w:rsidP="004864DC">
      <w:pPr>
        <w:ind w:left="567" w:right="-23" w:hanging="567"/>
        <w:jc w:val="both"/>
        <w:rPr>
          <w:rFonts w:ascii="Arial" w:hAnsi="Arial" w:cs="Arial"/>
        </w:rPr>
      </w:pPr>
    </w:p>
    <w:p w14:paraId="6D164025" w14:textId="77777777" w:rsidR="004864DC" w:rsidRPr="00227E88" w:rsidRDefault="004864DC" w:rsidP="004864DC">
      <w:pPr>
        <w:ind w:left="567" w:right="-23" w:hanging="567"/>
        <w:jc w:val="both"/>
        <w:rPr>
          <w:rFonts w:ascii="Arial" w:hAnsi="Arial" w:cs="Arial"/>
          <w:b/>
        </w:rPr>
      </w:pPr>
      <w:r w:rsidRPr="00227E88">
        <w:rPr>
          <w:rFonts w:ascii="Arial" w:hAnsi="Arial" w:cs="Arial"/>
          <w:b/>
        </w:rPr>
        <w:t>8.</w:t>
      </w:r>
      <w:r w:rsidRPr="00227E88">
        <w:rPr>
          <w:rFonts w:ascii="Arial" w:hAnsi="Arial" w:cs="Arial"/>
          <w:b/>
        </w:rPr>
        <w:tab/>
        <w:t>Member Requirements</w:t>
      </w:r>
    </w:p>
    <w:p w14:paraId="6D164026" w14:textId="77777777" w:rsidR="004864DC" w:rsidRPr="00227E88" w:rsidRDefault="004864DC" w:rsidP="004864DC">
      <w:pPr>
        <w:pStyle w:val="ListParagraph"/>
        <w:spacing w:after="0" w:line="240" w:lineRule="auto"/>
        <w:ind w:left="567" w:right="-23" w:hanging="567"/>
        <w:jc w:val="both"/>
        <w:rPr>
          <w:rFonts w:ascii="Arial" w:hAnsi="Arial" w:cs="Arial"/>
          <w:b/>
          <w:sz w:val="24"/>
          <w:szCs w:val="24"/>
        </w:rPr>
      </w:pPr>
    </w:p>
    <w:p w14:paraId="6D164027" w14:textId="77777777" w:rsidR="004864DC" w:rsidRPr="00227E88" w:rsidRDefault="004864DC" w:rsidP="004864DC">
      <w:pPr>
        <w:ind w:left="567" w:right="-23" w:hanging="567"/>
        <w:jc w:val="both"/>
        <w:rPr>
          <w:rFonts w:ascii="Arial" w:hAnsi="Arial" w:cs="Arial"/>
          <w:u w:val="single"/>
        </w:rPr>
      </w:pPr>
      <w:r w:rsidRPr="00227E88">
        <w:rPr>
          <w:rFonts w:ascii="Arial" w:hAnsi="Arial" w:cs="Arial"/>
        </w:rPr>
        <w:t xml:space="preserve">8.1 </w:t>
      </w:r>
      <w:r w:rsidRPr="00227E88">
        <w:rPr>
          <w:rFonts w:ascii="Arial" w:hAnsi="Arial" w:cs="Arial"/>
        </w:rPr>
        <w:tab/>
      </w:r>
      <w:r w:rsidRPr="00227E88">
        <w:rPr>
          <w:rFonts w:ascii="Arial" w:hAnsi="Arial" w:cs="Arial"/>
          <w:u w:val="single"/>
        </w:rPr>
        <w:t>Knowledge and Skills</w:t>
      </w:r>
    </w:p>
    <w:p w14:paraId="6D164028" w14:textId="77777777" w:rsidR="004864DC" w:rsidRPr="00227E88" w:rsidRDefault="004864DC" w:rsidP="004864DC">
      <w:pPr>
        <w:ind w:left="567" w:right="-23" w:hanging="567"/>
        <w:jc w:val="both"/>
        <w:rPr>
          <w:rFonts w:ascii="Arial" w:hAnsi="Arial" w:cs="Arial"/>
        </w:rPr>
      </w:pPr>
    </w:p>
    <w:p w14:paraId="6D164029" w14:textId="77777777" w:rsidR="004864DC" w:rsidRPr="00227E88" w:rsidRDefault="004864DC" w:rsidP="004864DC">
      <w:pPr>
        <w:ind w:left="567" w:right="-23" w:hanging="567"/>
        <w:jc w:val="both"/>
        <w:rPr>
          <w:rFonts w:ascii="Arial" w:hAnsi="Arial" w:cs="Arial"/>
        </w:rPr>
      </w:pPr>
      <w:r w:rsidRPr="00227E88">
        <w:rPr>
          <w:rFonts w:ascii="Arial" w:hAnsi="Arial" w:cs="Arial"/>
        </w:rPr>
        <w:tab/>
        <w:t>Under the requirements of the Pensions Act, Board members must be conversant with:</w:t>
      </w:r>
    </w:p>
    <w:p w14:paraId="6D16402A" w14:textId="77777777" w:rsidR="004864DC" w:rsidRPr="00227E88" w:rsidRDefault="004864DC" w:rsidP="004864DC">
      <w:pPr>
        <w:ind w:left="567" w:right="-23" w:hanging="567"/>
        <w:jc w:val="both"/>
        <w:rPr>
          <w:rFonts w:ascii="Arial" w:hAnsi="Arial" w:cs="Arial"/>
        </w:rPr>
      </w:pPr>
    </w:p>
    <w:p w14:paraId="6D16402B" w14:textId="77777777" w:rsidR="004864DC" w:rsidRPr="00227E88" w:rsidRDefault="004864DC" w:rsidP="007337FE">
      <w:pPr>
        <w:pStyle w:val="ListParagraph"/>
        <w:numPr>
          <w:ilvl w:val="0"/>
          <w:numId w:val="69"/>
        </w:numPr>
        <w:spacing w:after="0" w:line="240" w:lineRule="auto"/>
        <w:ind w:left="1134" w:right="-23" w:hanging="283"/>
        <w:jc w:val="both"/>
        <w:rPr>
          <w:rFonts w:ascii="Arial" w:hAnsi="Arial" w:cs="Arial"/>
          <w:sz w:val="24"/>
          <w:szCs w:val="24"/>
        </w:rPr>
      </w:pPr>
      <w:r w:rsidRPr="00227E88">
        <w:rPr>
          <w:rFonts w:ascii="Arial" w:hAnsi="Arial" w:cs="Arial"/>
          <w:sz w:val="24"/>
          <w:szCs w:val="24"/>
        </w:rPr>
        <w:t>the legislation and associated guidance of the LGPS; and</w:t>
      </w:r>
    </w:p>
    <w:p w14:paraId="6D16402C" w14:textId="77777777" w:rsidR="004864DC" w:rsidRPr="00227E88" w:rsidRDefault="004864DC" w:rsidP="004864DC">
      <w:pPr>
        <w:pStyle w:val="ListParagraph"/>
        <w:spacing w:after="0" w:line="240" w:lineRule="auto"/>
        <w:ind w:left="1134" w:right="-23" w:hanging="283"/>
        <w:jc w:val="both"/>
        <w:rPr>
          <w:rFonts w:ascii="Arial" w:hAnsi="Arial" w:cs="Arial"/>
          <w:sz w:val="16"/>
          <w:szCs w:val="16"/>
        </w:rPr>
      </w:pPr>
    </w:p>
    <w:p w14:paraId="6D16402D" w14:textId="77777777" w:rsidR="004864DC" w:rsidRPr="00227E88" w:rsidRDefault="004864DC" w:rsidP="007337FE">
      <w:pPr>
        <w:pStyle w:val="ListParagraph"/>
        <w:numPr>
          <w:ilvl w:val="0"/>
          <w:numId w:val="69"/>
        </w:numPr>
        <w:spacing w:after="0" w:line="240" w:lineRule="auto"/>
        <w:ind w:left="1134" w:right="-23" w:hanging="283"/>
        <w:jc w:val="both"/>
        <w:rPr>
          <w:rFonts w:ascii="Arial" w:hAnsi="Arial" w:cs="Arial"/>
          <w:sz w:val="24"/>
          <w:szCs w:val="24"/>
        </w:rPr>
      </w:pPr>
      <w:r w:rsidRPr="00227E88">
        <w:rPr>
          <w:rFonts w:ascii="Arial" w:hAnsi="Arial" w:cs="Arial"/>
          <w:sz w:val="24"/>
          <w:szCs w:val="24"/>
        </w:rPr>
        <w:t>any document recording policy about the administration of the LGPS adopted by the Fund.</w:t>
      </w:r>
    </w:p>
    <w:p w14:paraId="6D16402E" w14:textId="77777777" w:rsidR="004864DC" w:rsidRPr="00227E88" w:rsidRDefault="004864DC" w:rsidP="004864DC">
      <w:pPr>
        <w:ind w:left="567" w:right="-23" w:hanging="567"/>
        <w:jc w:val="both"/>
        <w:rPr>
          <w:rFonts w:ascii="Arial" w:hAnsi="Arial" w:cs="Arial"/>
        </w:rPr>
      </w:pPr>
    </w:p>
    <w:p w14:paraId="6D16402F" w14:textId="77777777" w:rsidR="004864DC" w:rsidRPr="00227E88" w:rsidRDefault="004864DC" w:rsidP="004864DC">
      <w:pPr>
        <w:ind w:left="567" w:right="-23" w:hanging="567"/>
        <w:jc w:val="both"/>
        <w:rPr>
          <w:rFonts w:ascii="Arial" w:hAnsi="Arial" w:cs="Arial"/>
        </w:rPr>
      </w:pPr>
      <w:r w:rsidRPr="00227E88">
        <w:rPr>
          <w:rFonts w:ascii="Arial" w:hAnsi="Arial" w:cs="Arial"/>
        </w:rPr>
        <w:tab/>
        <w:t>In addition, a member of the Board must have knowledge and understanding of:</w:t>
      </w:r>
    </w:p>
    <w:p w14:paraId="6D164030" w14:textId="77777777" w:rsidR="004864DC" w:rsidRPr="00227E88" w:rsidRDefault="004864DC" w:rsidP="004864DC">
      <w:pPr>
        <w:ind w:left="567" w:right="-23" w:hanging="567"/>
        <w:jc w:val="both"/>
        <w:rPr>
          <w:rFonts w:ascii="Arial" w:hAnsi="Arial" w:cs="Arial"/>
        </w:rPr>
      </w:pPr>
    </w:p>
    <w:p w14:paraId="6D164031" w14:textId="77777777" w:rsidR="004864DC" w:rsidRPr="00227E88" w:rsidRDefault="004864DC" w:rsidP="007337FE">
      <w:pPr>
        <w:pStyle w:val="ListParagraph"/>
        <w:numPr>
          <w:ilvl w:val="0"/>
          <w:numId w:val="72"/>
        </w:numPr>
        <w:spacing w:after="0" w:line="240" w:lineRule="auto"/>
        <w:ind w:left="1134" w:right="-23" w:hanging="283"/>
        <w:jc w:val="both"/>
        <w:rPr>
          <w:rFonts w:ascii="Arial" w:hAnsi="Arial" w:cs="Arial"/>
        </w:rPr>
      </w:pPr>
      <w:r w:rsidRPr="00227E88">
        <w:rPr>
          <w:rFonts w:ascii="Arial" w:hAnsi="Arial" w:cs="Arial"/>
        </w:rPr>
        <w:t>The law relating to pensions, and</w:t>
      </w:r>
    </w:p>
    <w:p w14:paraId="6D164032" w14:textId="77777777" w:rsidR="004864DC" w:rsidRPr="00227E88" w:rsidRDefault="004864DC" w:rsidP="004864DC">
      <w:pPr>
        <w:ind w:left="1134" w:right="-23" w:hanging="283"/>
        <w:jc w:val="both"/>
        <w:rPr>
          <w:rFonts w:ascii="Arial" w:hAnsi="Arial" w:cs="Arial"/>
          <w:sz w:val="16"/>
          <w:szCs w:val="16"/>
        </w:rPr>
      </w:pPr>
    </w:p>
    <w:p w14:paraId="6D164033" w14:textId="77777777" w:rsidR="004864DC" w:rsidRPr="00227E88" w:rsidRDefault="004864DC" w:rsidP="007337FE">
      <w:pPr>
        <w:pStyle w:val="ListParagraph"/>
        <w:numPr>
          <w:ilvl w:val="0"/>
          <w:numId w:val="72"/>
        </w:numPr>
        <w:spacing w:after="0" w:line="240" w:lineRule="auto"/>
        <w:ind w:left="1134" w:right="-23" w:hanging="283"/>
        <w:jc w:val="both"/>
        <w:rPr>
          <w:rFonts w:ascii="Arial" w:hAnsi="Arial" w:cs="Arial"/>
        </w:rPr>
      </w:pPr>
      <w:r w:rsidRPr="00227E88">
        <w:rPr>
          <w:rFonts w:ascii="Arial" w:hAnsi="Arial" w:cs="Arial"/>
        </w:rPr>
        <w:t>Any other matters which are prescribed in regulations.</w:t>
      </w:r>
    </w:p>
    <w:p w14:paraId="6D164034" w14:textId="77777777" w:rsidR="004864DC" w:rsidRPr="00227E88" w:rsidRDefault="004864DC" w:rsidP="004864DC">
      <w:pPr>
        <w:ind w:left="567" w:right="-23" w:hanging="567"/>
        <w:jc w:val="both"/>
        <w:rPr>
          <w:rFonts w:ascii="Arial" w:hAnsi="Arial" w:cs="Arial"/>
        </w:rPr>
      </w:pPr>
    </w:p>
    <w:p w14:paraId="6D164035"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It is for Board members to be satisfied that they have the appropriate degree of knowledge and understanding to enable them to properly exercise their functions as a Board member. In line with this requirement, Board members are required to be able to demonstrate their knowledge and understanding and to refresh and keep their knowledge up to date. </w:t>
      </w:r>
    </w:p>
    <w:p w14:paraId="6D164036" w14:textId="77777777" w:rsidR="004864DC" w:rsidRPr="00227E88" w:rsidRDefault="004864DC" w:rsidP="004864DC">
      <w:pPr>
        <w:ind w:left="567" w:right="-23" w:hanging="567"/>
        <w:jc w:val="both"/>
        <w:rPr>
          <w:rFonts w:ascii="Arial" w:hAnsi="Arial" w:cs="Arial"/>
        </w:rPr>
      </w:pPr>
    </w:p>
    <w:p w14:paraId="6D164037" w14:textId="77777777" w:rsidR="004864DC" w:rsidRPr="00227E88" w:rsidRDefault="004864DC" w:rsidP="004864DC">
      <w:pPr>
        <w:ind w:left="567" w:right="-23" w:hanging="567"/>
        <w:jc w:val="both"/>
        <w:rPr>
          <w:rFonts w:ascii="Arial" w:hAnsi="Arial" w:cs="Arial"/>
        </w:rPr>
      </w:pPr>
      <w:r w:rsidRPr="00227E88">
        <w:rPr>
          <w:rFonts w:ascii="Arial" w:hAnsi="Arial" w:cs="Arial"/>
        </w:rPr>
        <w:tab/>
        <w:t>Board members are therefore required to:</w:t>
      </w:r>
    </w:p>
    <w:p w14:paraId="6D164038" w14:textId="77777777" w:rsidR="004864DC" w:rsidRPr="00227E88" w:rsidRDefault="004864DC" w:rsidP="004864DC">
      <w:pPr>
        <w:ind w:left="993" w:right="-23" w:hanging="567"/>
        <w:jc w:val="both"/>
        <w:rPr>
          <w:rFonts w:ascii="Arial" w:hAnsi="Arial" w:cs="Arial"/>
        </w:rPr>
      </w:pPr>
    </w:p>
    <w:p w14:paraId="6D164039" w14:textId="77777777" w:rsidR="004864DC" w:rsidRPr="00227E88" w:rsidRDefault="004864DC" w:rsidP="007337FE">
      <w:pPr>
        <w:pStyle w:val="ListParagraph"/>
        <w:numPr>
          <w:ilvl w:val="0"/>
          <w:numId w:val="73"/>
        </w:numPr>
        <w:tabs>
          <w:tab w:val="left" w:pos="709"/>
        </w:tabs>
        <w:spacing w:after="0" w:line="240" w:lineRule="auto"/>
        <w:ind w:left="1134" w:right="-23" w:hanging="283"/>
        <w:jc w:val="both"/>
        <w:rPr>
          <w:rFonts w:ascii="Arial" w:hAnsi="Arial" w:cs="Arial"/>
          <w:sz w:val="24"/>
          <w:szCs w:val="24"/>
        </w:rPr>
      </w:pPr>
      <w:r w:rsidRPr="00227E88">
        <w:rPr>
          <w:rFonts w:ascii="Arial" w:hAnsi="Arial" w:cs="Arial"/>
          <w:sz w:val="24"/>
          <w:szCs w:val="24"/>
        </w:rPr>
        <w:t>undertake a training needs analysis to identify gaps in competencies and knowledge;</w:t>
      </w:r>
    </w:p>
    <w:p w14:paraId="6D16403A" w14:textId="77777777" w:rsidR="004864DC" w:rsidRPr="00227E88" w:rsidRDefault="004864DC" w:rsidP="004864DC">
      <w:pPr>
        <w:pStyle w:val="ListParagraph"/>
        <w:tabs>
          <w:tab w:val="left" w:pos="709"/>
        </w:tabs>
        <w:spacing w:after="0" w:line="240" w:lineRule="auto"/>
        <w:ind w:left="1134" w:right="-23" w:hanging="283"/>
        <w:jc w:val="both"/>
        <w:rPr>
          <w:rFonts w:ascii="Arial" w:hAnsi="Arial" w:cs="Arial"/>
          <w:sz w:val="16"/>
          <w:szCs w:val="16"/>
        </w:rPr>
      </w:pPr>
    </w:p>
    <w:p w14:paraId="6D16403B" w14:textId="77777777" w:rsidR="004864DC" w:rsidRPr="00227E88" w:rsidRDefault="004864DC" w:rsidP="007337FE">
      <w:pPr>
        <w:pStyle w:val="ListParagraph"/>
        <w:numPr>
          <w:ilvl w:val="0"/>
          <w:numId w:val="73"/>
        </w:numPr>
        <w:tabs>
          <w:tab w:val="left" w:pos="709"/>
        </w:tabs>
        <w:spacing w:after="0" w:line="240" w:lineRule="auto"/>
        <w:ind w:left="1134" w:right="-23" w:hanging="283"/>
        <w:jc w:val="both"/>
        <w:rPr>
          <w:rFonts w:ascii="Arial" w:hAnsi="Arial" w:cs="Arial"/>
          <w:sz w:val="24"/>
          <w:szCs w:val="24"/>
        </w:rPr>
      </w:pPr>
      <w:r w:rsidRPr="00227E88">
        <w:rPr>
          <w:rFonts w:ascii="Arial" w:hAnsi="Arial" w:cs="Arial"/>
          <w:sz w:val="24"/>
          <w:szCs w:val="24"/>
        </w:rPr>
        <w:t>participate in training events (a record of relevant training will be maintained); and</w:t>
      </w:r>
    </w:p>
    <w:p w14:paraId="6D16403C" w14:textId="77777777" w:rsidR="004864DC" w:rsidRPr="00227E88" w:rsidRDefault="004864DC" w:rsidP="004864DC">
      <w:pPr>
        <w:tabs>
          <w:tab w:val="left" w:pos="709"/>
        </w:tabs>
        <w:ind w:left="1134" w:right="-23" w:hanging="283"/>
        <w:jc w:val="both"/>
        <w:rPr>
          <w:rFonts w:ascii="Arial" w:hAnsi="Arial" w:cs="Arial"/>
          <w:sz w:val="16"/>
          <w:szCs w:val="16"/>
        </w:rPr>
      </w:pPr>
    </w:p>
    <w:p w14:paraId="6D16403D" w14:textId="77777777" w:rsidR="004864DC" w:rsidRPr="00227E88" w:rsidRDefault="004864DC" w:rsidP="007337FE">
      <w:pPr>
        <w:pStyle w:val="ListParagraph"/>
        <w:numPr>
          <w:ilvl w:val="0"/>
          <w:numId w:val="73"/>
        </w:numPr>
        <w:tabs>
          <w:tab w:val="left" w:pos="709"/>
        </w:tabs>
        <w:spacing w:after="0" w:line="240" w:lineRule="auto"/>
        <w:ind w:left="1134" w:right="-23" w:hanging="283"/>
        <w:jc w:val="both"/>
        <w:rPr>
          <w:rFonts w:ascii="Arial" w:hAnsi="Arial" w:cs="Arial"/>
          <w:sz w:val="24"/>
          <w:szCs w:val="24"/>
        </w:rPr>
      </w:pPr>
      <w:r w:rsidRPr="00227E88">
        <w:rPr>
          <w:rFonts w:ascii="Arial" w:hAnsi="Arial" w:cs="Arial"/>
          <w:sz w:val="24"/>
          <w:szCs w:val="24"/>
        </w:rPr>
        <w:t>comply with the Fund's Training Policy insofar as it relates to Board members.</w:t>
      </w:r>
    </w:p>
    <w:p w14:paraId="6D16403E" w14:textId="77777777" w:rsidR="004864DC" w:rsidRPr="00227E88" w:rsidRDefault="004864DC" w:rsidP="004864DC">
      <w:pPr>
        <w:ind w:left="567" w:right="-23" w:hanging="567"/>
        <w:jc w:val="both"/>
        <w:rPr>
          <w:rFonts w:ascii="Arial" w:hAnsi="Arial" w:cs="Arial"/>
        </w:rPr>
      </w:pPr>
    </w:p>
    <w:p w14:paraId="6D16403F" w14:textId="77777777" w:rsidR="004864DC" w:rsidRPr="00227E88" w:rsidRDefault="004864DC" w:rsidP="004864DC">
      <w:pPr>
        <w:ind w:left="567" w:right="-23" w:hanging="567"/>
        <w:jc w:val="both"/>
        <w:rPr>
          <w:rFonts w:ascii="Arial" w:hAnsi="Arial" w:cs="Arial"/>
        </w:rPr>
      </w:pPr>
      <w:r w:rsidRPr="00227E88">
        <w:rPr>
          <w:rFonts w:ascii="Arial" w:hAnsi="Arial" w:cs="Arial"/>
        </w:rPr>
        <w:t xml:space="preserve">8.2 </w:t>
      </w:r>
      <w:r w:rsidRPr="00227E88">
        <w:rPr>
          <w:rFonts w:ascii="Arial" w:hAnsi="Arial" w:cs="Arial"/>
        </w:rPr>
        <w:tab/>
      </w:r>
      <w:r w:rsidRPr="00227E88">
        <w:rPr>
          <w:rFonts w:ascii="Arial" w:hAnsi="Arial" w:cs="Arial"/>
          <w:u w:val="single"/>
        </w:rPr>
        <w:t>Standards of Conduct</w:t>
      </w:r>
    </w:p>
    <w:p w14:paraId="6D164040" w14:textId="77777777" w:rsidR="004864DC" w:rsidRPr="00227E88" w:rsidRDefault="004864DC" w:rsidP="004864DC">
      <w:pPr>
        <w:ind w:left="567" w:right="-23" w:hanging="567"/>
        <w:jc w:val="both"/>
        <w:rPr>
          <w:rFonts w:ascii="Arial" w:hAnsi="Arial" w:cs="Arial"/>
        </w:rPr>
      </w:pPr>
    </w:p>
    <w:p w14:paraId="6D164041"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The LBBD Councillors’ Code of Conduct, as contained in the Council’s Constitution, shall apply in relation to the standards of conduct of Board members as if they are Co-opted Members of the Council insofar as it can be reasonably considered to apply to the role of members of the Board and unless excluded elsewhere within these </w:t>
      </w:r>
      <w:proofErr w:type="spellStart"/>
      <w:r w:rsidRPr="00227E88">
        <w:rPr>
          <w:rFonts w:ascii="Arial" w:hAnsi="Arial" w:cs="Arial"/>
        </w:rPr>
        <w:t>ToR</w:t>
      </w:r>
      <w:proofErr w:type="spellEnd"/>
      <w:r w:rsidRPr="00227E88">
        <w:rPr>
          <w:rFonts w:ascii="Arial" w:hAnsi="Arial" w:cs="Arial"/>
        </w:rPr>
        <w:t>.</w:t>
      </w:r>
    </w:p>
    <w:p w14:paraId="6D164042" w14:textId="77777777" w:rsidR="00A71BC4" w:rsidRPr="00227E88" w:rsidRDefault="00A71BC4" w:rsidP="004864DC">
      <w:pPr>
        <w:ind w:left="567" w:right="-23" w:hanging="567"/>
        <w:jc w:val="both"/>
        <w:rPr>
          <w:rFonts w:ascii="Arial" w:hAnsi="Arial" w:cs="Arial"/>
        </w:rPr>
      </w:pPr>
    </w:p>
    <w:p w14:paraId="6D164043" w14:textId="77777777" w:rsidR="004864DC" w:rsidRPr="00227E88" w:rsidRDefault="004864DC" w:rsidP="004864DC">
      <w:pPr>
        <w:ind w:left="567" w:right="-23" w:hanging="567"/>
        <w:jc w:val="both"/>
        <w:rPr>
          <w:rFonts w:ascii="Arial" w:hAnsi="Arial" w:cs="Arial"/>
          <w:u w:val="single"/>
        </w:rPr>
      </w:pPr>
      <w:r w:rsidRPr="00227E88">
        <w:rPr>
          <w:rFonts w:ascii="Arial" w:hAnsi="Arial" w:cs="Arial"/>
        </w:rPr>
        <w:t xml:space="preserve">8.3 </w:t>
      </w:r>
      <w:r w:rsidRPr="00227E88">
        <w:rPr>
          <w:rFonts w:ascii="Arial" w:hAnsi="Arial" w:cs="Arial"/>
        </w:rPr>
        <w:tab/>
      </w:r>
      <w:r w:rsidRPr="00227E88">
        <w:rPr>
          <w:rFonts w:ascii="Arial" w:hAnsi="Arial" w:cs="Arial"/>
          <w:u w:val="single"/>
        </w:rPr>
        <w:t>Remuneration and Expenses</w:t>
      </w:r>
    </w:p>
    <w:p w14:paraId="6D164044" w14:textId="77777777" w:rsidR="004864DC" w:rsidRPr="00227E88" w:rsidRDefault="004864DC" w:rsidP="004864DC">
      <w:pPr>
        <w:ind w:left="567" w:right="-23" w:hanging="567"/>
        <w:jc w:val="both"/>
        <w:rPr>
          <w:rFonts w:ascii="Arial" w:hAnsi="Arial" w:cs="Arial"/>
        </w:rPr>
      </w:pPr>
    </w:p>
    <w:p w14:paraId="6D164045" w14:textId="77777777" w:rsidR="004864DC" w:rsidRPr="00227E88" w:rsidRDefault="004864DC" w:rsidP="004864DC">
      <w:pPr>
        <w:ind w:left="567" w:right="-23" w:hanging="567"/>
        <w:jc w:val="both"/>
        <w:rPr>
          <w:rFonts w:ascii="Arial" w:hAnsi="Arial" w:cs="Arial"/>
        </w:rPr>
      </w:pPr>
      <w:r w:rsidRPr="00227E88">
        <w:rPr>
          <w:rFonts w:ascii="Arial" w:hAnsi="Arial" w:cs="Arial"/>
        </w:rPr>
        <w:tab/>
        <w:t>No allowances will be paid to Board members for attending meetings relating to Board business. Travel and all training costs will be funded by the Fund. Expenses must be reclaimed from the Fund through submitting claims, with all supporting evidence, to the following address:</w:t>
      </w:r>
    </w:p>
    <w:p w14:paraId="6D164046" w14:textId="77777777" w:rsidR="004864DC" w:rsidRPr="00227E88" w:rsidRDefault="004864DC" w:rsidP="004864DC">
      <w:pPr>
        <w:ind w:left="567" w:right="-23" w:hanging="567"/>
        <w:jc w:val="both"/>
        <w:rPr>
          <w:rFonts w:ascii="Arial" w:hAnsi="Arial" w:cs="Arial"/>
        </w:rPr>
      </w:pPr>
    </w:p>
    <w:p w14:paraId="6D164047" w14:textId="77777777" w:rsidR="004864DC" w:rsidRPr="00227E88" w:rsidRDefault="004864DC" w:rsidP="004864DC">
      <w:pPr>
        <w:ind w:left="567" w:right="-23" w:hanging="567"/>
        <w:jc w:val="both"/>
        <w:rPr>
          <w:rFonts w:ascii="Arial" w:hAnsi="Arial" w:cs="Arial"/>
        </w:rPr>
      </w:pPr>
      <w:r w:rsidRPr="00227E88">
        <w:rPr>
          <w:rFonts w:ascii="Arial" w:hAnsi="Arial" w:cs="Arial"/>
        </w:rPr>
        <w:tab/>
        <w:t>Group Manager (Treasury and Pensions), Civic Centre, Dagenham, RM10 7BY</w:t>
      </w:r>
      <w:r w:rsidRPr="00227E88">
        <w:rPr>
          <w:rFonts w:ascii="Arial" w:hAnsi="Arial" w:cs="Arial"/>
        </w:rPr>
        <w:tab/>
      </w:r>
    </w:p>
    <w:p w14:paraId="6D164048" w14:textId="77777777" w:rsidR="004864DC" w:rsidRPr="00227E88" w:rsidRDefault="004864DC" w:rsidP="004864DC">
      <w:pPr>
        <w:ind w:left="567" w:right="-23" w:hanging="567"/>
        <w:jc w:val="both"/>
        <w:rPr>
          <w:rFonts w:ascii="Arial" w:hAnsi="Arial" w:cs="Arial"/>
        </w:rPr>
      </w:pPr>
      <w:r w:rsidRPr="00227E88">
        <w:rPr>
          <w:rFonts w:ascii="Arial" w:hAnsi="Arial" w:cs="Arial"/>
        </w:rPr>
        <w:tab/>
      </w:r>
    </w:p>
    <w:p w14:paraId="6D164049" w14:textId="77777777" w:rsidR="004864DC" w:rsidRPr="00227E88" w:rsidRDefault="004864DC" w:rsidP="004864DC">
      <w:pPr>
        <w:ind w:left="567" w:right="-23" w:hanging="567"/>
        <w:jc w:val="both"/>
        <w:rPr>
          <w:rFonts w:ascii="Arial" w:hAnsi="Arial" w:cs="Arial"/>
        </w:rPr>
      </w:pPr>
      <w:r w:rsidRPr="00227E88">
        <w:rPr>
          <w:rFonts w:ascii="Arial" w:hAnsi="Arial" w:cs="Arial"/>
        </w:rPr>
        <w:tab/>
        <w:t xml:space="preserve">It is expected that employers of Representatives on the Pension Board will provide appropriate capacity to allow the Representative to perform this role within their normal working day without any reduction in pay.  </w:t>
      </w:r>
    </w:p>
    <w:p w14:paraId="6D16404A" w14:textId="77777777" w:rsidR="004864DC" w:rsidRPr="00227E88" w:rsidRDefault="004864DC" w:rsidP="004864DC">
      <w:pPr>
        <w:ind w:left="567" w:right="-23" w:hanging="567"/>
        <w:jc w:val="both"/>
        <w:rPr>
          <w:rFonts w:ascii="Arial" w:hAnsi="Arial" w:cs="Arial"/>
        </w:rPr>
      </w:pPr>
    </w:p>
    <w:p w14:paraId="6D16404B" w14:textId="77777777" w:rsidR="004864DC" w:rsidRPr="00227E88" w:rsidRDefault="004864DC" w:rsidP="004864DC">
      <w:pPr>
        <w:ind w:left="567" w:right="-23" w:hanging="567"/>
        <w:jc w:val="both"/>
        <w:rPr>
          <w:rFonts w:ascii="Arial" w:hAnsi="Arial" w:cs="Arial"/>
        </w:rPr>
      </w:pPr>
      <w:r w:rsidRPr="00227E88">
        <w:rPr>
          <w:rFonts w:ascii="Arial" w:hAnsi="Arial" w:cs="Arial"/>
        </w:rPr>
        <w:tab/>
        <w:t>All Board members will also be entitled to claim travel and subsistence allowances in accordance with the Members' Allowances Scheme in the Council's Constitution.</w:t>
      </w:r>
    </w:p>
    <w:p w14:paraId="6D16404C" w14:textId="77777777" w:rsidR="004864DC" w:rsidRPr="00227E88" w:rsidRDefault="004864DC" w:rsidP="004864DC">
      <w:pPr>
        <w:ind w:left="567" w:right="-23" w:hanging="567"/>
        <w:jc w:val="both"/>
        <w:rPr>
          <w:rFonts w:ascii="Arial" w:hAnsi="Arial" w:cs="Arial"/>
        </w:rPr>
      </w:pPr>
    </w:p>
    <w:p w14:paraId="6D16404D" w14:textId="77777777" w:rsidR="004864DC" w:rsidRPr="00227E88" w:rsidRDefault="004864DC" w:rsidP="004864DC">
      <w:pPr>
        <w:ind w:left="567" w:right="-23" w:hanging="567"/>
        <w:jc w:val="both"/>
        <w:rPr>
          <w:rFonts w:ascii="Arial" w:hAnsi="Arial" w:cs="Arial"/>
        </w:rPr>
      </w:pPr>
      <w:r w:rsidRPr="00227E88">
        <w:rPr>
          <w:rFonts w:ascii="Arial" w:hAnsi="Arial" w:cs="Arial"/>
        </w:rPr>
        <w:tab/>
        <w:t>Expenses will only be paid if claimed by the representative and must be claimed within four weeks of each meeting or training session.</w:t>
      </w:r>
    </w:p>
    <w:p w14:paraId="6D16404E" w14:textId="77777777" w:rsidR="004864DC" w:rsidRPr="00227E88" w:rsidRDefault="004864DC" w:rsidP="004864DC">
      <w:pPr>
        <w:ind w:left="567" w:right="-23" w:hanging="567"/>
        <w:jc w:val="both"/>
        <w:rPr>
          <w:rFonts w:ascii="Arial" w:hAnsi="Arial" w:cs="Arial"/>
        </w:rPr>
      </w:pPr>
    </w:p>
    <w:p w14:paraId="6D16404F" w14:textId="77777777" w:rsidR="004864DC" w:rsidRPr="00227E88" w:rsidRDefault="004864DC" w:rsidP="004864DC">
      <w:pPr>
        <w:ind w:left="567" w:right="-23" w:hanging="567"/>
        <w:jc w:val="both"/>
        <w:rPr>
          <w:rFonts w:ascii="Arial" w:hAnsi="Arial" w:cs="Arial"/>
        </w:rPr>
      </w:pPr>
      <w:r w:rsidRPr="00227E88">
        <w:rPr>
          <w:rFonts w:ascii="Arial" w:hAnsi="Arial" w:cs="Arial"/>
          <w:b/>
        </w:rPr>
        <w:t>9.</w:t>
      </w:r>
      <w:r w:rsidRPr="00227E88">
        <w:rPr>
          <w:rFonts w:ascii="Arial" w:hAnsi="Arial" w:cs="Arial"/>
        </w:rPr>
        <w:t xml:space="preserve"> </w:t>
      </w:r>
      <w:r w:rsidRPr="00227E88">
        <w:rPr>
          <w:rFonts w:ascii="Arial" w:hAnsi="Arial" w:cs="Arial"/>
        </w:rPr>
        <w:tab/>
      </w:r>
      <w:r w:rsidRPr="00227E88">
        <w:rPr>
          <w:rFonts w:ascii="Arial" w:hAnsi="Arial" w:cs="Arial"/>
          <w:b/>
        </w:rPr>
        <w:t xml:space="preserve">Review, Interpretation and Publication of the </w:t>
      </w:r>
      <w:proofErr w:type="spellStart"/>
      <w:r w:rsidRPr="00227E88">
        <w:rPr>
          <w:rFonts w:ascii="Arial" w:hAnsi="Arial" w:cs="Arial"/>
          <w:b/>
        </w:rPr>
        <w:t>ToR</w:t>
      </w:r>
      <w:proofErr w:type="spellEnd"/>
    </w:p>
    <w:p w14:paraId="6D164050" w14:textId="77777777" w:rsidR="004864DC" w:rsidRPr="00227E88" w:rsidRDefault="004864DC" w:rsidP="004864DC">
      <w:pPr>
        <w:ind w:left="567" w:right="-23" w:hanging="567"/>
        <w:jc w:val="both"/>
        <w:rPr>
          <w:rFonts w:ascii="Arial" w:hAnsi="Arial" w:cs="Arial"/>
        </w:rPr>
      </w:pPr>
    </w:p>
    <w:p w14:paraId="6D164051" w14:textId="77777777" w:rsidR="004864DC" w:rsidRPr="00227E88" w:rsidRDefault="004864DC" w:rsidP="004864DC">
      <w:pPr>
        <w:ind w:left="567" w:right="-23" w:hanging="567"/>
        <w:jc w:val="both"/>
        <w:rPr>
          <w:rFonts w:ascii="Arial" w:hAnsi="Arial" w:cs="Arial"/>
        </w:rPr>
      </w:pPr>
      <w:r w:rsidRPr="00227E88">
        <w:rPr>
          <w:rFonts w:ascii="Arial" w:hAnsi="Arial" w:cs="Arial"/>
        </w:rPr>
        <w:t>9.1</w:t>
      </w:r>
      <w:r w:rsidRPr="00227E88">
        <w:rPr>
          <w:rFonts w:ascii="Arial" w:hAnsi="Arial" w:cs="Arial"/>
        </w:rPr>
        <w:tab/>
        <w:t xml:space="preserve">The </w:t>
      </w:r>
      <w:proofErr w:type="spellStart"/>
      <w:r w:rsidRPr="00227E88">
        <w:rPr>
          <w:rFonts w:ascii="Arial" w:hAnsi="Arial" w:cs="Arial"/>
        </w:rPr>
        <w:t>ToR</w:t>
      </w:r>
      <w:proofErr w:type="spellEnd"/>
      <w:r w:rsidRPr="00227E88">
        <w:rPr>
          <w:rFonts w:ascii="Arial" w:hAnsi="Arial" w:cs="Arial"/>
        </w:rPr>
        <w:t xml:space="preserve"> were agreed by the full Assembly of the London Borough of Barking and Dagenham on 24 February 2015.  The Council will monitor and evaluate the operation of the Board and may review the </w:t>
      </w:r>
      <w:proofErr w:type="spellStart"/>
      <w:r w:rsidRPr="00227E88">
        <w:rPr>
          <w:rFonts w:ascii="Arial" w:hAnsi="Arial" w:cs="Arial"/>
        </w:rPr>
        <w:t>ToR</w:t>
      </w:r>
      <w:proofErr w:type="spellEnd"/>
      <w:r w:rsidRPr="00227E88">
        <w:rPr>
          <w:rFonts w:ascii="Arial" w:hAnsi="Arial" w:cs="Arial"/>
        </w:rPr>
        <w:t xml:space="preserve"> from time to time, with any changes made approved by the Assembly subject to the provisions of 9.2 below.</w:t>
      </w:r>
    </w:p>
    <w:p w14:paraId="6D164052" w14:textId="77777777" w:rsidR="004864DC" w:rsidRPr="00227E88" w:rsidRDefault="004864DC" w:rsidP="004864DC">
      <w:pPr>
        <w:ind w:left="567" w:right="-23" w:hanging="567"/>
        <w:jc w:val="both"/>
        <w:rPr>
          <w:rFonts w:ascii="Arial" w:hAnsi="Arial" w:cs="Arial"/>
        </w:rPr>
      </w:pPr>
    </w:p>
    <w:p w14:paraId="6D164053" w14:textId="77777777" w:rsidR="004864DC" w:rsidRPr="00227E88" w:rsidRDefault="004864DC" w:rsidP="004864DC">
      <w:pPr>
        <w:ind w:left="567" w:right="-23" w:hanging="567"/>
        <w:jc w:val="both"/>
        <w:rPr>
          <w:rFonts w:ascii="Arial" w:hAnsi="Arial" w:cs="Arial"/>
        </w:rPr>
      </w:pPr>
      <w:r w:rsidRPr="00227E88">
        <w:rPr>
          <w:rFonts w:ascii="Arial" w:hAnsi="Arial" w:cs="Arial"/>
        </w:rPr>
        <w:t>9.2</w:t>
      </w:r>
      <w:r w:rsidRPr="00227E88">
        <w:rPr>
          <w:rFonts w:ascii="Arial" w:hAnsi="Arial" w:cs="Arial"/>
        </w:rPr>
        <w:tab/>
        <w:t xml:space="preserve">The Monitoring Officer is authorised to make minor amendments, consequential upon statutory or regulatory change, or to rectify errors, or to update arrangements consequential upon other external factors. </w:t>
      </w:r>
    </w:p>
    <w:p w14:paraId="6D164054" w14:textId="77777777" w:rsidR="004864DC" w:rsidRPr="00227E88" w:rsidRDefault="004864DC" w:rsidP="004864DC">
      <w:pPr>
        <w:ind w:left="567" w:right="-23" w:hanging="567"/>
        <w:jc w:val="both"/>
        <w:rPr>
          <w:rFonts w:ascii="Arial" w:hAnsi="Arial" w:cs="Arial"/>
        </w:rPr>
      </w:pPr>
    </w:p>
    <w:p w14:paraId="6D164055" w14:textId="77777777" w:rsidR="004864DC" w:rsidRPr="00227E88" w:rsidRDefault="004864DC" w:rsidP="004864DC">
      <w:pPr>
        <w:ind w:left="567" w:right="-23" w:hanging="567"/>
        <w:jc w:val="both"/>
        <w:rPr>
          <w:rFonts w:ascii="Arial" w:hAnsi="Arial" w:cs="Arial"/>
        </w:rPr>
      </w:pPr>
      <w:r w:rsidRPr="00227E88">
        <w:rPr>
          <w:rFonts w:ascii="Arial" w:hAnsi="Arial" w:cs="Arial"/>
        </w:rPr>
        <w:t>9.3</w:t>
      </w:r>
      <w:r w:rsidRPr="00227E88">
        <w:rPr>
          <w:rFonts w:ascii="Arial" w:hAnsi="Arial" w:cs="Arial"/>
        </w:rPr>
        <w:tab/>
        <w:t xml:space="preserve">The </w:t>
      </w:r>
      <w:proofErr w:type="spellStart"/>
      <w:r w:rsidRPr="00227E88">
        <w:rPr>
          <w:rFonts w:ascii="Arial" w:hAnsi="Arial" w:cs="Arial"/>
        </w:rPr>
        <w:t>ToR</w:t>
      </w:r>
      <w:proofErr w:type="spellEnd"/>
      <w:r w:rsidRPr="00227E88">
        <w:rPr>
          <w:rFonts w:ascii="Arial" w:hAnsi="Arial" w:cs="Arial"/>
        </w:rPr>
        <w:t xml:space="preserve"> will be published in the Council's Constitution. The </w:t>
      </w:r>
      <w:proofErr w:type="spellStart"/>
      <w:r w:rsidRPr="00227E88">
        <w:rPr>
          <w:rFonts w:ascii="Arial" w:hAnsi="Arial" w:cs="Arial"/>
        </w:rPr>
        <w:t>ToR</w:t>
      </w:r>
      <w:proofErr w:type="spellEnd"/>
      <w:r w:rsidRPr="00227E88">
        <w:rPr>
          <w:rFonts w:ascii="Arial" w:hAnsi="Arial" w:cs="Arial"/>
        </w:rPr>
        <w:t xml:space="preserve"> will also form part of the Fund’s Governance Policy and Compliance Statement which will be made available in accordance with the requirements of the LGPS Regulations.</w:t>
      </w:r>
    </w:p>
    <w:p w14:paraId="6D164056" w14:textId="77777777" w:rsidR="004864DC" w:rsidRPr="00227E88" w:rsidRDefault="004864DC" w:rsidP="004864DC">
      <w:pPr>
        <w:ind w:left="567" w:right="-23" w:hanging="567"/>
        <w:jc w:val="both"/>
        <w:rPr>
          <w:rFonts w:ascii="Arial" w:hAnsi="Arial" w:cs="Arial"/>
        </w:rPr>
      </w:pPr>
    </w:p>
    <w:p w14:paraId="6D164057" w14:textId="77777777" w:rsidR="004864DC" w:rsidRPr="00E35F96" w:rsidRDefault="004864DC" w:rsidP="004864DC">
      <w:pPr>
        <w:ind w:left="567" w:right="-23" w:hanging="567"/>
        <w:jc w:val="both"/>
        <w:rPr>
          <w:rFonts w:ascii="Arial" w:hAnsi="Arial" w:cs="Arial"/>
        </w:rPr>
      </w:pPr>
      <w:r w:rsidRPr="00227E88">
        <w:rPr>
          <w:rFonts w:ascii="Arial" w:hAnsi="Arial" w:cs="Arial"/>
        </w:rPr>
        <w:t>9.4</w:t>
      </w:r>
      <w:r w:rsidRPr="00227E88">
        <w:rPr>
          <w:rFonts w:ascii="Arial" w:hAnsi="Arial" w:cs="Arial"/>
        </w:rPr>
        <w:tab/>
        <w:t xml:space="preserve">These Terms of Reference were adopted by the Board on [27 July 2015]. </w:t>
      </w:r>
    </w:p>
    <w:p w14:paraId="6D164058" w14:textId="77777777" w:rsidR="004864DC" w:rsidRPr="00227E88" w:rsidRDefault="004864DC" w:rsidP="004864DC">
      <w:pPr>
        <w:pStyle w:val="ListParagraph"/>
        <w:ind w:left="567" w:right="-23" w:hanging="567"/>
        <w:rPr>
          <w:rFonts w:ascii="Arial" w:hAnsi="Arial" w:cs="Arial"/>
          <w:sz w:val="24"/>
          <w:szCs w:val="24"/>
        </w:rPr>
      </w:pPr>
    </w:p>
    <w:p w14:paraId="6D164059" w14:textId="77777777" w:rsidR="004864DC" w:rsidRPr="00227E88" w:rsidRDefault="004864DC" w:rsidP="004864DC">
      <w:pPr>
        <w:pStyle w:val="ListParagraph"/>
        <w:ind w:left="567" w:right="-23" w:hanging="567"/>
        <w:rPr>
          <w:rFonts w:ascii="Arial" w:hAnsi="Arial" w:cs="Arial"/>
          <w:sz w:val="24"/>
          <w:szCs w:val="24"/>
        </w:rPr>
      </w:pPr>
    </w:p>
    <w:p w14:paraId="6D16405A" w14:textId="77777777" w:rsidR="004864DC" w:rsidRPr="00227E88" w:rsidRDefault="004864DC" w:rsidP="004864DC">
      <w:pPr>
        <w:pStyle w:val="ListParagraph"/>
        <w:ind w:left="567" w:right="-23" w:hanging="567"/>
        <w:rPr>
          <w:rFonts w:ascii="Arial" w:hAnsi="Arial" w:cs="Arial"/>
          <w:sz w:val="24"/>
          <w:szCs w:val="24"/>
        </w:rPr>
      </w:pPr>
    </w:p>
    <w:p w14:paraId="6D16405B" w14:textId="77777777" w:rsidR="004864DC" w:rsidRPr="00227E88" w:rsidRDefault="004864DC" w:rsidP="004864DC">
      <w:pPr>
        <w:pStyle w:val="ListParagraph"/>
        <w:ind w:right="-23"/>
        <w:rPr>
          <w:rFonts w:ascii="Arial" w:hAnsi="Arial" w:cs="Arial"/>
          <w:b/>
          <w:bCs/>
          <w:sz w:val="24"/>
          <w:szCs w:val="24"/>
        </w:rPr>
      </w:pPr>
      <w:r w:rsidRPr="00227E88">
        <w:rPr>
          <w:rFonts w:ascii="Arial" w:hAnsi="Arial" w:cs="Arial"/>
          <w:b/>
          <w:bCs/>
          <w:sz w:val="24"/>
          <w:szCs w:val="24"/>
        </w:rPr>
        <w:t>………………………………………….</w:t>
      </w:r>
    </w:p>
    <w:p w14:paraId="6D16405C" w14:textId="77777777" w:rsidR="004864DC" w:rsidRPr="00227E88" w:rsidRDefault="004864DC" w:rsidP="004864DC">
      <w:pPr>
        <w:pStyle w:val="ListParagraph"/>
        <w:ind w:right="-23"/>
        <w:rPr>
          <w:rFonts w:ascii="Arial" w:hAnsi="Arial" w:cs="Arial"/>
          <w:b/>
          <w:bCs/>
          <w:sz w:val="24"/>
          <w:szCs w:val="24"/>
        </w:rPr>
      </w:pPr>
      <w:r w:rsidRPr="00227E88">
        <w:rPr>
          <w:rFonts w:ascii="Arial" w:hAnsi="Arial" w:cs="Arial"/>
          <w:b/>
          <w:bCs/>
          <w:sz w:val="24"/>
          <w:szCs w:val="24"/>
        </w:rPr>
        <w:t>Signed on behalf of the Administering Authority</w:t>
      </w:r>
    </w:p>
    <w:p w14:paraId="6D16405D" w14:textId="77777777" w:rsidR="004864DC" w:rsidRPr="00227E88" w:rsidRDefault="004864DC" w:rsidP="004864DC">
      <w:pPr>
        <w:pStyle w:val="ListParagraph"/>
        <w:ind w:right="-23"/>
        <w:rPr>
          <w:rFonts w:ascii="Arial" w:hAnsi="Arial" w:cs="Arial"/>
          <w:b/>
          <w:bCs/>
          <w:sz w:val="24"/>
          <w:szCs w:val="24"/>
        </w:rPr>
      </w:pPr>
    </w:p>
    <w:p w14:paraId="6D16405E" w14:textId="77777777" w:rsidR="004864DC" w:rsidRPr="00227E88" w:rsidRDefault="004864DC" w:rsidP="004864DC">
      <w:pPr>
        <w:pStyle w:val="ListParagraph"/>
        <w:ind w:right="-23"/>
        <w:rPr>
          <w:rFonts w:ascii="Arial" w:hAnsi="Arial" w:cs="Arial"/>
          <w:b/>
          <w:bCs/>
          <w:sz w:val="24"/>
          <w:szCs w:val="24"/>
        </w:rPr>
      </w:pPr>
    </w:p>
    <w:p w14:paraId="6D16405F" w14:textId="77777777" w:rsidR="004864DC" w:rsidRPr="00227E88" w:rsidRDefault="004864DC" w:rsidP="004864DC">
      <w:pPr>
        <w:pStyle w:val="ListParagraph"/>
        <w:ind w:right="-23"/>
        <w:rPr>
          <w:rFonts w:ascii="Arial" w:hAnsi="Arial" w:cs="Arial"/>
          <w:b/>
          <w:bCs/>
          <w:sz w:val="24"/>
          <w:szCs w:val="24"/>
        </w:rPr>
      </w:pPr>
      <w:r w:rsidRPr="00227E88">
        <w:rPr>
          <w:rFonts w:ascii="Arial" w:hAnsi="Arial" w:cs="Arial"/>
          <w:b/>
          <w:bCs/>
          <w:sz w:val="24"/>
          <w:szCs w:val="24"/>
        </w:rPr>
        <w:t>…………………………………………</w:t>
      </w:r>
    </w:p>
    <w:p w14:paraId="6D164060" w14:textId="77777777" w:rsidR="004864DC" w:rsidRPr="00227E88" w:rsidRDefault="004864DC" w:rsidP="004864DC">
      <w:pPr>
        <w:pStyle w:val="ListParagraph"/>
        <w:ind w:right="-23"/>
        <w:rPr>
          <w:rFonts w:ascii="Arial" w:hAnsi="Arial" w:cs="Arial"/>
          <w:b/>
        </w:rPr>
      </w:pPr>
      <w:r w:rsidRPr="00227E88">
        <w:rPr>
          <w:rFonts w:ascii="Arial" w:hAnsi="Arial" w:cs="Arial"/>
          <w:b/>
          <w:bCs/>
        </w:rPr>
        <w:t>Signed on behalf of the Board</w:t>
      </w:r>
    </w:p>
    <w:p w14:paraId="6D164061" w14:textId="77777777" w:rsidR="00B62EC3" w:rsidRDefault="00B62EC3" w:rsidP="00B62EC3">
      <w:pPr>
        <w:rPr>
          <w:rFonts w:ascii="Verdana" w:hAnsi="Verdana"/>
          <w:b/>
          <w:bCs/>
          <w:color w:val="000000"/>
          <w:sz w:val="32"/>
          <w:szCs w:val="32"/>
        </w:rPr>
      </w:pPr>
    </w:p>
    <w:p w14:paraId="6D164062" w14:textId="77777777" w:rsidR="00B62EC3" w:rsidRDefault="00B62EC3" w:rsidP="00B62EC3">
      <w:pPr>
        <w:rPr>
          <w:rFonts w:ascii="Verdana" w:hAnsi="Verdana"/>
          <w:b/>
          <w:bCs/>
          <w:color w:val="000000"/>
          <w:sz w:val="32"/>
          <w:szCs w:val="32"/>
        </w:rPr>
      </w:pPr>
    </w:p>
    <w:p w14:paraId="6D164063" w14:textId="77777777" w:rsidR="00B62EC3" w:rsidRDefault="00B62EC3" w:rsidP="00B62EC3">
      <w:pPr>
        <w:rPr>
          <w:rFonts w:ascii="Verdana" w:hAnsi="Verdana"/>
          <w:b/>
          <w:bCs/>
          <w:color w:val="000000"/>
          <w:sz w:val="32"/>
          <w:szCs w:val="32"/>
        </w:rPr>
      </w:pPr>
    </w:p>
    <w:p w14:paraId="6D164064" w14:textId="77777777" w:rsidR="00B62EC3" w:rsidRDefault="00B62EC3" w:rsidP="00B62EC3">
      <w:pPr>
        <w:rPr>
          <w:rFonts w:ascii="Verdana" w:hAnsi="Verdana"/>
          <w:b/>
          <w:bCs/>
          <w:color w:val="000000"/>
          <w:sz w:val="32"/>
          <w:szCs w:val="32"/>
        </w:rPr>
      </w:pPr>
    </w:p>
    <w:p w14:paraId="6D164065" w14:textId="77777777" w:rsidR="00B62EC3" w:rsidRDefault="00B62EC3" w:rsidP="00B62EC3">
      <w:pPr>
        <w:rPr>
          <w:rFonts w:ascii="Verdana" w:hAnsi="Verdana"/>
          <w:b/>
          <w:bCs/>
          <w:color w:val="000000"/>
          <w:sz w:val="32"/>
          <w:szCs w:val="32"/>
        </w:rPr>
      </w:pPr>
    </w:p>
    <w:p w14:paraId="6D164066" w14:textId="77777777" w:rsidR="00B62EC3" w:rsidRDefault="00B62EC3" w:rsidP="00B62EC3">
      <w:pPr>
        <w:rPr>
          <w:rFonts w:ascii="Verdana" w:hAnsi="Verdana"/>
          <w:b/>
          <w:bCs/>
          <w:color w:val="000000"/>
          <w:sz w:val="32"/>
          <w:szCs w:val="32"/>
        </w:rPr>
      </w:pPr>
    </w:p>
    <w:p w14:paraId="6D164067" w14:textId="77777777" w:rsidR="00B62EC3" w:rsidRDefault="00B62EC3" w:rsidP="00B62EC3">
      <w:pPr>
        <w:rPr>
          <w:rFonts w:ascii="Verdana" w:hAnsi="Verdana"/>
          <w:b/>
          <w:bCs/>
          <w:color w:val="000000"/>
          <w:sz w:val="32"/>
          <w:szCs w:val="32"/>
        </w:rPr>
      </w:pPr>
    </w:p>
    <w:p w14:paraId="6D164068" w14:textId="77777777" w:rsidR="00B62EC3" w:rsidRDefault="00B62EC3" w:rsidP="00B62EC3">
      <w:pPr>
        <w:rPr>
          <w:rFonts w:ascii="Verdana" w:hAnsi="Verdana"/>
          <w:b/>
          <w:bCs/>
          <w:color w:val="000000"/>
          <w:sz w:val="32"/>
          <w:szCs w:val="32"/>
        </w:rPr>
      </w:pPr>
    </w:p>
    <w:p w14:paraId="6D164069" w14:textId="77777777" w:rsidR="00B62EC3" w:rsidRDefault="00B62EC3" w:rsidP="00B62EC3">
      <w:pPr>
        <w:rPr>
          <w:rFonts w:ascii="Verdana" w:hAnsi="Verdana"/>
          <w:b/>
          <w:bCs/>
          <w:color w:val="000000"/>
          <w:sz w:val="32"/>
          <w:szCs w:val="32"/>
        </w:rPr>
      </w:pPr>
    </w:p>
    <w:p w14:paraId="6D16406A" w14:textId="77777777" w:rsidR="00B62EC3" w:rsidRDefault="00B62EC3" w:rsidP="00B62EC3">
      <w:pPr>
        <w:rPr>
          <w:rFonts w:ascii="Verdana" w:hAnsi="Verdana"/>
          <w:b/>
          <w:bCs/>
          <w:color w:val="000000"/>
          <w:sz w:val="32"/>
          <w:szCs w:val="32"/>
        </w:rPr>
      </w:pPr>
    </w:p>
    <w:p w14:paraId="6D16406B" w14:textId="77777777" w:rsidR="00B62EC3" w:rsidRDefault="00B62EC3" w:rsidP="00B62EC3">
      <w:pPr>
        <w:rPr>
          <w:rFonts w:ascii="Verdana" w:hAnsi="Verdana"/>
          <w:b/>
          <w:bCs/>
          <w:color w:val="000000"/>
          <w:sz w:val="32"/>
          <w:szCs w:val="32"/>
        </w:rPr>
      </w:pPr>
    </w:p>
    <w:sectPr w:rsidR="00B62EC3" w:rsidSect="0076066D">
      <w:footerReference w:type="default" r:id="rId69"/>
      <w:pgSz w:w="12240" w:h="15840"/>
      <w:pgMar w:top="1440" w:right="1440" w:bottom="1418"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9DB91" w14:textId="77777777" w:rsidR="0092521E" w:rsidRDefault="0092521E" w:rsidP="00427FA7">
      <w:r>
        <w:separator/>
      </w:r>
    </w:p>
  </w:endnote>
  <w:endnote w:type="continuationSeparator" w:id="0">
    <w:p w14:paraId="362D1158" w14:textId="77777777" w:rsidR="0092521E" w:rsidRDefault="0092521E" w:rsidP="00427FA7">
      <w:r>
        <w:continuationSeparator/>
      </w:r>
    </w:p>
  </w:endnote>
  <w:endnote w:type="continuationNotice" w:id="1">
    <w:p w14:paraId="4FDAC9E1" w14:textId="77777777" w:rsidR="0092521E" w:rsidRDefault="009252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Segoe UI"/>
    <w:panose1 w:val="00000000000000000000"/>
    <w:charset w:val="00"/>
    <w:family w:val="swiss"/>
    <w:notTrueType/>
    <w:pitch w:val="variable"/>
    <w:sig w:usb0="00000003" w:usb1="00000000" w:usb2="00000000" w:usb3="00000000" w:csb0="00000001" w:csb1="00000000"/>
  </w:font>
  <w:font w:name="CG Omega (W1)">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IN-Regular">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ORupert">
    <w:altName w:val="Times New Roman"/>
    <w:charset w:val="00"/>
    <w:family w:val="auto"/>
    <w:pitch w:val="variable"/>
    <w:sig w:usb0="00000083" w:usb1="00000000" w:usb2="00000000" w:usb3="00000000" w:csb0="00000009" w:csb1="00000000"/>
  </w:font>
  <w:font w:name="Segoe UI Semibold">
    <w:panose1 w:val="020B07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515352"/>
      <w:docPartObj>
        <w:docPartGallery w:val="Page Numbers (Bottom of Page)"/>
        <w:docPartUnique/>
      </w:docPartObj>
    </w:sdtPr>
    <w:sdtEndPr>
      <w:rPr>
        <w:noProof/>
      </w:rPr>
    </w:sdtEndPr>
    <w:sdtContent>
      <w:p w14:paraId="0EF9CB96" w14:textId="5202B3A0" w:rsidR="00836E8B" w:rsidRDefault="00836E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640C3" w14:textId="77777777" w:rsidR="00B2319B" w:rsidRDefault="00B231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750107"/>
      <w:docPartObj>
        <w:docPartGallery w:val="Page Numbers (Bottom of Page)"/>
        <w:docPartUnique/>
      </w:docPartObj>
    </w:sdtPr>
    <w:sdtEndPr>
      <w:rPr>
        <w:noProof/>
      </w:rPr>
    </w:sdtEndPr>
    <w:sdtContent>
      <w:p w14:paraId="6D1640E1" w14:textId="77777777" w:rsidR="00B2319B" w:rsidRDefault="00B2319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1640E2" w14:textId="77777777" w:rsidR="00B2319B" w:rsidRDefault="00B23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A3A59" w14:textId="77777777" w:rsidR="0092521E" w:rsidRDefault="0092521E" w:rsidP="00427FA7">
      <w:r>
        <w:separator/>
      </w:r>
    </w:p>
  </w:footnote>
  <w:footnote w:type="continuationSeparator" w:id="0">
    <w:p w14:paraId="2A4BA2D3" w14:textId="77777777" w:rsidR="0092521E" w:rsidRDefault="0092521E" w:rsidP="00427FA7">
      <w:r>
        <w:continuationSeparator/>
      </w:r>
    </w:p>
  </w:footnote>
  <w:footnote w:type="continuationNotice" w:id="1">
    <w:p w14:paraId="7D614576" w14:textId="77777777" w:rsidR="0092521E" w:rsidRDefault="009252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83AB4" w14:textId="07301232" w:rsidR="004F5239" w:rsidRDefault="004F5239">
    <w:pPr>
      <w:pStyle w:val="Header"/>
      <w:jc w:val="center"/>
    </w:pPr>
  </w:p>
  <w:p w14:paraId="10DB722B" w14:textId="77777777" w:rsidR="004F5239" w:rsidRDefault="004F5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E69E" w14:textId="77777777" w:rsidR="00653CC7" w:rsidRDefault="00653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640E0" w14:textId="1B062D99" w:rsidR="00B2319B" w:rsidRDefault="00272999" w:rsidP="00272999">
    <w:pPr>
      <w:tabs>
        <w:tab w:val="left" w:pos="18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5DEB670"/>
    <w:lvl w:ilvl="0">
      <w:start w:val="1"/>
      <w:numFmt w:val="decimal"/>
      <w:pStyle w:val="ListNumber"/>
      <w:lvlText w:val="%1"/>
      <w:lvlJc w:val="left"/>
      <w:pPr>
        <w:tabs>
          <w:tab w:val="num" w:pos="786"/>
        </w:tabs>
        <w:ind w:left="786" w:hanging="360"/>
      </w:pPr>
      <w:rPr>
        <w:rFonts w:hint="default"/>
        <w:color w:val="E7E6E6" w:themeColor="background2"/>
      </w:rPr>
    </w:lvl>
  </w:abstractNum>
  <w:abstractNum w:abstractNumId="1" w15:restartNumberingAfterBreak="0">
    <w:nsid w:val="FFFFFF89"/>
    <w:multiLevelType w:val="singleLevel"/>
    <w:tmpl w:val="8644433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992DED"/>
    <w:multiLevelType w:val="hybridMultilevel"/>
    <w:tmpl w:val="1B1ED640"/>
    <w:lvl w:ilvl="0" w:tplc="11C40546">
      <w:start w:val="1"/>
      <w:numFmt w:val="bullet"/>
      <w:lvlText w:val="•"/>
      <w:lvlJc w:val="left"/>
      <w:pPr>
        <w:ind w:left="720"/>
      </w:pPr>
      <w:rPr>
        <w:rFonts w:ascii="Arial" w:eastAsia="Arial" w:hAnsi="Arial" w:cs="Arial"/>
        <w:b w:val="0"/>
        <w:i w:val="0"/>
        <w:strike w:val="0"/>
        <w:dstrike w:val="0"/>
        <w:color w:val="009FE3"/>
        <w:sz w:val="20"/>
        <w:szCs w:val="20"/>
        <w:u w:val="none" w:color="000000"/>
        <w:bdr w:val="none" w:sz="0" w:space="0" w:color="auto"/>
        <w:shd w:val="clear" w:color="auto" w:fill="auto"/>
        <w:vertAlign w:val="baseline"/>
      </w:rPr>
    </w:lvl>
    <w:lvl w:ilvl="1" w:tplc="9B20A6DA">
      <w:start w:val="1"/>
      <w:numFmt w:val="bullet"/>
      <w:lvlText w:val="o"/>
      <w:lvlJc w:val="left"/>
      <w:pPr>
        <w:ind w:left="144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2" w:tplc="79DC551E">
      <w:start w:val="1"/>
      <w:numFmt w:val="bullet"/>
      <w:lvlText w:val="▪"/>
      <w:lvlJc w:val="left"/>
      <w:pPr>
        <w:ind w:left="216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3" w:tplc="D62E229E">
      <w:start w:val="1"/>
      <w:numFmt w:val="bullet"/>
      <w:lvlText w:val="•"/>
      <w:lvlJc w:val="left"/>
      <w:pPr>
        <w:ind w:left="2880"/>
      </w:pPr>
      <w:rPr>
        <w:rFonts w:ascii="Arial" w:eastAsia="Arial" w:hAnsi="Arial" w:cs="Arial"/>
        <w:b w:val="0"/>
        <w:i w:val="0"/>
        <w:strike w:val="0"/>
        <w:dstrike w:val="0"/>
        <w:color w:val="009FE3"/>
        <w:sz w:val="20"/>
        <w:szCs w:val="20"/>
        <w:u w:val="none" w:color="000000"/>
        <w:bdr w:val="none" w:sz="0" w:space="0" w:color="auto"/>
        <w:shd w:val="clear" w:color="auto" w:fill="auto"/>
        <w:vertAlign w:val="baseline"/>
      </w:rPr>
    </w:lvl>
    <w:lvl w:ilvl="4" w:tplc="829E7A00">
      <w:start w:val="1"/>
      <w:numFmt w:val="bullet"/>
      <w:lvlText w:val="o"/>
      <w:lvlJc w:val="left"/>
      <w:pPr>
        <w:ind w:left="360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5" w:tplc="E06E5C30">
      <w:start w:val="1"/>
      <w:numFmt w:val="bullet"/>
      <w:lvlText w:val="▪"/>
      <w:lvlJc w:val="left"/>
      <w:pPr>
        <w:ind w:left="432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6" w:tplc="27565FE6">
      <w:start w:val="1"/>
      <w:numFmt w:val="bullet"/>
      <w:lvlText w:val="•"/>
      <w:lvlJc w:val="left"/>
      <w:pPr>
        <w:ind w:left="5040"/>
      </w:pPr>
      <w:rPr>
        <w:rFonts w:ascii="Arial" w:eastAsia="Arial" w:hAnsi="Arial" w:cs="Arial"/>
        <w:b w:val="0"/>
        <w:i w:val="0"/>
        <w:strike w:val="0"/>
        <w:dstrike w:val="0"/>
        <w:color w:val="009FE3"/>
        <w:sz w:val="20"/>
        <w:szCs w:val="20"/>
        <w:u w:val="none" w:color="000000"/>
        <w:bdr w:val="none" w:sz="0" w:space="0" w:color="auto"/>
        <w:shd w:val="clear" w:color="auto" w:fill="auto"/>
        <w:vertAlign w:val="baseline"/>
      </w:rPr>
    </w:lvl>
    <w:lvl w:ilvl="7" w:tplc="7ADA7EBA">
      <w:start w:val="1"/>
      <w:numFmt w:val="bullet"/>
      <w:lvlText w:val="o"/>
      <w:lvlJc w:val="left"/>
      <w:pPr>
        <w:ind w:left="576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8" w:tplc="1FD48884">
      <w:start w:val="1"/>
      <w:numFmt w:val="bullet"/>
      <w:lvlText w:val="▪"/>
      <w:lvlJc w:val="left"/>
      <w:pPr>
        <w:ind w:left="648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abstractNum>
  <w:abstractNum w:abstractNumId="3" w15:restartNumberingAfterBreak="0">
    <w:nsid w:val="01566399"/>
    <w:multiLevelType w:val="hybridMultilevel"/>
    <w:tmpl w:val="CECE3690"/>
    <w:lvl w:ilvl="0" w:tplc="9062A53E">
      <w:start w:val="1"/>
      <w:numFmt w:val="decimal"/>
      <w:lvlText w:val="%1."/>
      <w:lvlJc w:val="left"/>
      <w:pPr>
        <w:ind w:left="720" w:hanging="360"/>
      </w:pPr>
      <w:rPr>
        <w:b/>
      </w:rPr>
    </w:lvl>
    <w:lvl w:ilvl="1" w:tplc="2F44B11E">
      <w:numFmt w:val="bullet"/>
      <w:lvlText w:val="•"/>
      <w:lvlJc w:val="left"/>
      <w:pPr>
        <w:ind w:left="1440" w:hanging="360"/>
      </w:pPr>
      <w:rPr>
        <w:rFonts w:ascii="Arial" w:eastAsia="Times New Roman" w:hAnsi="Arial" w:cs="Arial" w:hint="default"/>
      </w:rPr>
    </w:lvl>
    <w:lvl w:ilvl="2" w:tplc="8EB2D1FA">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751032"/>
    <w:multiLevelType w:val="hybridMultilevel"/>
    <w:tmpl w:val="923A3108"/>
    <w:lvl w:ilvl="0" w:tplc="59CEC1EA">
      <w:start w:val="1"/>
      <w:numFmt w:val="low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18A49FF"/>
    <w:multiLevelType w:val="hybridMultilevel"/>
    <w:tmpl w:val="198A1FF2"/>
    <w:lvl w:ilvl="0" w:tplc="08090011">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29824EE"/>
    <w:multiLevelType w:val="multilevel"/>
    <w:tmpl w:val="61322A74"/>
    <w:lvl w:ilvl="0">
      <w:start w:val="1"/>
      <w:numFmt w:val="decimal"/>
      <w:lvlText w:val="%1."/>
      <w:lvlJc w:val="left"/>
      <w:pPr>
        <w:ind w:left="360" w:hanging="360"/>
      </w:pPr>
      <w:rPr>
        <w:color w:val="C00000"/>
      </w:rPr>
    </w:lvl>
    <w:lvl w:ilvl="1">
      <w:start w:val="1"/>
      <w:numFmt w:val="lowerRoman"/>
      <w:lvlText w:val="%2."/>
      <w:lvlJc w:val="right"/>
      <w:pPr>
        <w:ind w:left="712" w:hanging="57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7" w15:restartNumberingAfterBreak="0">
    <w:nsid w:val="03DC498F"/>
    <w:multiLevelType w:val="hybridMultilevel"/>
    <w:tmpl w:val="6D188F5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8" w15:restartNumberingAfterBreak="0">
    <w:nsid w:val="05430EDF"/>
    <w:multiLevelType w:val="hybridMultilevel"/>
    <w:tmpl w:val="491AE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6022454"/>
    <w:multiLevelType w:val="hybridMultilevel"/>
    <w:tmpl w:val="338CFAC6"/>
    <w:lvl w:ilvl="0" w:tplc="08090011">
      <w:start w:val="1"/>
      <w:numFmt w:val="decimal"/>
      <w:lvlText w:val="%1)"/>
      <w:lvlJc w:val="left"/>
      <w:pPr>
        <w:ind w:left="1866" w:hanging="360"/>
      </w:pPr>
    </w:lvl>
    <w:lvl w:ilvl="1" w:tplc="08090019" w:tentative="1">
      <w:start w:val="1"/>
      <w:numFmt w:val="lowerLetter"/>
      <w:lvlText w:val="%2."/>
      <w:lvlJc w:val="left"/>
      <w:pPr>
        <w:ind w:left="2586" w:hanging="360"/>
      </w:pPr>
    </w:lvl>
    <w:lvl w:ilvl="2" w:tplc="0809001B" w:tentative="1">
      <w:start w:val="1"/>
      <w:numFmt w:val="lowerRoman"/>
      <w:lvlText w:val="%3."/>
      <w:lvlJc w:val="right"/>
      <w:pPr>
        <w:ind w:left="3306" w:hanging="180"/>
      </w:pPr>
    </w:lvl>
    <w:lvl w:ilvl="3" w:tplc="0809000F" w:tentative="1">
      <w:start w:val="1"/>
      <w:numFmt w:val="decimal"/>
      <w:lvlText w:val="%4."/>
      <w:lvlJc w:val="left"/>
      <w:pPr>
        <w:ind w:left="4026" w:hanging="360"/>
      </w:pPr>
    </w:lvl>
    <w:lvl w:ilvl="4" w:tplc="08090019" w:tentative="1">
      <w:start w:val="1"/>
      <w:numFmt w:val="lowerLetter"/>
      <w:lvlText w:val="%5."/>
      <w:lvlJc w:val="left"/>
      <w:pPr>
        <w:ind w:left="4746" w:hanging="360"/>
      </w:pPr>
    </w:lvl>
    <w:lvl w:ilvl="5" w:tplc="0809001B" w:tentative="1">
      <w:start w:val="1"/>
      <w:numFmt w:val="lowerRoman"/>
      <w:lvlText w:val="%6."/>
      <w:lvlJc w:val="right"/>
      <w:pPr>
        <w:ind w:left="5466" w:hanging="180"/>
      </w:pPr>
    </w:lvl>
    <w:lvl w:ilvl="6" w:tplc="0809000F" w:tentative="1">
      <w:start w:val="1"/>
      <w:numFmt w:val="decimal"/>
      <w:lvlText w:val="%7."/>
      <w:lvlJc w:val="left"/>
      <w:pPr>
        <w:ind w:left="6186" w:hanging="360"/>
      </w:pPr>
    </w:lvl>
    <w:lvl w:ilvl="7" w:tplc="08090019" w:tentative="1">
      <w:start w:val="1"/>
      <w:numFmt w:val="lowerLetter"/>
      <w:lvlText w:val="%8."/>
      <w:lvlJc w:val="left"/>
      <w:pPr>
        <w:ind w:left="6906" w:hanging="360"/>
      </w:pPr>
    </w:lvl>
    <w:lvl w:ilvl="8" w:tplc="0809001B" w:tentative="1">
      <w:start w:val="1"/>
      <w:numFmt w:val="lowerRoman"/>
      <w:lvlText w:val="%9."/>
      <w:lvlJc w:val="right"/>
      <w:pPr>
        <w:ind w:left="7626" w:hanging="180"/>
      </w:pPr>
    </w:lvl>
  </w:abstractNum>
  <w:abstractNum w:abstractNumId="10" w15:restartNumberingAfterBreak="0">
    <w:nsid w:val="069409CF"/>
    <w:multiLevelType w:val="hybridMultilevel"/>
    <w:tmpl w:val="E078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172AE1"/>
    <w:multiLevelType w:val="hybridMultilevel"/>
    <w:tmpl w:val="586EF316"/>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84F75B8"/>
    <w:multiLevelType w:val="multilevel"/>
    <w:tmpl w:val="1F0A1E58"/>
    <w:lvl w:ilvl="0">
      <w:start w:val="1"/>
      <w:numFmt w:val="decimal"/>
      <w:lvlRestart w:val="0"/>
      <w:pStyle w:val="Heading1Num"/>
      <w:isLgl/>
      <w:lvlText w:val="%1"/>
      <w:lvlJc w:val="left"/>
      <w:pPr>
        <w:tabs>
          <w:tab w:val="num" w:pos="567"/>
        </w:tabs>
        <w:ind w:left="567" w:hanging="567"/>
      </w:pPr>
      <w:rPr>
        <w:rFonts w:hint="default"/>
        <w:b/>
        <w:color w:val="C00000"/>
      </w:rPr>
    </w:lvl>
    <w:lvl w:ilvl="1">
      <w:start w:val="1"/>
      <w:numFmt w:val="decimal"/>
      <w:pStyle w:val="Heading2Num"/>
      <w:lvlText w:val="%1.%2"/>
      <w:lvlJc w:val="left"/>
      <w:pPr>
        <w:tabs>
          <w:tab w:val="num" w:pos="4112"/>
        </w:tabs>
        <w:ind w:left="4112" w:hanging="567"/>
      </w:pPr>
      <w:rPr>
        <w:rFonts w:hint="default"/>
        <w:color w:val="C00000"/>
      </w:rPr>
    </w:lvl>
    <w:lvl w:ilvl="2">
      <w:start w:val="1"/>
      <w:numFmt w:val="decimal"/>
      <w:pStyle w:val="Heading3Num"/>
      <w:lvlText w:val="%1.%2.%3"/>
      <w:lvlJc w:val="left"/>
      <w:pPr>
        <w:tabs>
          <w:tab w:val="num" w:pos="567"/>
        </w:tabs>
        <w:ind w:left="567"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08BF2D50"/>
    <w:multiLevelType w:val="hybridMultilevel"/>
    <w:tmpl w:val="2418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3571C9"/>
    <w:multiLevelType w:val="hybridMultilevel"/>
    <w:tmpl w:val="AF50150A"/>
    <w:lvl w:ilvl="0" w:tplc="8C1238CE">
      <w:start w:val="1"/>
      <w:numFmt w:val="decimal"/>
      <w:pStyle w:val="Heading2"/>
      <w:lvlText w:val="%1."/>
      <w:lvlJc w:val="left"/>
      <w:pPr>
        <w:tabs>
          <w:tab w:val="num" w:pos="1082"/>
        </w:tabs>
        <w:ind w:left="644" w:hanging="360"/>
      </w:pPr>
      <w:rPr>
        <w:rFonts w:cs="Times New Roman" w:hint="default"/>
        <w:b/>
        <w:i w:val="0"/>
        <w:sz w:val="22"/>
        <w:szCs w:val="22"/>
      </w:rPr>
    </w:lvl>
    <w:lvl w:ilvl="1" w:tplc="CF547218">
      <w:start w:val="1"/>
      <w:numFmt w:val="lowerLetter"/>
      <w:lvlText w:val="(%2)"/>
      <w:lvlJc w:val="left"/>
      <w:pPr>
        <w:tabs>
          <w:tab w:val="num" w:pos="1440"/>
        </w:tabs>
        <w:ind w:left="1440" w:hanging="360"/>
      </w:pPr>
      <w:rPr>
        <w:rFonts w:cs="Times New Roman" w:hint="default"/>
      </w:rPr>
    </w:lvl>
    <w:lvl w:ilvl="2" w:tplc="41A263B8">
      <w:start w:val="1"/>
      <w:numFmt w:val="lowerLetter"/>
      <w:lvlText w:val="%3)"/>
      <w:lvlJc w:val="left"/>
      <w:pPr>
        <w:tabs>
          <w:tab w:val="num" w:pos="2700"/>
        </w:tabs>
        <w:ind w:left="2700" w:hanging="72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B95859"/>
    <w:multiLevelType w:val="hybridMultilevel"/>
    <w:tmpl w:val="0F56A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C91143"/>
    <w:multiLevelType w:val="multilevel"/>
    <w:tmpl w:val="C7D6DB6A"/>
    <w:lvl w:ilvl="0">
      <w:start w:val="1"/>
      <w:numFmt w:val="decimal"/>
      <w:lvlRestart w:val="0"/>
      <w:pStyle w:val="hNumber1"/>
      <w:isLgl/>
      <w:lvlText w:val="%1"/>
      <w:lvlJc w:val="left"/>
      <w:pPr>
        <w:tabs>
          <w:tab w:val="num" w:pos="567"/>
        </w:tabs>
        <w:ind w:left="567" w:hanging="567"/>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Arial" w:hAnsi="Arial"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0E266BE6"/>
    <w:multiLevelType w:val="hybridMultilevel"/>
    <w:tmpl w:val="BA30452A"/>
    <w:lvl w:ilvl="0" w:tplc="EE3C1B28">
      <w:start w:val="1"/>
      <w:numFmt w:val="bullet"/>
      <w:pStyle w:val="hBullet3"/>
      <w:lvlText w:val=""/>
      <w:lvlJc w:val="left"/>
      <w:pPr>
        <w:tabs>
          <w:tab w:val="num" w:pos="567"/>
        </w:tabs>
        <w:ind w:left="567" w:hanging="567"/>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31215E"/>
    <w:multiLevelType w:val="hybridMultilevel"/>
    <w:tmpl w:val="7CAEA0CA"/>
    <w:lvl w:ilvl="0" w:tplc="08090001">
      <w:start w:val="1"/>
      <w:numFmt w:val="bullet"/>
      <w:lvlText w:val=""/>
      <w:lvlJc w:val="left"/>
      <w:pPr>
        <w:ind w:left="247" w:hanging="360"/>
      </w:pPr>
      <w:rPr>
        <w:rFonts w:ascii="Symbol" w:hAnsi="Symbol" w:hint="default"/>
      </w:rPr>
    </w:lvl>
    <w:lvl w:ilvl="1" w:tplc="08090003">
      <w:start w:val="1"/>
      <w:numFmt w:val="bullet"/>
      <w:lvlText w:val="o"/>
      <w:lvlJc w:val="left"/>
      <w:pPr>
        <w:ind w:left="967" w:hanging="360"/>
      </w:pPr>
      <w:rPr>
        <w:rFonts w:ascii="Courier New" w:hAnsi="Courier New" w:hint="default"/>
      </w:rPr>
    </w:lvl>
    <w:lvl w:ilvl="2" w:tplc="08090005" w:tentative="1">
      <w:start w:val="1"/>
      <w:numFmt w:val="bullet"/>
      <w:lvlText w:val=""/>
      <w:lvlJc w:val="left"/>
      <w:pPr>
        <w:ind w:left="1687" w:hanging="360"/>
      </w:pPr>
      <w:rPr>
        <w:rFonts w:ascii="Wingdings" w:hAnsi="Wingdings" w:hint="default"/>
      </w:rPr>
    </w:lvl>
    <w:lvl w:ilvl="3" w:tplc="08090001" w:tentative="1">
      <w:start w:val="1"/>
      <w:numFmt w:val="bullet"/>
      <w:lvlText w:val=""/>
      <w:lvlJc w:val="left"/>
      <w:pPr>
        <w:ind w:left="2407" w:hanging="360"/>
      </w:pPr>
      <w:rPr>
        <w:rFonts w:ascii="Symbol" w:hAnsi="Symbol" w:hint="default"/>
      </w:rPr>
    </w:lvl>
    <w:lvl w:ilvl="4" w:tplc="08090003" w:tentative="1">
      <w:start w:val="1"/>
      <w:numFmt w:val="bullet"/>
      <w:lvlText w:val="o"/>
      <w:lvlJc w:val="left"/>
      <w:pPr>
        <w:ind w:left="3127" w:hanging="360"/>
      </w:pPr>
      <w:rPr>
        <w:rFonts w:ascii="Courier New" w:hAnsi="Courier New" w:hint="default"/>
      </w:rPr>
    </w:lvl>
    <w:lvl w:ilvl="5" w:tplc="08090005" w:tentative="1">
      <w:start w:val="1"/>
      <w:numFmt w:val="bullet"/>
      <w:lvlText w:val=""/>
      <w:lvlJc w:val="left"/>
      <w:pPr>
        <w:ind w:left="3847" w:hanging="360"/>
      </w:pPr>
      <w:rPr>
        <w:rFonts w:ascii="Wingdings" w:hAnsi="Wingdings" w:hint="default"/>
      </w:rPr>
    </w:lvl>
    <w:lvl w:ilvl="6" w:tplc="08090001" w:tentative="1">
      <w:start w:val="1"/>
      <w:numFmt w:val="bullet"/>
      <w:lvlText w:val=""/>
      <w:lvlJc w:val="left"/>
      <w:pPr>
        <w:ind w:left="4567" w:hanging="360"/>
      </w:pPr>
      <w:rPr>
        <w:rFonts w:ascii="Symbol" w:hAnsi="Symbol" w:hint="default"/>
      </w:rPr>
    </w:lvl>
    <w:lvl w:ilvl="7" w:tplc="08090003" w:tentative="1">
      <w:start w:val="1"/>
      <w:numFmt w:val="bullet"/>
      <w:lvlText w:val="o"/>
      <w:lvlJc w:val="left"/>
      <w:pPr>
        <w:ind w:left="5287" w:hanging="360"/>
      </w:pPr>
      <w:rPr>
        <w:rFonts w:ascii="Courier New" w:hAnsi="Courier New" w:hint="default"/>
      </w:rPr>
    </w:lvl>
    <w:lvl w:ilvl="8" w:tplc="08090005" w:tentative="1">
      <w:start w:val="1"/>
      <w:numFmt w:val="bullet"/>
      <w:lvlText w:val=""/>
      <w:lvlJc w:val="left"/>
      <w:pPr>
        <w:ind w:left="6007" w:hanging="360"/>
      </w:pPr>
      <w:rPr>
        <w:rFonts w:ascii="Wingdings" w:hAnsi="Wingdings" w:hint="default"/>
      </w:rPr>
    </w:lvl>
  </w:abstractNum>
  <w:abstractNum w:abstractNumId="19" w15:restartNumberingAfterBreak="0">
    <w:nsid w:val="11035D34"/>
    <w:multiLevelType w:val="hybridMultilevel"/>
    <w:tmpl w:val="9904CC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5A3AE0"/>
    <w:multiLevelType w:val="singleLevel"/>
    <w:tmpl w:val="293C5D72"/>
    <w:lvl w:ilvl="0">
      <w:start w:val="1"/>
      <w:numFmt w:val="decimal"/>
      <w:pStyle w:val="HRbullet"/>
      <w:lvlText w:val="%1."/>
      <w:lvlJc w:val="left"/>
      <w:pPr>
        <w:tabs>
          <w:tab w:val="num" w:pos="720"/>
        </w:tabs>
        <w:ind w:left="720" w:hanging="720"/>
      </w:pPr>
    </w:lvl>
  </w:abstractNum>
  <w:abstractNum w:abstractNumId="21" w15:restartNumberingAfterBreak="0">
    <w:nsid w:val="12904902"/>
    <w:multiLevelType w:val="hybridMultilevel"/>
    <w:tmpl w:val="19C2A518"/>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42509D1"/>
    <w:multiLevelType w:val="hybridMultilevel"/>
    <w:tmpl w:val="B1408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0F7D98"/>
    <w:multiLevelType w:val="hybridMultilevel"/>
    <w:tmpl w:val="183E56D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95B7D51"/>
    <w:multiLevelType w:val="hybridMultilevel"/>
    <w:tmpl w:val="B20C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740509"/>
    <w:multiLevelType w:val="hybridMultilevel"/>
    <w:tmpl w:val="510821EE"/>
    <w:lvl w:ilvl="0" w:tplc="669E459E">
      <w:start w:val="1"/>
      <w:numFmt w:val="decimal"/>
      <w:pStyle w:val="AppendixHeading"/>
      <w:lvlText w:val="Appendix %1"/>
      <w:lvlJc w:val="left"/>
      <w:pPr>
        <w:ind w:left="360" w:hanging="360"/>
      </w:pPr>
      <w:rPr>
        <w:rFonts w:ascii="Arial Bold" w:cs="Times New Roman" w:hint="cs"/>
        <w:b/>
        <w:bCs w:val="0"/>
        <w:i w:val="0"/>
        <w:iCs w:val="0"/>
        <w:caps w:val="0"/>
        <w:smallCaps w:val="0"/>
        <w:strike w:val="0"/>
        <w:dstrike w:val="0"/>
        <w:noProof w:val="0"/>
        <w:vanish w:val="0"/>
        <w:color w:val="E7E6E6" w:themeColor="background2"/>
        <w:spacing w:val="0"/>
        <w:kern w:val="0"/>
        <w:position w:val="0"/>
        <w:sz w:val="3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6" w15:restartNumberingAfterBreak="0">
    <w:nsid w:val="1A9A3877"/>
    <w:multiLevelType w:val="hybridMultilevel"/>
    <w:tmpl w:val="BD9EFB4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7" w15:restartNumberingAfterBreak="0">
    <w:nsid w:val="1C6E5056"/>
    <w:multiLevelType w:val="hybridMultilevel"/>
    <w:tmpl w:val="809E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CA774F6"/>
    <w:multiLevelType w:val="hybridMultilevel"/>
    <w:tmpl w:val="91085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DC96879"/>
    <w:multiLevelType w:val="hybridMultilevel"/>
    <w:tmpl w:val="81CE194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0" w15:restartNumberingAfterBreak="0">
    <w:nsid w:val="1DE51564"/>
    <w:multiLevelType w:val="hybridMultilevel"/>
    <w:tmpl w:val="864EDC4A"/>
    <w:lvl w:ilvl="0" w:tplc="0809000B">
      <w:start w:val="1"/>
      <w:numFmt w:val="bullet"/>
      <w:lvlText w:val=""/>
      <w:lvlJc w:val="left"/>
      <w:pPr>
        <w:ind w:left="1214" w:hanging="360"/>
      </w:pPr>
      <w:rPr>
        <w:rFonts w:ascii="Wingdings" w:hAnsi="Wingdings"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31" w15:restartNumberingAfterBreak="0">
    <w:nsid w:val="213A78D4"/>
    <w:multiLevelType w:val="multilevel"/>
    <w:tmpl w:val="8CFC2D3C"/>
    <w:styleLink w:val="HRNumber"/>
    <w:lvl w:ilvl="0">
      <w:start w:val="1"/>
      <w:numFmt w:val="decimal"/>
      <w:pStyle w:val="NumberHymans"/>
      <w:lvlText w:val="%1"/>
      <w:lvlJc w:val="left"/>
      <w:pPr>
        <w:ind w:left="567" w:hanging="567"/>
      </w:pPr>
      <w:rPr>
        <w:rFonts w:ascii="Arial" w:hAnsi="Arial" w:hint="default"/>
        <w:color w:val="4B4B4B"/>
        <w:sz w:val="20"/>
      </w:rPr>
    </w:lvl>
    <w:lvl w:ilvl="1">
      <w:start w:val="1"/>
      <w:numFmt w:val="decimal"/>
      <w:lvlText w:val="%1.%2"/>
      <w:lvlJc w:val="left"/>
      <w:pPr>
        <w:ind w:left="2552" w:hanging="567"/>
      </w:pPr>
      <w:rPr>
        <w:rFonts w:ascii="Arial" w:hAnsi="Arial" w:hint="default"/>
        <w:color w:val="4B4B4B"/>
        <w:sz w:val="20"/>
      </w:rPr>
    </w:lvl>
    <w:lvl w:ilvl="2">
      <w:start w:val="1"/>
      <w:numFmt w:val="decimal"/>
      <w:lvlText w:val="%1.%2.%3"/>
      <w:lvlJc w:val="left"/>
      <w:pPr>
        <w:ind w:left="1701" w:hanging="567"/>
      </w:pPr>
      <w:rPr>
        <w:rFonts w:ascii="Arial" w:hAnsi="Arial" w:hint="default"/>
        <w:color w:val="4B4B4B"/>
        <w:sz w:val="20"/>
      </w:rPr>
    </w:lvl>
    <w:lvl w:ilvl="3">
      <w:start w:val="1"/>
      <w:numFmt w:val="decimal"/>
      <w:lvlText w:val="%1.%2.%3.%4"/>
      <w:lvlJc w:val="left"/>
      <w:pPr>
        <w:ind w:left="1728" w:hanging="648"/>
      </w:pPr>
      <w:rPr>
        <w:rFonts w:ascii="Arial" w:hAnsi="Arial" w:hint="default"/>
        <w:color w:val="auto"/>
        <w:sz w:val="20"/>
      </w:rPr>
    </w:lvl>
    <w:lvl w:ilvl="4">
      <w:start w:val="1"/>
      <w:numFmt w:val="decimal"/>
      <w:lvlText w:val="%1.%2.%3.%4.%5"/>
      <w:lvlJc w:val="left"/>
      <w:pPr>
        <w:ind w:left="2232" w:hanging="792"/>
      </w:pPr>
      <w:rPr>
        <w:rFonts w:ascii="Arial" w:hAnsi="Arial" w:hint="default"/>
        <w:color w:val="auto"/>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14D2EE8"/>
    <w:multiLevelType w:val="hybridMultilevel"/>
    <w:tmpl w:val="72B2B406"/>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226A686B"/>
    <w:multiLevelType w:val="hybridMultilevel"/>
    <w:tmpl w:val="3836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3762208"/>
    <w:multiLevelType w:val="hybridMultilevel"/>
    <w:tmpl w:val="C7E2D4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3BF0BD3"/>
    <w:multiLevelType w:val="hybridMultilevel"/>
    <w:tmpl w:val="81F40E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23FF1F19"/>
    <w:multiLevelType w:val="hybridMultilevel"/>
    <w:tmpl w:val="6308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6A53E47"/>
    <w:multiLevelType w:val="hybridMultilevel"/>
    <w:tmpl w:val="C80048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28614638"/>
    <w:multiLevelType w:val="hybridMultilevel"/>
    <w:tmpl w:val="4E6E2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8AB5374"/>
    <w:multiLevelType w:val="hybridMultilevel"/>
    <w:tmpl w:val="94D40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BD1E2A"/>
    <w:multiLevelType w:val="hybridMultilevel"/>
    <w:tmpl w:val="CD7C8880"/>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1" w15:restartNumberingAfterBreak="0">
    <w:nsid w:val="28C26730"/>
    <w:multiLevelType w:val="hybridMultilevel"/>
    <w:tmpl w:val="8B16735E"/>
    <w:lvl w:ilvl="0" w:tplc="561CCABC">
      <w:start w:val="1"/>
      <w:numFmt w:val="lowerRoman"/>
      <w:lvlText w:val="%1)"/>
      <w:lvlJc w:val="left"/>
      <w:pPr>
        <w:ind w:left="1146" w:hanging="360"/>
      </w:pPr>
      <w:rPr>
        <w:rFonts w:hint="default"/>
        <w:i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28ED5799"/>
    <w:multiLevelType w:val="hybridMultilevel"/>
    <w:tmpl w:val="C03EC264"/>
    <w:lvl w:ilvl="0" w:tplc="FC0E65B2">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43" w15:restartNumberingAfterBreak="0">
    <w:nsid w:val="29427395"/>
    <w:multiLevelType w:val="hybridMultilevel"/>
    <w:tmpl w:val="F7F2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9CA7849"/>
    <w:multiLevelType w:val="hybridMultilevel"/>
    <w:tmpl w:val="AA7836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AB77578"/>
    <w:multiLevelType w:val="hybridMultilevel"/>
    <w:tmpl w:val="253CDD9A"/>
    <w:lvl w:ilvl="0" w:tplc="EED89C3C">
      <w:start w:val="1"/>
      <w:numFmt w:val="lowerRoman"/>
      <w:lvlText w:val="%1)"/>
      <w:lvlJc w:val="right"/>
      <w:pPr>
        <w:ind w:left="786" w:hanging="360"/>
      </w:pPr>
      <w:rPr>
        <w:rFonts w:ascii="Arial" w:eastAsia="Times New Roman" w:hAnsi="Arial" w:cs="Arial"/>
        <w:b w:val="0"/>
      </w:rPr>
    </w:lvl>
    <w:lvl w:ilvl="1" w:tplc="08090019">
      <w:start w:val="1"/>
      <w:numFmt w:val="lowerLetter"/>
      <w:lvlText w:val="%2."/>
      <w:lvlJc w:val="left"/>
      <w:pPr>
        <w:ind w:left="1790" w:hanging="360"/>
      </w:pPr>
      <w:rPr>
        <w:rFonts w:cs="Times New Roman"/>
      </w:rPr>
    </w:lvl>
    <w:lvl w:ilvl="2" w:tplc="0809001B" w:tentative="1">
      <w:start w:val="1"/>
      <w:numFmt w:val="lowerRoman"/>
      <w:lvlText w:val="%3."/>
      <w:lvlJc w:val="right"/>
      <w:pPr>
        <w:ind w:left="2510" w:hanging="180"/>
      </w:pPr>
      <w:rPr>
        <w:rFonts w:cs="Times New Roman"/>
      </w:rPr>
    </w:lvl>
    <w:lvl w:ilvl="3" w:tplc="0809000F" w:tentative="1">
      <w:start w:val="1"/>
      <w:numFmt w:val="decimal"/>
      <w:lvlText w:val="%4."/>
      <w:lvlJc w:val="left"/>
      <w:pPr>
        <w:ind w:left="3230" w:hanging="360"/>
      </w:pPr>
      <w:rPr>
        <w:rFonts w:cs="Times New Roman"/>
      </w:rPr>
    </w:lvl>
    <w:lvl w:ilvl="4" w:tplc="08090019" w:tentative="1">
      <w:start w:val="1"/>
      <w:numFmt w:val="lowerLetter"/>
      <w:lvlText w:val="%5."/>
      <w:lvlJc w:val="left"/>
      <w:pPr>
        <w:ind w:left="3950" w:hanging="360"/>
      </w:pPr>
      <w:rPr>
        <w:rFonts w:cs="Times New Roman"/>
      </w:rPr>
    </w:lvl>
    <w:lvl w:ilvl="5" w:tplc="0809001B" w:tentative="1">
      <w:start w:val="1"/>
      <w:numFmt w:val="lowerRoman"/>
      <w:lvlText w:val="%6."/>
      <w:lvlJc w:val="right"/>
      <w:pPr>
        <w:ind w:left="4670" w:hanging="180"/>
      </w:pPr>
      <w:rPr>
        <w:rFonts w:cs="Times New Roman"/>
      </w:rPr>
    </w:lvl>
    <w:lvl w:ilvl="6" w:tplc="0809000F" w:tentative="1">
      <w:start w:val="1"/>
      <w:numFmt w:val="decimal"/>
      <w:lvlText w:val="%7."/>
      <w:lvlJc w:val="left"/>
      <w:pPr>
        <w:ind w:left="5390" w:hanging="360"/>
      </w:pPr>
      <w:rPr>
        <w:rFonts w:cs="Times New Roman"/>
      </w:rPr>
    </w:lvl>
    <w:lvl w:ilvl="7" w:tplc="08090019" w:tentative="1">
      <w:start w:val="1"/>
      <w:numFmt w:val="lowerLetter"/>
      <w:lvlText w:val="%8."/>
      <w:lvlJc w:val="left"/>
      <w:pPr>
        <w:ind w:left="6110" w:hanging="360"/>
      </w:pPr>
      <w:rPr>
        <w:rFonts w:cs="Times New Roman"/>
      </w:rPr>
    </w:lvl>
    <w:lvl w:ilvl="8" w:tplc="0809001B" w:tentative="1">
      <w:start w:val="1"/>
      <w:numFmt w:val="lowerRoman"/>
      <w:lvlText w:val="%9."/>
      <w:lvlJc w:val="right"/>
      <w:pPr>
        <w:ind w:left="6830" w:hanging="180"/>
      </w:pPr>
      <w:rPr>
        <w:rFonts w:cs="Times New Roman"/>
      </w:rPr>
    </w:lvl>
  </w:abstractNum>
  <w:abstractNum w:abstractNumId="46" w15:restartNumberingAfterBreak="0">
    <w:nsid w:val="2BFA4A9E"/>
    <w:multiLevelType w:val="multilevel"/>
    <w:tmpl w:val="AA18FEB8"/>
    <w:lvl w:ilvl="0">
      <w:start w:val="1"/>
      <w:numFmt w:val="lowerRoman"/>
      <w:lvlText w:val="%1."/>
      <w:lvlJc w:val="right"/>
      <w:pPr>
        <w:ind w:left="720" w:hanging="360"/>
      </w:pPr>
      <w:rPr>
        <w:b/>
      </w:rPr>
    </w:lvl>
    <w:lvl w:ilvl="1">
      <w:start w:val="1"/>
      <w:numFmt w:val="lowerRoman"/>
      <w:lvlText w:val="%2."/>
      <w:lvlJc w:val="righ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2D497606"/>
    <w:multiLevelType w:val="hybridMultilevel"/>
    <w:tmpl w:val="2FA06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E554094"/>
    <w:multiLevelType w:val="hybridMultilevel"/>
    <w:tmpl w:val="6AEE907E"/>
    <w:lvl w:ilvl="0" w:tplc="4B789438">
      <w:start w:val="1"/>
      <w:numFmt w:val="bullet"/>
      <w:lvlText w:val=""/>
      <w:lvlJc w:val="left"/>
      <w:pPr>
        <w:ind w:left="720" w:hanging="360"/>
      </w:pPr>
      <w:rPr>
        <w:rFonts w:ascii="Symbol" w:hAnsi="Symbol" w:hint="default"/>
      </w:rPr>
    </w:lvl>
    <w:lvl w:ilvl="1" w:tplc="AB5A0DCC" w:tentative="1">
      <w:start w:val="1"/>
      <w:numFmt w:val="bullet"/>
      <w:lvlText w:val="o"/>
      <w:lvlJc w:val="left"/>
      <w:pPr>
        <w:ind w:left="1440" w:hanging="360"/>
      </w:pPr>
      <w:rPr>
        <w:rFonts w:ascii="Courier New" w:hAnsi="Courier New" w:cs="Courier New" w:hint="default"/>
      </w:rPr>
    </w:lvl>
    <w:lvl w:ilvl="2" w:tplc="8FCC25E6" w:tentative="1">
      <w:start w:val="1"/>
      <w:numFmt w:val="bullet"/>
      <w:lvlText w:val=""/>
      <w:lvlJc w:val="left"/>
      <w:pPr>
        <w:ind w:left="2160" w:hanging="360"/>
      </w:pPr>
      <w:rPr>
        <w:rFonts w:ascii="Wingdings" w:hAnsi="Wingdings" w:hint="default"/>
      </w:rPr>
    </w:lvl>
    <w:lvl w:ilvl="3" w:tplc="2A84723A" w:tentative="1">
      <w:start w:val="1"/>
      <w:numFmt w:val="bullet"/>
      <w:lvlText w:val=""/>
      <w:lvlJc w:val="left"/>
      <w:pPr>
        <w:ind w:left="2880" w:hanging="360"/>
      </w:pPr>
      <w:rPr>
        <w:rFonts w:ascii="Symbol" w:hAnsi="Symbol" w:hint="default"/>
      </w:rPr>
    </w:lvl>
    <w:lvl w:ilvl="4" w:tplc="7B3C0EFC" w:tentative="1">
      <w:start w:val="1"/>
      <w:numFmt w:val="bullet"/>
      <w:lvlText w:val="o"/>
      <w:lvlJc w:val="left"/>
      <w:pPr>
        <w:ind w:left="3600" w:hanging="360"/>
      </w:pPr>
      <w:rPr>
        <w:rFonts w:ascii="Courier New" w:hAnsi="Courier New" w:cs="Courier New" w:hint="default"/>
      </w:rPr>
    </w:lvl>
    <w:lvl w:ilvl="5" w:tplc="48369FD2" w:tentative="1">
      <w:start w:val="1"/>
      <w:numFmt w:val="bullet"/>
      <w:lvlText w:val=""/>
      <w:lvlJc w:val="left"/>
      <w:pPr>
        <w:ind w:left="4320" w:hanging="360"/>
      </w:pPr>
      <w:rPr>
        <w:rFonts w:ascii="Wingdings" w:hAnsi="Wingdings" w:hint="default"/>
      </w:rPr>
    </w:lvl>
    <w:lvl w:ilvl="6" w:tplc="C49885E2" w:tentative="1">
      <w:start w:val="1"/>
      <w:numFmt w:val="bullet"/>
      <w:lvlText w:val=""/>
      <w:lvlJc w:val="left"/>
      <w:pPr>
        <w:ind w:left="5040" w:hanging="360"/>
      </w:pPr>
      <w:rPr>
        <w:rFonts w:ascii="Symbol" w:hAnsi="Symbol" w:hint="default"/>
      </w:rPr>
    </w:lvl>
    <w:lvl w:ilvl="7" w:tplc="C3FAC1DE" w:tentative="1">
      <w:start w:val="1"/>
      <w:numFmt w:val="bullet"/>
      <w:lvlText w:val="o"/>
      <w:lvlJc w:val="left"/>
      <w:pPr>
        <w:ind w:left="5760" w:hanging="360"/>
      </w:pPr>
      <w:rPr>
        <w:rFonts w:ascii="Courier New" w:hAnsi="Courier New" w:cs="Courier New" w:hint="default"/>
      </w:rPr>
    </w:lvl>
    <w:lvl w:ilvl="8" w:tplc="FB1AA772" w:tentative="1">
      <w:start w:val="1"/>
      <w:numFmt w:val="bullet"/>
      <w:lvlText w:val=""/>
      <w:lvlJc w:val="left"/>
      <w:pPr>
        <w:ind w:left="6480" w:hanging="360"/>
      </w:pPr>
      <w:rPr>
        <w:rFonts w:ascii="Wingdings" w:hAnsi="Wingdings" w:hint="default"/>
      </w:rPr>
    </w:lvl>
  </w:abstractNum>
  <w:abstractNum w:abstractNumId="49" w15:restartNumberingAfterBreak="0">
    <w:nsid w:val="2EF93B3A"/>
    <w:multiLevelType w:val="hybridMultilevel"/>
    <w:tmpl w:val="C29C629C"/>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0" w15:restartNumberingAfterBreak="0">
    <w:nsid w:val="2F35388C"/>
    <w:multiLevelType w:val="hybridMultilevel"/>
    <w:tmpl w:val="F85A1F00"/>
    <w:lvl w:ilvl="0" w:tplc="C5E693A8">
      <w:start w:val="1"/>
      <w:numFmt w:val="lowerRoman"/>
      <w:lvlText w:val="%1."/>
      <w:lvlJc w:val="right"/>
      <w:pPr>
        <w:ind w:left="786" w:hanging="360"/>
      </w:pPr>
      <w:rPr>
        <w:b/>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1" w15:restartNumberingAfterBreak="0">
    <w:nsid w:val="316416CD"/>
    <w:multiLevelType w:val="hybridMultilevel"/>
    <w:tmpl w:val="CAB400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31787B00"/>
    <w:multiLevelType w:val="hybridMultilevel"/>
    <w:tmpl w:val="D7C41A2A"/>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3" w15:restartNumberingAfterBreak="0">
    <w:nsid w:val="31FC4C7D"/>
    <w:multiLevelType w:val="hybridMultilevel"/>
    <w:tmpl w:val="4B2EB07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15:restartNumberingAfterBreak="0">
    <w:nsid w:val="355C4C62"/>
    <w:multiLevelType w:val="hybridMultilevel"/>
    <w:tmpl w:val="30360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35C0401F"/>
    <w:multiLevelType w:val="hybridMultilevel"/>
    <w:tmpl w:val="5BC4E856"/>
    <w:lvl w:ilvl="0" w:tplc="0809000B">
      <w:start w:val="1"/>
      <w:numFmt w:val="bullet"/>
      <w:lvlText w:val=""/>
      <w:lvlJc w:val="left"/>
      <w:pPr>
        <w:ind w:left="1146" w:hanging="72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6" w15:restartNumberingAfterBreak="0">
    <w:nsid w:val="368E29C2"/>
    <w:multiLevelType w:val="hybridMultilevel"/>
    <w:tmpl w:val="DF02F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81F41E6"/>
    <w:multiLevelType w:val="multilevel"/>
    <w:tmpl w:val="4D8A0410"/>
    <w:styleLink w:val="HRBullet0"/>
    <w:lvl w:ilvl="0">
      <w:start w:val="1"/>
      <w:numFmt w:val="bullet"/>
      <w:lvlText w:val=""/>
      <w:lvlJc w:val="left"/>
      <w:pPr>
        <w:ind w:left="1362" w:hanging="567"/>
      </w:pPr>
      <w:rPr>
        <w:rFonts w:ascii="Symbol" w:hAnsi="Symbol" w:hint="default"/>
        <w:color w:val="4B4B4B"/>
        <w:sz w:val="20"/>
      </w:rPr>
    </w:lvl>
    <w:lvl w:ilvl="1">
      <w:start w:val="1"/>
      <w:numFmt w:val="none"/>
      <w:lvlText w:val="%2-"/>
      <w:lvlJc w:val="left"/>
      <w:pPr>
        <w:ind w:left="1929" w:hanging="567"/>
      </w:pPr>
      <w:rPr>
        <w:rFonts w:hint="default"/>
        <w:color w:val="4B4B4B"/>
        <w:sz w:val="20"/>
      </w:rPr>
    </w:lvl>
    <w:lvl w:ilvl="2">
      <w:start w:val="1"/>
      <w:numFmt w:val="bullet"/>
      <w:lvlText w:val=""/>
      <w:lvlJc w:val="left"/>
      <w:pPr>
        <w:ind w:left="2496" w:hanging="567"/>
      </w:pPr>
      <w:rPr>
        <w:rFonts w:ascii="Symbol" w:hAnsi="Symbol" w:hint="default"/>
        <w:color w:val="4B4B4B"/>
      </w:rPr>
    </w:lvl>
    <w:lvl w:ilvl="3">
      <w:start w:val="1"/>
      <w:numFmt w:val="none"/>
      <w:lvlText w:val="-"/>
      <w:lvlJc w:val="left"/>
      <w:pPr>
        <w:ind w:left="2496" w:hanging="567"/>
      </w:pPr>
      <w:rPr>
        <w:rFonts w:hint="default"/>
        <w:color w:val="auto"/>
      </w:rPr>
    </w:lvl>
    <w:lvl w:ilvl="4">
      <w:start w:val="1"/>
      <w:numFmt w:val="lowerLetter"/>
      <w:lvlText w:val="(%5)"/>
      <w:lvlJc w:val="left"/>
      <w:pPr>
        <w:ind w:left="2595" w:hanging="360"/>
      </w:pPr>
      <w:rPr>
        <w:rFonts w:hint="default"/>
      </w:rPr>
    </w:lvl>
    <w:lvl w:ilvl="5">
      <w:start w:val="1"/>
      <w:numFmt w:val="lowerRoman"/>
      <w:lvlText w:val="(%6)"/>
      <w:lvlJc w:val="left"/>
      <w:pPr>
        <w:ind w:left="2955" w:hanging="360"/>
      </w:pPr>
      <w:rPr>
        <w:rFonts w:hint="default"/>
      </w:rPr>
    </w:lvl>
    <w:lvl w:ilvl="6">
      <w:start w:val="1"/>
      <w:numFmt w:val="decimal"/>
      <w:lvlText w:val="%7."/>
      <w:lvlJc w:val="left"/>
      <w:pPr>
        <w:ind w:left="3315" w:hanging="360"/>
      </w:pPr>
      <w:rPr>
        <w:rFonts w:hint="default"/>
      </w:rPr>
    </w:lvl>
    <w:lvl w:ilvl="7">
      <w:start w:val="1"/>
      <w:numFmt w:val="lowerLetter"/>
      <w:lvlText w:val="%8."/>
      <w:lvlJc w:val="left"/>
      <w:pPr>
        <w:ind w:left="3675" w:hanging="360"/>
      </w:pPr>
      <w:rPr>
        <w:rFonts w:hint="default"/>
      </w:rPr>
    </w:lvl>
    <w:lvl w:ilvl="8">
      <w:start w:val="1"/>
      <w:numFmt w:val="lowerRoman"/>
      <w:lvlText w:val="%9."/>
      <w:lvlJc w:val="left"/>
      <w:pPr>
        <w:ind w:left="4035" w:hanging="360"/>
      </w:pPr>
      <w:rPr>
        <w:rFonts w:hint="default"/>
      </w:rPr>
    </w:lvl>
  </w:abstractNum>
  <w:abstractNum w:abstractNumId="58" w15:restartNumberingAfterBreak="0">
    <w:nsid w:val="39401568"/>
    <w:multiLevelType w:val="hybridMultilevel"/>
    <w:tmpl w:val="E7DA24FE"/>
    <w:lvl w:ilvl="0" w:tplc="34EA7240">
      <w:start w:val="1"/>
      <w:numFmt w:val="bullet"/>
      <w:lvlText w:val=""/>
      <w:lvlJc w:val="left"/>
      <w:pPr>
        <w:ind w:left="927" w:hanging="360"/>
      </w:pPr>
      <w:rPr>
        <w:rFonts w:ascii="Symbol" w:hAnsi="Symbol" w:hint="default"/>
      </w:rPr>
    </w:lvl>
    <w:lvl w:ilvl="1" w:tplc="5C383604" w:tentative="1">
      <w:start w:val="1"/>
      <w:numFmt w:val="bullet"/>
      <w:lvlText w:val="o"/>
      <w:lvlJc w:val="left"/>
      <w:pPr>
        <w:ind w:left="1647" w:hanging="360"/>
      </w:pPr>
      <w:rPr>
        <w:rFonts w:ascii="Courier New" w:hAnsi="Courier New" w:cs="Courier New" w:hint="default"/>
      </w:rPr>
    </w:lvl>
    <w:lvl w:ilvl="2" w:tplc="B61CCAF2" w:tentative="1">
      <w:start w:val="1"/>
      <w:numFmt w:val="bullet"/>
      <w:lvlText w:val=""/>
      <w:lvlJc w:val="left"/>
      <w:pPr>
        <w:ind w:left="2367" w:hanging="360"/>
      </w:pPr>
      <w:rPr>
        <w:rFonts w:ascii="Wingdings" w:hAnsi="Wingdings" w:hint="default"/>
      </w:rPr>
    </w:lvl>
    <w:lvl w:ilvl="3" w:tplc="1F1AA020" w:tentative="1">
      <w:start w:val="1"/>
      <w:numFmt w:val="bullet"/>
      <w:lvlText w:val=""/>
      <w:lvlJc w:val="left"/>
      <w:pPr>
        <w:ind w:left="3087" w:hanging="360"/>
      </w:pPr>
      <w:rPr>
        <w:rFonts w:ascii="Symbol" w:hAnsi="Symbol" w:hint="default"/>
      </w:rPr>
    </w:lvl>
    <w:lvl w:ilvl="4" w:tplc="6610FC10" w:tentative="1">
      <w:start w:val="1"/>
      <w:numFmt w:val="bullet"/>
      <w:lvlText w:val="o"/>
      <w:lvlJc w:val="left"/>
      <w:pPr>
        <w:ind w:left="3807" w:hanging="360"/>
      </w:pPr>
      <w:rPr>
        <w:rFonts w:ascii="Courier New" w:hAnsi="Courier New" w:cs="Courier New" w:hint="default"/>
      </w:rPr>
    </w:lvl>
    <w:lvl w:ilvl="5" w:tplc="7CFAE79A" w:tentative="1">
      <w:start w:val="1"/>
      <w:numFmt w:val="bullet"/>
      <w:lvlText w:val=""/>
      <w:lvlJc w:val="left"/>
      <w:pPr>
        <w:ind w:left="4527" w:hanging="360"/>
      </w:pPr>
      <w:rPr>
        <w:rFonts w:ascii="Wingdings" w:hAnsi="Wingdings" w:hint="default"/>
      </w:rPr>
    </w:lvl>
    <w:lvl w:ilvl="6" w:tplc="98D48360" w:tentative="1">
      <w:start w:val="1"/>
      <w:numFmt w:val="bullet"/>
      <w:lvlText w:val=""/>
      <w:lvlJc w:val="left"/>
      <w:pPr>
        <w:ind w:left="5247" w:hanging="360"/>
      </w:pPr>
      <w:rPr>
        <w:rFonts w:ascii="Symbol" w:hAnsi="Symbol" w:hint="default"/>
      </w:rPr>
    </w:lvl>
    <w:lvl w:ilvl="7" w:tplc="57EEA6D6" w:tentative="1">
      <w:start w:val="1"/>
      <w:numFmt w:val="bullet"/>
      <w:lvlText w:val="o"/>
      <w:lvlJc w:val="left"/>
      <w:pPr>
        <w:ind w:left="5967" w:hanging="360"/>
      </w:pPr>
      <w:rPr>
        <w:rFonts w:ascii="Courier New" w:hAnsi="Courier New" w:cs="Courier New" w:hint="default"/>
      </w:rPr>
    </w:lvl>
    <w:lvl w:ilvl="8" w:tplc="0AC8F2D4" w:tentative="1">
      <w:start w:val="1"/>
      <w:numFmt w:val="bullet"/>
      <w:lvlText w:val=""/>
      <w:lvlJc w:val="left"/>
      <w:pPr>
        <w:ind w:left="6687" w:hanging="360"/>
      </w:pPr>
      <w:rPr>
        <w:rFonts w:ascii="Wingdings" w:hAnsi="Wingdings" w:hint="default"/>
      </w:rPr>
    </w:lvl>
  </w:abstractNum>
  <w:abstractNum w:abstractNumId="59" w15:restartNumberingAfterBreak="0">
    <w:nsid w:val="39CF7B3F"/>
    <w:multiLevelType w:val="hybridMultilevel"/>
    <w:tmpl w:val="E7BA4744"/>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0" w15:restartNumberingAfterBreak="0">
    <w:nsid w:val="3ABC0AFC"/>
    <w:multiLevelType w:val="hybridMultilevel"/>
    <w:tmpl w:val="48288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BD10614"/>
    <w:multiLevelType w:val="hybridMultilevel"/>
    <w:tmpl w:val="CBBC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C7C24C6"/>
    <w:multiLevelType w:val="hybridMultilevel"/>
    <w:tmpl w:val="016009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DA94FDE"/>
    <w:multiLevelType w:val="hybridMultilevel"/>
    <w:tmpl w:val="9B687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DB21EFA"/>
    <w:multiLevelType w:val="hybridMultilevel"/>
    <w:tmpl w:val="0ED69B34"/>
    <w:lvl w:ilvl="0" w:tplc="97D6829C">
      <w:start w:val="1"/>
      <w:numFmt w:val="decimal"/>
      <w:lvlText w:val="%1."/>
      <w:lvlJc w:val="left"/>
      <w:pPr>
        <w:ind w:left="1440" w:hanging="720"/>
      </w:pPr>
      <w:rPr>
        <w:rFonts w:hint="default"/>
      </w:rPr>
    </w:lvl>
    <w:lvl w:ilvl="1" w:tplc="9A1A7560">
      <w:start w:val="6"/>
      <w:numFmt w:val="bullet"/>
      <w:lvlText w:val="•"/>
      <w:lvlJc w:val="left"/>
      <w:pPr>
        <w:ind w:left="1800" w:hanging="720"/>
      </w:pPr>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E5B68A9"/>
    <w:multiLevelType w:val="hybridMultilevel"/>
    <w:tmpl w:val="ECDE9D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3EAA335E"/>
    <w:multiLevelType w:val="hybridMultilevel"/>
    <w:tmpl w:val="6AB898F6"/>
    <w:lvl w:ilvl="0" w:tplc="B51C8EB2">
      <w:start w:val="1"/>
      <w:numFmt w:val="decimal"/>
      <w:pStyle w:val="NumberedList"/>
      <w:lvlText w:val="%1."/>
      <w:lvlJc w:val="left"/>
      <w:pPr>
        <w:ind w:left="720" w:hanging="360"/>
      </w:pPr>
      <w:rPr>
        <w:rFonts w:ascii="Segoe UI" w:hAnsi="Segoe UI" w:hint="default"/>
        <w:b w:val="0"/>
        <w:i w:val="0"/>
        <w:color w:val="009FE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3F1C50BB"/>
    <w:multiLevelType w:val="hybridMultilevel"/>
    <w:tmpl w:val="B5282F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8" w15:restartNumberingAfterBreak="0">
    <w:nsid w:val="3F3A604A"/>
    <w:multiLevelType w:val="hybridMultilevel"/>
    <w:tmpl w:val="7E9CB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2700BB4"/>
    <w:multiLevelType w:val="hybridMultilevel"/>
    <w:tmpl w:val="B5168B60"/>
    <w:lvl w:ilvl="0" w:tplc="4DC873FE">
      <w:start w:val="4"/>
      <w:numFmt w:val="decimal"/>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432D5874"/>
    <w:multiLevelType w:val="hybridMultilevel"/>
    <w:tmpl w:val="5D423374"/>
    <w:lvl w:ilvl="0" w:tplc="0809000B">
      <w:start w:val="1"/>
      <w:numFmt w:val="bullet"/>
      <w:lvlText w:val=""/>
      <w:lvlJc w:val="left"/>
      <w:pPr>
        <w:ind w:left="786" w:hanging="360"/>
      </w:pPr>
      <w:rPr>
        <w:rFonts w:ascii="Wingdings" w:hAnsi="Wingdings"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1" w15:restartNumberingAfterBreak="0">
    <w:nsid w:val="44DA14DB"/>
    <w:multiLevelType w:val="hybridMultilevel"/>
    <w:tmpl w:val="7594522A"/>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2" w15:restartNumberingAfterBreak="0">
    <w:nsid w:val="44DD1960"/>
    <w:multiLevelType w:val="hybridMultilevel"/>
    <w:tmpl w:val="3B64D1EA"/>
    <w:lvl w:ilvl="0" w:tplc="13589C44">
      <w:start w:val="1"/>
      <w:numFmt w:val="bullet"/>
      <w:pStyle w:val="Bullet1"/>
      <w:lvlText w:val="■"/>
      <w:lvlJc w:val="left"/>
      <w:pPr>
        <w:tabs>
          <w:tab w:val="num" w:pos="397"/>
        </w:tabs>
        <w:ind w:left="397" w:hanging="397"/>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537112D"/>
    <w:multiLevelType w:val="hybridMultilevel"/>
    <w:tmpl w:val="43C2C9F2"/>
    <w:lvl w:ilvl="0" w:tplc="13589C44">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4" w15:restartNumberingAfterBreak="0">
    <w:nsid w:val="483F5763"/>
    <w:multiLevelType w:val="hybridMultilevel"/>
    <w:tmpl w:val="7EAAB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9753F01"/>
    <w:multiLevelType w:val="hybridMultilevel"/>
    <w:tmpl w:val="7826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A137F1F"/>
    <w:multiLevelType w:val="hybridMultilevel"/>
    <w:tmpl w:val="3B020D12"/>
    <w:lvl w:ilvl="0" w:tplc="0809001B">
      <w:start w:val="1"/>
      <w:numFmt w:val="lowerRoman"/>
      <w:lvlText w:val="%1."/>
      <w:lvlJc w:val="right"/>
      <w:pPr>
        <w:ind w:left="1713" w:hanging="360"/>
      </w:pPr>
    </w:lvl>
    <w:lvl w:ilvl="1" w:tplc="08090019">
      <w:start w:val="1"/>
      <w:numFmt w:val="lowerLetter"/>
      <w:lvlText w:val="%2."/>
      <w:lvlJc w:val="left"/>
      <w:pPr>
        <w:ind w:left="2433" w:hanging="360"/>
      </w:pPr>
    </w:lvl>
    <w:lvl w:ilvl="2" w:tplc="0809001B">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77" w15:restartNumberingAfterBreak="0">
    <w:nsid w:val="4F401FFE"/>
    <w:multiLevelType w:val="hybridMultilevel"/>
    <w:tmpl w:val="12DE1CCE"/>
    <w:lvl w:ilvl="0" w:tplc="0809000B">
      <w:start w:val="1"/>
      <w:numFmt w:val="bullet"/>
      <w:lvlText w:val=""/>
      <w:lvlJc w:val="left"/>
      <w:pPr>
        <w:ind w:left="1004" w:hanging="360"/>
      </w:pPr>
      <w:rPr>
        <w:rFonts w:ascii="Wingdings" w:hAnsi="Wingdings" w:hint="default"/>
      </w:rPr>
    </w:lvl>
    <w:lvl w:ilvl="1" w:tplc="08090003">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78" w15:restartNumberingAfterBreak="0">
    <w:nsid w:val="50477A06"/>
    <w:multiLevelType w:val="hybridMultilevel"/>
    <w:tmpl w:val="22FEB62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9" w15:restartNumberingAfterBreak="0">
    <w:nsid w:val="51200D61"/>
    <w:multiLevelType w:val="hybridMultilevel"/>
    <w:tmpl w:val="E9202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21D5B99"/>
    <w:multiLevelType w:val="hybridMultilevel"/>
    <w:tmpl w:val="BBE25588"/>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1" w15:restartNumberingAfterBreak="0">
    <w:nsid w:val="52B81DDD"/>
    <w:multiLevelType w:val="hybridMultilevel"/>
    <w:tmpl w:val="DFD8F868"/>
    <w:lvl w:ilvl="0" w:tplc="7FCEA784">
      <w:start w:val="1"/>
      <w:numFmt w:val="bullet"/>
      <w:lvlText w:val=""/>
      <w:lvlJc w:val="left"/>
      <w:pPr>
        <w:ind w:left="927" w:hanging="360"/>
      </w:pPr>
      <w:rPr>
        <w:rFonts w:ascii="Symbol" w:hAnsi="Symbol" w:hint="default"/>
      </w:rPr>
    </w:lvl>
    <w:lvl w:ilvl="1" w:tplc="18724BC6" w:tentative="1">
      <w:start w:val="1"/>
      <w:numFmt w:val="bullet"/>
      <w:lvlText w:val="o"/>
      <w:lvlJc w:val="left"/>
      <w:pPr>
        <w:ind w:left="1647" w:hanging="360"/>
      </w:pPr>
      <w:rPr>
        <w:rFonts w:ascii="Courier New" w:hAnsi="Courier New" w:cs="Courier New" w:hint="default"/>
      </w:rPr>
    </w:lvl>
    <w:lvl w:ilvl="2" w:tplc="63DC5542" w:tentative="1">
      <w:start w:val="1"/>
      <w:numFmt w:val="bullet"/>
      <w:lvlText w:val=""/>
      <w:lvlJc w:val="left"/>
      <w:pPr>
        <w:ind w:left="2367" w:hanging="360"/>
      </w:pPr>
      <w:rPr>
        <w:rFonts w:ascii="Wingdings" w:hAnsi="Wingdings" w:hint="default"/>
      </w:rPr>
    </w:lvl>
    <w:lvl w:ilvl="3" w:tplc="5A1C74CA" w:tentative="1">
      <w:start w:val="1"/>
      <w:numFmt w:val="bullet"/>
      <w:lvlText w:val=""/>
      <w:lvlJc w:val="left"/>
      <w:pPr>
        <w:ind w:left="3087" w:hanging="360"/>
      </w:pPr>
      <w:rPr>
        <w:rFonts w:ascii="Symbol" w:hAnsi="Symbol" w:hint="default"/>
      </w:rPr>
    </w:lvl>
    <w:lvl w:ilvl="4" w:tplc="FB1E7746" w:tentative="1">
      <w:start w:val="1"/>
      <w:numFmt w:val="bullet"/>
      <w:lvlText w:val="o"/>
      <w:lvlJc w:val="left"/>
      <w:pPr>
        <w:ind w:left="3807" w:hanging="360"/>
      </w:pPr>
      <w:rPr>
        <w:rFonts w:ascii="Courier New" w:hAnsi="Courier New" w:cs="Courier New" w:hint="default"/>
      </w:rPr>
    </w:lvl>
    <w:lvl w:ilvl="5" w:tplc="13087A88" w:tentative="1">
      <w:start w:val="1"/>
      <w:numFmt w:val="bullet"/>
      <w:lvlText w:val=""/>
      <w:lvlJc w:val="left"/>
      <w:pPr>
        <w:ind w:left="4527" w:hanging="360"/>
      </w:pPr>
      <w:rPr>
        <w:rFonts w:ascii="Wingdings" w:hAnsi="Wingdings" w:hint="default"/>
      </w:rPr>
    </w:lvl>
    <w:lvl w:ilvl="6" w:tplc="275AF14A" w:tentative="1">
      <w:start w:val="1"/>
      <w:numFmt w:val="bullet"/>
      <w:lvlText w:val=""/>
      <w:lvlJc w:val="left"/>
      <w:pPr>
        <w:ind w:left="5247" w:hanging="360"/>
      </w:pPr>
      <w:rPr>
        <w:rFonts w:ascii="Symbol" w:hAnsi="Symbol" w:hint="default"/>
      </w:rPr>
    </w:lvl>
    <w:lvl w:ilvl="7" w:tplc="228257E4" w:tentative="1">
      <w:start w:val="1"/>
      <w:numFmt w:val="bullet"/>
      <w:lvlText w:val="o"/>
      <w:lvlJc w:val="left"/>
      <w:pPr>
        <w:ind w:left="5967" w:hanging="360"/>
      </w:pPr>
      <w:rPr>
        <w:rFonts w:ascii="Courier New" w:hAnsi="Courier New" w:cs="Courier New" w:hint="default"/>
      </w:rPr>
    </w:lvl>
    <w:lvl w:ilvl="8" w:tplc="46D27674" w:tentative="1">
      <w:start w:val="1"/>
      <w:numFmt w:val="bullet"/>
      <w:lvlText w:val=""/>
      <w:lvlJc w:val="left"/>
      <w:pPr>
        <w:ind w:left="6687" w:hanging="360"/>
      </w:pPr>
      <w:rPr>
        <w:rFonts w:ascii="Wingdings" w:hAnsi="Wingdings" w:hint="default"/>
      </w:rPr>
    </w:lvl>
  </w:abstractNum>
  <w:abstractNum w:abstractNumId="82" w15:restartNumberingAfterBreak="0">
    <w:nsid w:val="534C4346"/>
    <w:multiLevelType w:val="hybridMultilevel"/>
    <w:tmpl w:val="4CFC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3D721B0"/>
    <w:multiLevelType w:val="hybridMultilevel"/>
    <w:tmpl w:val="0E68FD2A"/>
    <w:lvl w:ilvl="0" w:tplc="E0A48CB0">
      <w:start w:val="1"/>
      <w:numFmt w:val="bullet"/>
      <w:lvlText w:val=""/>
      <w:lvlJc w:val="left"/>
      <w:pPr>
        <w:ind w:left="1287" w:hanging="360"/>
      </w:pPr>
      <w:rPr>
        <w:rFonts w:ascii="Symbol" w:hAnsi="Symbol" w:hint="default"/>
      </w:rPr>
    </w:lvl>
    <w:lvl w:ilvl="1" w:tplc="C88C1C5A" w:tentative="1">
      <w:start w:val="1"/>
      <w:numFmt w:val="bullet"/>
      <w:lvlText w:val="o"/>
      <w:lvlJc w:val="left"/>
      <w:pPr>
        <w:ind w:left="2007" w:hanging="360"/>
      </w:pPr>
      <w:rPr>
        <w:rFonts w:ascii="Courier New" w:hAnsi="Courier New" w:cs="Courier New" w:hint="default"/>
      </w:rPr>
    </w:lvl>
    <w:lvl w:ilvl="2" w:tplc="FD88E8E6" w:tentative="1">
      <w:start w:val="1"/>
      <w:numFmt w:val="bullet"/>
      <w:lvlText w:val=""/>
      <w:lvlJc w:val="left"/>
      <w:pPr>
        <w:ind w:left="2727" w:hanging="360"/>
      </w:pPr>
      <w:rPr>
        <w:rFonts w:ascii="Wingdings" w:hAnsi="Wingdings" w:hint="default"/>
      </w:rPr>
    </w:lvl>
    <w:lvl w:ilvl="3" w:tplc="51A20A2C" w:tentative="1">
      <w:start w:val="1"/>
      <w:numFmt w:val="bullet"/>
      <w:lvlText w:val=""/>
      <w:lvlJc w:val="left"/>
      <w:pPr>
        <w:ind w:left="3447" w:hanging="360"/>
      </w:pPr>
      <w:rPr>
        <w:rFonts w:ascii="Symbol" w:hAnsi="Symbol" w:hint="default"/>
      </w:rPr>
    </w:lvl>
    <w:lvl w:ilvl="4" w:tplc="82EADBFA" w:tentative="1">
      <w:start w:val="1"/>
      <w:numFmt w:val="bullet"/>
      <w:lvlText w:val="o"/>
      <w:lvlJc w:val="left"/>
      <w:pPr>
        <w:ind w:left="4167" w:hanging="360"/>
      </w:pPr>
      <w:rPr>
        <w:rFonts w:ascii="Courier New" w:hAnsi="Courier New" w:cs="Courier New" w:hint="default"/>
      </w:rPr>
    </w:lvl>
    <w:lvl w:ilvl="5" w:tplc="B2702700" w:tentative="1">
      <w:start w:val="1"/>
      <w:numFmt w:val="bullet"/>
      <w:lvlText w:val=""/>
      <w:lvlJc w:val="left"/>
      <w:pPr>
        <w:ind w:left="4887" w:hanging="360"/>
      </w:pPr>
      <w:rPr>
        <w:rFonts w:ascii="Wingdings" w:hAnsi="Wingdings" w:hint="default"/>
      </w:rPr>
    </w:lvl>
    <w:lvl w:ilvl="6" w:tplc="9E721398" w:tentative="1">
      <w:start w:val="1"/>
      <w:numFmt w:val="bullet"/>
      <w:lvlText w:val=""/>
      <w:lvlJc w:val="left"/>
      <w:pPr>
        <w:ind w:left="5607" w:hanging="360"/>
      </w:pPr>
      <w:rPr>
        <w:rFonts w:ascii="Symbol" w:hAnsi="Symbol" w:hint="default"/>
      </w:rPr>
    </w:lvl>
    <w:lvl w:ilvl="7" w:tplc="32487432" w:tentative="1">
      <w:start w:val="1"/>
      <w:numFmt w:val="bullet"/>
      <w:lvlText w:val="o"/>
      <w:lvlJc w:val="left"/>
      <w:pPr>
        <w:ind w:left="6327" w:hanging="360"/>
      </w:pPr>
      <w:rPr>
        <w:rFonts w:ascii="Courier New" w:hAnsi="Courier New" w:cs="Courier New" w:hint="default"/>
      </w:rPr>
    </w:lvl>
    <w:lvl w:ilvl="8" w:tplc="2DFA4848" w:tentative="1">
      <w:start w:val="1"/>
      <w:numFmt w:val="bullet"/>
      <w:lvlText w:val=""/>
      <w:lvlJc w:val="left"/>
      <w:pPr>
        <w:ind w:left="7047" w:hanging="360"/>
      </w:pPr>
      <w:rPr>
        <w:rFonts w:ascii="Wingdings" w:hAnsi="Wingdings" w:hint="default"/>
      </w:rPr>
    </w:lvl>
  </w:abstractNum>
  <w:abstractNum w:abstractNumId="84" w15:restartNumberingAfterBreak="0">
    <w:nsid w:val="53DC779F"/>
    <w:multiLevelType w:val="hybridMultilevel"/>
    <w:tmpl w:val="A7E6A04E"/>
    <w:lvl w:ilvl="0" w:tplc="3B5CAD5E">
      <w:start w:val="1"/>
      <w:numFmt w:val="bullet"/>
      <w:lvlText w:val="•"/>
      <w:lvlJc w:val="left"/>
      <w:pPr>
        <w:ind w:left="720"/>
      </w:pPr>
      <w:rPr>
        <w:rFonts w:ascii="Arial" w:eastAsia="Arial" w:hAnsi="Arial" w:cs="Arial"/>
        <w:b w:val="0"/>
        <w:i w:val="0"/>
        <w:strike w:val="0"/>
        <w:dstrike w:val="0"/>
        <w:color w:val="009FE3"/>
        <w:sz w:val="20"/>
        <w:szCs w:val="20"/>
        <w:u w:val="none" w:color="000000"/>
        <w:bdr w:val="none" w:sz="0" w:space="0" w:color="auto"/>
        <w:shd w:val="clear" w:color="auto" w:fill="auto"/>
        <w:vertAlign w:val="baseline"/>
      </w:rPr>
    </w:lvl>
    <w:lvl w:ilvl="1" w:tplc="93165B10">
      <w:start w:val="1"/>
      <w:numFmt w:val="bullet"/>
      <w:lvlText w:val="o"/>
      <w:lvlJc w:val="left"/>
      <w:pPr>
        <w:ind w:left="144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2" w:tplc="039604D8">
      <w:start w:val="1"/>
      <w:numFmt w:val="bullet"/>
      <w:lvlText w:val="▪"/>
      <w:lvlJc w:val="left"/>
      <w:pPr>
        <w:ind w:left="216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3" w:tplc="46F240BA">
      <w:start w:val="1"/>
      <w:numFmt w:val="bullet"/>
      <w:lvlText w:val="•"/>
      <w:lvlJc w:val="left"/>
      <w:pPr>
        <w:ind w:left="2880"/>
      </w:pPr>
      <w:rPr>
        <w:rFonts w:ascii="Arial" w:eastAsia="Arial" w:hAnsi="Arial" w:cs="Arial"/>
        <w:b w:val="0"/>
        <w:i w:val="0"/>
        <w:strike w:val="0"/>
        <w:dstrike w:val="0"/>
        <w:color w:val="009FE3"/>
        <w:sz w:val="20"/>
        <w:szCs w:val="20"/>
        <w:u w:val="none" w:color="000000"/>
        <w:bdr w:val="none" w:sz="0" w:space="0" w:color="auto"/>
        <w:shd w:val="clear" w:color="auto" w:fill="auto"/>
        <w:vertAlign w:val="baseline"/>
      </w:rPr>
    </w:lvl>
    <w:lvl w:ilvl="4" w:tplc="8E1893C4">
      <w:start w:val="1"/>
      <w:numFmt w:val="bullet"/>
      <w:lvlText w:val="o"/>
      <w:lvlJc w:val="left"/>
      <w:pPr>
        <w:ind w:left="360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5" w:tplc="6920893A">
      <w:start w:val="1"/>
      <w:numFmt w:val="bullet"/>
      <w:lvlText w:val="▪"/>
      <w:lvlJc w:val="left"/>
      <w:pPr>
        <w:ind w:left="432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6" w:tplc="E6560D68">
      <w:start w:val="1"/>
      <w:numFmt w:val="bullet"/>
      <w:lvlText w:val="•"/>
      <w:lvlJc w:val="left"/>
      <w:pPr>
        <w:ind w:left="5040"/>
      </w:pPr>
      <w:rPr>
        <w:rFonts w:ascii="Arial" w:eastAsia="Arial" w:hAnsi="Arial" w:cs="Arial"/>
        <w:b w:val="0"/>
        <w:i w:val="0"/>
        <w:strike w:val="0"/>
        <w:dstrike w:val="0"/>
        <w:color w:val="009FE3"/>
        <w:sz w:val="20"/>
        <w:szCs w:val="20"/>
        <w:u w:val="none" w:color="000000"/>
        <w:bdr w:val="none" w:sz="0" w:space="0" w:color="auto"/>
        <w:shd w:val="clear" w:color="auto" w:fill="auto"/>
        <w:vertAlign w:val="baseline"/>
      </w:rPr>
    </w:lvl>
    <w:lvl w:ilvl="7" w:tplc="C0DAECFA">
      <w:start w:val="1"/>
      <w:numFmt w:val="bullet"/>
      <w:lvlText w:val="o"/>
      <w:lvlJc w:val="left"/>
      <w:pPr>
        <w:ind w:left="576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lvl w:ilvl="8" w:tplc="C2B2CFF6">
      <w:start w:val="1"/>
      <w:numFmt w:val="bullet"/>
      <w:lvlText w:val="▪"/>
      <w:lvlJc w:val="left"/>
      <w:pPr>
        <w:ind w:left="6480"/>
      </w:pPr>
      <w:rPr>
        <w:rFonts w:ascii="Segoe UI Symbol" w:eastAsia="Segoe UI Symbol" w:hAnsi="Segoe UI Symbol" w:cs="Segoe UI Symbol"/>
        <w:b w:val="0"/>
        <w:i w:val="0"/>
        <w:strike w:val="0"/>
        <w:dstrike w:val="0"/>
        <w:color w:val="009FE3"/>
        <w:sz w:val="20"/>
        <w:szCs w:val="20"/>
        <w:u w:val="none" w:color="000000"/>
        <w:bdr w:val="none" w:sz="0" w:space="0" w:color="auto"/>
        <w:shd w:val="clear" w:color="auto" w:fill="auto"/>
        <w:vertAlign w:val="baseline"/>
      </w:rPr>
    </w:lvl>
  </w:abstractNum>
  <w:abstractNum w:abstractNumId="85" w15:restartNumberingAfterBreak="0">
    <w:nsid w:val="54691649"/>
    <w:multiLevelType w:val="hybridMultilevel"/>
    <w:tmpl w:val="BBB8FAF0"/>
    <w:lvl w:ilvl="0" w:tplc="3EBAB394">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57133639"/>
    <w:multiLevelType w:val="multilevel"/>
    <w:tmpl w:val="F5520E04"/>
    <w:lvl w:ilvl="0">
      <w:start w:val="1"/>
      <w:numFmt w:val="decimal"/>
      <w:lvlText w:val="%1."/>
      <w:lvlJc w:val="left"/>
      <w:pPr>
        <w:ind w:left="360" w:hanging="360"/>
      </w:pPr>
      <w:rPr>
        <w:rFonts w:cs="Times New Roman"/>
      </w:rPr>
    </w:lvl>
    <w:lvl w:ilvl="1">
      <w:start w:val="27"/>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7" w15:restartNumberingAfterBreak="0">
    <w:nsid w:val="574F3FFB"/>
    <w:multiLevelType w:val="hybridMultilevel"/>
    <w:tmpl w:val="84089B7C"/>
    <w:lvl w:ilvl="0" w:tplc="C37880C0">
      <w:start w:val="1"/>
      <w:numFmt w:val="bullet"/>
      <w:lvlText w:val=""/>
      <w:lvlJc w:val="left"/>
      <w:pPr>
        <w:ind w:left="2007" w:hanging="360"/>
      </w:pPr>
      <w:rPr>
        <w:rFonts w:ascii="Symbol" w:hAnsi="Symbol" w:hint="default"/>
      </w:rPr>
    </w:lvl>
    <w:lvl w:ilvl="1" w:tplc="CA54B322" w:tentative="1">
      <w:start w:val="1"/>
      <w:numFmt w:val="bullet"/>
      <w:lvlText w:val="o"/>
      <w:lvlJc w:val="left"/>
      <w:pPr>
        <w:ind w:left="2727" w:hanging="360"/>
      </w:pPr>
      <w:rPr>
        <w:rFonts w:ascii="Courier New" w:hAnsi="Courier New" w:cs="Courier New" w:hint="default"/>
      </w:rPr>
    </w:lvl>
    <w:lvl w:ilvl="2" w:tplc="9942E8FE" w:tentative="1">
      <w:start w:val="1"/>
      <w:numFmt w:val="bullet"/>
      <w:lvlText w:val=""/>
      <w:lvlJc w:val="left"/>
      <w:pPr>
        <w:ind w:left="3447" w:hanging="360"/>
      </w:pPr>
      <w:rPr>
        <w:rFonts w:ascii="Wingdings" w:hAnsi="Wingdings" w:hint="default"/>
      </w:rPr>
    </w:lvl>
    <w:lvl w:ilvl="3" w:tplc="DCBE24F4" w:tentative="1">
      <w:start w:val="1"/>
      <w:numFmt w:val="bullet"/>
      <w:lvlText w:val=""/>
      <w:lvlJc w:val="left"/>
      <w:pPr>
        <w:ind w:left="4167" w:hanging="360"/>
      </w:pPr>
      <w:rPr>
        <w:rFonts w:ascii="Symbol" w:hAnsi="Symbol" w:hint="default"/>
      </w:rPr>
    </w:lvl>
    <w:lvl w:ilvl="4" w:tplc="FB989502" w:tentative="1">
      <w:start w:val="1"/>
      <w:numFmt w:val="bullet"/>
      <w:lvlText w:val="o"/>
      <w:lvlJc w:val="left"/>
      <w:pPr>
        <w:ind w:left="4887" w:hanging="360"/>
      </w:pPr>
      <w:rPr>
        <w:rFonts w:ascii="Courier New" w:hAnsi="Courier New" w:cs="Courier New" w:hint="default"/>
      </w:rPr>
    </w:lvl>
    <w:lvl w:ilvl="5" w:tplc="12E07066" w:tentative="1">
      <w:start w:val="1"/>
      <w:numFmt w:val="bullet"/>
      <w:lvlText w:val=""/>
      <w:lvlJc w:val="left"/>
      <w:pPr>
        <w:ind w:left="5607" w:hanging="360"/>
      </w:pPr>
      <w:rPr>
        <w:rFonts w:ascii="Wingdings" w:hAnsi="Wingdings" w:hint="default"/>
      </w:rPr>
    </w:lvl>
    <w:lvl w:ilvl="6" w:tplc="850E0526" w:tentative="1">
      <w:start w:val="1"/>
      <w:numFmt w:val="bullet"/>
      <w:lvlText w:val=""/>
      <w:lvlJc w:val="left"/>
      <w:pPr>
        <w:ind w:left="6327" w:hanging="360"/>
      </w:pPr>
      <w:rPr>
        <w:rFonts w:ascii="Symbol" w:hAnsi="Symbol" w:hint="default"/>
      </w:rPr>
    </w:lvl>
    <w:lvl w:ilvl="7" w:tplc="CDDCF21E" w:tentative="1">
      <w:start w:val="1"/>
      <w:numFmt w:val="bullet"/>
      <w:lvlText w:val="o"/>
      <w:lvlJc w:val="left"/>
      <w:pPr>
        <w:ind w:left="7047" w:hanging="360"/>
      </w:pPr>
      <w:rPr>
        <w:rFonts w:ascii="Courier New" w:hAnsi="Courier New" w:cs="Courier New" w:hint="default"/>
      </w:rPr>
    </w:lvl>
    <w:lvl w:ilvl="8" w:tplc="2966ACD4" w:tentative="1">
      <w:start w:val="1"/>
      <w:numFmt w:val="bullet"/>
      <w:lvlText w:val=""/>
      <w:lvlJc w:val="left"/>
      <w:pPr>
        <w:ind w:left="7767" w:hanging="360"/>
      </w:pPr>
      <w:rPr>
        <w:rFonts w:ascii="Wingdings" w:hAnsi="Wingdings" w:hint="default"/>
      </w:rPr>
    </w:lvl>
  </w:abstractNum>
  <w:abstractNum w:abstractNumId="88" w15:restartNumberingAfterBreak="0">
    <w:nsid w:val="58AE65E6"/>
    <w:multiLevelType w:val="multilevel"/>
    <w:tmpl w:val="8CFC2D3C"/>
    <w:numStyleLink w:val="HRNumber"/>
  </w:abstractNum>
  <w:abstractNum w:abstractNumId="89" w15:restartNumberingAfterBreak="0">
    <w:nsid w:val="5B505EE6"/>
    <w:multiLevelType w:val="hybridMultilevel"/>
    <w:tmpl w:val="F3DC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D8571F2"/>
    <w:multiLevelType w:val="multilevel"/>
    <w:tmpl w:val="4EA4628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1" w15:restartNumberingAfterBreak="0">
    <w:nsid w:val="5E3B3E9D"/>
    <w:multiLevelType w:val="hybridMultilevel"/>
    <w:tmpl w:val="97BA423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2" w15:restartNumberingAfterBreak="0">
    <w:nsid w:val="5F0C1566"/>
    <w:multiLevelType w:val="hybridMultilevel"/>
    <w:tmpl w:val="22A8FF0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5FE761BF"/>
    <w:multiLevelType w:val="hybridMultilevel"/>
    <w:tmpl w:val="31CC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FEC2F89"/>
    <w:multiLevelType w:val="hybridMultilevel"/>
    <w:tmpl w:val="4DA4EC16"/>
    <w:lvl w:ilvl="0" w:tplc="5142E524">
      <w:start w:val="1"/>
      <w:numFmt w:val="lowerLetter"/>
      <w:lvlText w:val="%1)"/>
      <w:lvlJc w:val="left"/>
      <w:pPr>
        <w:ind w:left="644" w:hanging="360"/>
      </w:pPr>
      <w:rPr>
        <w:rFonts w:cs="Times New Roman" w:hint="default"/>
        <w:b/>
      </w:rPr>
    </w:lvl>
    <w:lvl w:ilvl="1" w:tplc="08090019">
      <w:start w:val="1"/>
      <w:numFmt w:val="lowerLetter"/>
      <w:lvlText w:val="%2."/>
      <w:lvlJc w:val="left"/>
      <w:pPr>
        <w:ind w:left="1648" w:hanging="360"/>
      </w:pPr>
      <w:rPr>
        <w:rFonts w:cs="Times New Roman"/>
      </w:rPr>
    </w:lvl>
    <w:lvl w:ilvl="2" w:tplc="0809001B" w:tentative="1">
      <w:start w:val="1"/>
      <w:numFmt w:val="lowerRoman"/>
      <w:lvlText w:val="%3."/>
      <w:lvlJc w:val="right"/>
      <w:pPr>
        <w:ind w:left="2368" w:hanging="180"/>
      </w:pPr>
      <w:rPr>
        <w:rFonts w:cs="Times New Roman"/>
      </w:rPr>
    </w:lvl>
    <w:lvl w:ilvl="3" w:tplc="0809000F" w:tentative="1">
      <w:start w:val="1"/>
      <w:numFmt w:val="decimal"/>
      <w:lvlText w:val="%4."/>
      <w:lvlJc w:val="left"/>
      <w:pPr>
        <w:ind w:left="3088" w:hanging="360"/>
      </w:pPr>
      <w:rPr>
        <w:rFonts w:cs="Times New Roman"/>
      </w:rPr>
    </w:lvl>
    <w:lvl w:ilvl="4" w:tplc="08090019" w:tentative="1">
      <w:start w:val="1"/>
      <w:numFmt w:val="lowerLetter"/>
      <w:lvlText w:val="%5."/>
      <w:lvlJc w:val="left"/>
      <w:pPr>
        <w:ind w:left="3808" w:hanging="360"/>
      </w:pPr>
      <w:rPr>
        <w:rFonts w:cs="Times New Roman"/>
      </w:rPr>
    </w:lvl>
    <w:lvl w:ilvl="5" w:tplc="0809001B" w:tentative="1">
      <w:start w:val="1"/>
      <w:numFmt w:val="lowerRoman"/>
      <w:lvlText w:val="%6."/>
      <w:lvlJc w:val="right"/>
      <w:pPr>
        <w:ind w:left="4528" w:hanging="180"/>
      </w:pPr>
      <w:rPr>
        <w:rFonts w:cs="Times New Roman"/>
      </w:rPr>
    </w:lvl>
    <w:lvl w:ilvl="6" w:tplc="0809000F" w:tentative="1">
      <w:start w:val="1"/>
      <w:numFmt w:val="decimal"/>
      <w:lvlText w:val="%7."/>
      <w:lvlJc w:val="left"/>
      <w:pPr>
        <w:ind w:left="5248" w:hanging="360"/>
      </w:pPr>
      <w:rPr>
        <w:rFonts w:cs="Times New Roman"/>
      </w:rPr>
    </w:lvl>
    <w:lvl w:ilvl="7" w:tplc="08090019" w:tentative="1">
      <w:start w:val="1"/>
      <w:numFmt w:val="lowerLetter"/>
      <w:lvlText w:val="%8."/>
      <w:lvlJc w:val="left"/>
      <w:pPr>
        <w:ind w:left="5968" w:hanging="360"/>
      </w:pPr>
      <w:rPr>
        <w:rFonts w:cs="Times New Roman"/>
      </w:rPr>
    </w:lvl>
    <w:lvl w:ilvl="8" w:tplc="0809001B" w:tentative="1">
      <w:start w:val="1"/>
      <w:numFmt w:val="lowerRoman"/>
      <w:lvlText w:val="%9."/>
      <w:lvlJc w:val="right"/>
      <w:pPr>
        <w:ind w:left="6688" w:hanging="180"/>
      </w:pPr>
      <w:rPr>
        <w:rFonts w:cs="Times New Roman"/>
      </w:rPr>
    </w:lvl>
  </w:abstractNum>
  <w:abstractNum w:abstractNumId="95" w15:restartNumberingAfterBreak="0">
    <w:nsid w:val="62FC29E5"/>
    <w:multiLevelType w:val="hybridMultilevel"/>
    <w:tmpl w:val="C5B2C1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6" w15:restartNumberingAfterBreak="0">
    <w:nsid w:val="6376647E"/>
    <w:multiLevelType w:val="hybridMultilevel"/>
    <w:tmpl w:val="FCBA2BBA"/>
    <w:lvl w:ilvl="0" w:tplc="8B78EF8A">
      <w:start w:val="1"/>
      <w:numFmt w:val="bullet"/>
      <w:lvlText w:val=""/>
      <w:lvlJc w:val="left"/>
      <w:pPr>
        <w:ind w:left="927" w:hanging="360"/>
      </w:pPr>
      <w:rPr>
        <w:rFonts w:ascii="Symbol" w:hAnsi="Symbol" w:hint="default"/>
      </w:rPr>
    </w:lvl>
    <w:lvl w:ilvl="1" w:tplc="3476F06E" w:tentative="1">
      <w:start w:val="1"/>
      <w:numFmt w:val="bullet"/>
      <w:lvlText w:val="o"/>
      <w:lvlJc w:val="left"/>
      <w:pPr>
        <w:ind w:left="1647" w:hanging="360"/>
      </w:pPr>
      <w:rPr>
        <w:rFonts w:ascii="Courier New" w:hAnsi="Courier New" w:cs="Courier New" w:hint="default"/>
      </w:rPr>
    </w:lvl>
    <w:lvl w:ilvl="2" w:tplc="54DC1412" w:tentative="1">
      <w:start w:val="1"/>
      <w:numFmt w:val="bullet"/>
      <w:lvlText w:val=""/>
      <w:lvlJc w:val="left"/>
      <w:pPr>
        <w:ind w:left="2367" w:hanging="360"/>
      </w:pPr>
      <w:rPr>
        <w:rFonts w:ascii="Wingdings" w:hAnsi="Wingdings" w:hint="default"/>
      </w:rPr>
    </w:lvl>
    <w:lvl w:ilvl="3" w:tplc="538A3154" w:tentative="1">
      <w:start w:val="1"/>
      <w:numFmt w:val="bullet"/>
      <w:lvlText w:val=""/>
      <w:lvlJc w:val="left"/>
      <w:pPr>
        <w:ind w:left="3087" w:hanging="360"/>
      </w:pPr>
      <w:rPr>
        <w:rFonts w:ascii="Symbol" w:hAnsi="Symbol" w:hint="default"/>
      </w:rPr>
    </w:lvl>
    <w:lvl w:ilvl="4" w:tplc="CB7E39A8" w:tentative="1">
      <w:start w:val="1"/>
      <w:numFmt w:val="bullet"/>
      <w:lvlText w:val="o"/>
      <w:lvlJc w:val="left"/>
      <w:pPr>
        <w:ind w:left="3807" w:hanging="360"/>
      </w:pPr>
      <w:rPr>
        <w:rFonts w:ascii="Courier New" w:hAnsi="Courier New" w:cs="Courier New" w:hint="default"/>
      </w:rPr>
    </w:lvl>
    <w:lvl w:ilvl="5" w:tplc="65BC5716" w:tentative="1">
      <w:start w:val="1"/>
      <w:numFmt w:val="bullet"/>
      <w:lvlText w:val=""/>
      <w:lvlJc w:val="left"/>
      <w:pPr>
        <w:ind w:left="4527" w:hanging="360"/>
      </w:pPr>
      <w:rPr>
        <w:rFonts w:ascii="Wingdings" w:hAnsi="Wingdings" w:hint="default"/>
      </w:rPr>
    </w:lvl>
    <w:lvl w:ilvl="6" w:tplc="626A14CE" w:tentative="1">
      <w:start w:val="1"/>
      <w:numFmt w:val="bullet"/>
      <w:lvlText w:val=""/>
      <w:lvlJc w:val="left"/>
      <w:pPr>
        <w:ind w:left="5247" w:hanging="360"/>
      </w:pPr>
      <w:rPr>
        <w:rFonts w:ascii="Symbol" w:hAnsi="Symbol" w:hint="default"/>
      </w:rPr>
    </w:lvl>
    <w:lvl w:ilvl="7" w:tplc="8104E06A" w:tentative="1">
      <w:start w:val="1"/>
      <w:numFmt w:val="bullet"/>
      <w:lvlText w:val="o"/>
      <w:lvlJc w:val="left"/>
      <w:pPr>
        <w:ind w:left="5967" w:hanging="360"/>
      </w:pPr>
      <w:rPr>
        <w:rFonts w:ascii="Courier New" w:hAnsi="Courier New" w:cs="Courier New" w:hint="default"/>
      </w:rPr>
    </w:lvl>
    <w:lvl w:ilvl="8" w:tplc="FC305320" w:tentative="1">
      <w:start w:val="1"/>
      <w:numFmt w:val="bullet"/>
      <w:lvlText w:val=""/>
      <w:lvlJc w:val="left"/>
      <w:pPr>
        <w:ind w:left="6687" w:hanging="360"/>
      </w:pPr>
      <w:rPr>
        <w:rFonts w:ascii="Wingdings" w:hAnsi="Wingdings" w:hint="default"/>
      </w:rPr>
    </w:lvl>
  </w:abstractNum>
  <w:abstractNum w:abstractNumId="97" w15:restartNumberingAfterBreak="0">
    <w:nsid w:val="638C2B89"/>
    <w:multiLevelType w:val="hybridMultilevel"/>
    <w:tmpl w:val="CD2CC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4623E85"/>
    <w:multiLevelType w:val="hybridMultilevel"/>
    <w:tmpl w:val="8AEC20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9" w15:restartNumberingAfterBreak="0">
    <w:nsid w:val="66D018FF"/>
    <w:multiLevelType w:val="hybridMultilevel"/>
    <w:tmpl w:val="5914A8BA"/>
    <w:lvl w:ilvl="0" w:tplc="0809001B">
      <w:start w:val="1"/>
      <w:numFmt w:val="lowerRoman"/>
      <w:lvlText w:val="%1."/>
      <w:lvlJc w:val="righ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0" w15:restartNumberingAfterBreak="0">
    <w:nsid w:val="687E6E1E"/>
    <w:multiLevelType w:val="hybridMultilevel"/>
    <w:tmpl w:val="97D2C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8C76BEE"/>
    <w:multiLevelType w:val="hybridMultilevel"/>
    <w:tmpl w:val="BEFE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907703B"/>
    <w:multiLevelType w:val="hybridMultilevel"/>
    <w:tmpl w:val="A6C0B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B7945A6"/>
    <w:multiLevelType w:val="multilevel"/>
    <w:tmpl w:val="B538BD02"/>
    <w:lvl w:ilvl="0">
      <w:start w:val="1"/>
      <w:numFmt w:val="bullet"/>
      <w:lvlRestart w:val="0"/>
      <w:pStyle w:val="hBullets"/>
      <w:lvlText w:val=""/>
      <w:lvlJc w:val="left"/>
      <w:pPr>
        <w:tabs>
          <w:tab w:val="num" w:pos="567"/>
        </w:tabs>
        <w:ind w:left="567" w:hanging="567"/>
      </w:pPr>
      <w:rPr>
        <w:rFonts w:ascii="Symbol" w:hAnsi="Symbol" w:hint="default"/>
        <w:b w:val="0"/>
        <w:i w:val="0"/>
        <w:color w:val="4B4B4B"/>
        <w:sz w:val="20"/>
        <w:szCs w:val="20"/>
      </w:rPr>
    </w:lvl>
    <w:lvl w:ilvl="1">
      <w:start w:val="1"/>
      <w:numFmt w:val="bullet"/>
      <w:lvlText w:val="-"/>
      <w:lvlJc w:val="left"/>
      <w:pPr>
        <w:tabs>
          <w:tab w:val="num" w:pos="1134"/>
        </w:tabs>
        <w:ind w:left="1134" w:hanging="567"/>
      </w:pPr>
      <w:rPr>
        <w:rFonts w:ascii="Arial" w:hAnsi="Arial" w:hint="default"/>
        <w:b w:val="0"/>
        <w:i w:val="0"/>
        <w:color w:val="4B4B4B"/>
        <w:sz w:val="20"/>
        <w:szCs w:val="20"/>
      </w:rPr>
    </w:lvl>
    <w:lvl w:ilvl="2">
      <w:start w:val="1"/>
      <w:numFmt w:val="bullet"/>
      <w:lvlText w:val=""/>
      <w:lvlJc w:val="left"/>
      <w:pPr>
        <w:tabs>
          <w:tab w:val="num" w:pos="1701"/>
        </w:tabs>
        <w:ind w:left="1701" w:hanging="567"/>
      </w:pPr>
      <w:rPr>
        <w:rFonts w:ascii="Symbol" w:hAnsi="Symbol" w:hint="default"/>
        <w:b w:val="0"/>
        <w:i w:val="0"/>
        <w:color w:val="4B4B4B"/>
        <w:sz w:val="20"/>
        <w:szCs w:val="20"/>
      </w:rPr>
    </w:lvl>
    <w:lvl w:ilvl="3">
      <w:start w:val="1"/>
      <w:numFmt w:val="bullet"/>
      <w:lvlText w:val=""/>
      <w:lvlJc w:val="left"/>
      <w:pPr>
        <w:tabs>
          <w:tab w:val="num" w:pos="2835"/>
        </w:tabs>
        <w:ind w:left="2835" w:hanging="567"/>
      </w:pPr>
      <w:rPr>
        <w:rFonts w:ascii="Symbol" w:hAnsi="Symbol" w:hint="default"/>
        <w:b w:val="0"/>
        <w:i w:val="0"/>
        <w:color w:val="auto"/>
        <w:sz w:val="22"/>
      </w:rPr>
    </w:lvl>
    <w:lvl w:ilvl="4">
      <w:start w:val="1"/>
      <w:numFmt w:val="bullet"/>
      <w:lvlText w:val="·"/>
      <w:lvlJc w:val="left"/>
      <w:pPr>
        <w:tabs>
          <w:tab w:val="num" w:pos="1418"/>
        </w:tabs>
        <w:ind w:left="1418" w:hanging="567"/>
      </w:pPr>
      <w:rPr>
        <w:rFonts w:ascii="Symbol" w:hAnsi="Symbol" w:hint="default"/>
        <w:b w:val="0"/>
        <w:i w:val="0"/>
        <w:color w:val="auto"/>
        <w:sz w:val="22"/>
      </w:rPr>
    </w:lvl>
    <w:lvl w:ilvl="5">
      <w:start w:val="1"/>
      <w:numFmt w:val="bullet"/>
      <w:lvlText w:val="·"/>
      <w:lvlJc w:val="left"/>
      <w:pPr>
        <w:tabs>
          <w:tab w:val="num" w:pos="1985"/>
        </w:tabs>
        <w:ind w:left="1985" w:hanging="567"/>
      </w:pPr>
      <w:rPr>
        <w:rFonts w:ascii="Symbol" w:hAnsi="Symbol" w:hint="default"/>
        <w:b w:val="0"/>
        <w:i w:val="0"/>
        <w:color w:val="auto"/>
        <w:sz w:val="22"/>
      </w:rPr>
    </w:lvl>
    <w:lvl w:ilvl="6">
      <w:start w:val="1"/>
      <w:numFmt w:val="bullet"/>
      <w:lvlRestart w:val="0"/>
      <w:lvlText w:val="·"/>
      <w:lvlJc w:val="left"/>
      <w:pPr>
        <w:tabs>
          <w:tab w:val="num" w:pos="851"/>
        </w:tabs>
        <w:ind w:left="851" w:hanging="851"/>
      </w:pPr>
      <w:rPr>
        <w:rFonts w:ascii="Symbol" w:hAnsi="Symbol" w:hint="default"/>
        <w:b w:val="0"/>
        <w:i w:val="0"/>
        <w:color w:val="auto"/>
        <w:sz w:val="22"/>
      </w:rPr>
    </w:lvl>
    <w:lvl w:ilvl="7">
      <w:start w:val="1"/>
      <w:numFmt w:val="bullet"/>
      <w:lvlRestart w:val="0"/>
      <w:lvlText w:val="·"/>
      <w:lvlJc w:val="left"/>
      <w:pPr>
        <w:tabs>
          <w:tab w:val="num" w:pos="1418"/>
        </w:tabs>
        <w:ind w:left="1418" w:hanging="567"/>
      </w:pPr>
      <w:rPr>
        <w:rFonts w:ascii="Symbol" w:hAnsi="Symbol" w:hint="default"/>
        <w:b w:val="0"/>
        <w:i w:val="0"/>
        <w:color w:val="auto"/>
        <w:sz w:val="22"/>
      </w:rPr>
    </w:lvl>
    <w:lvl w:ilvl="8">
      <w:start w:val="1"/>
      <w:numFmt w:val="bullet"/>
      <w:lvlText w:val="·"/>
      <w:lvlJc w:val="left"/>
      <w:pPr>
        <w:tabs>
          <w:tab w:val="num" w:pos="1985"/>
        </w:tabs>
        <w:ind w:left="1985" w:hanging="567"/>
      </w:pPr>
      <w:rPr>
        <w:rFonts w:ascii="Symbol" w:hAnsi="Symbol" w:hint="default"/>
        <w:b w:val="0"/>
        <w:i w:val="0"/>
        <w:color w:val="auto"/>
        <w:sz w:val="22"/>
      </w:rPr>
    </w:lvl>
  </w:abstractNum>
  <w:abstractNum w:abstractNumId="104" w15:restartNumberingAfterBreak="0">
    <w:nsid w:val="6BC35379"/>
    <w:multiLevelType w:val="hybridMultilevel"/>
    <w:tmpl w:val="136C9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E2C5C57"/>
    <w:multiLevelType w:val="hybridMultilevel"/>
    <w:tmpl w:val="5B14A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6FDF1E38"/>
    <w:multiLevelType w:val="multilevel"/>
    <w:tmpl w:val="AB382946"/>
    <w:lvl w:ilvl="0">
      <w:start w:val="1"/>
      <w:numFmt w:val="decimal"/>
      <w:lvlText w:val="%1."/>
      <w:lvlJc w:val="left"/>
      <w:pPr>
        <w:ind w:left="1638" w:hanging="360"/>
      </w:pPr>
      <w:rPr>
        <w:rFonts w:hint="default"/>
        <w:b/>
        <w:i/>
      </w:rPr>
    </w:lvl>
    <w:lvl w:ilvl="1">
      <w:start w:val="4"/>
      <w:numFmt w:val="decimal"/>
      <w:isLgl/>
      <w:lvlText w:val="%1.%2"/>
      <w:lvlJc w:val="left"/>
      <w:pPr>
        <w:ind w:left="1638" w:hanging="360"/>
      </w:pPr>
      <w:rPr>
        <w:rFonts w:hint="default"/>
      </w:rPr>
    </w:lvl>
    <w:lvl w:ilvl="2">
      <w:start w:val="1"/>
      <w:numFmt w:val="decimal"/>
      <w:isLgl/>
      <w:lvlText w:val="%1.%2.%3"/>
      <w:lvlJc w:val="left"/>
      <w:pPr>
        <w:ind w:left="1998"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718" w:hanging="1440"/>
      </w:pPr>
      <w:rPr>
        <w:rFonts w:hint="default"/>
      </w:rPr>
    </w:lvl>
    <w:lvl w:ilvl="6">
      <w:start w:val="1"/>
      <w:numFmt w:val="decimal"/>
      <w:isLgl/>
      <w:lvlText w:val="%1.%2.%3.%4.%5.%6.%7"/>
      <w:lvlJc w:val="left"/>
      <w:pPr>
        <w:ind w:left="2718" w:hanging="1440"/>
      </w:pPr>
      <w:rPr>
        <w:rFonts w:hint="default"/>
      </w:rPr>
    </w:lvl>
    <w:lvl w:ilvl="7">
      <w:start w:val="1"/>
      <w:numFmt w:val="decimal"/>
      <w:isLgl/>
      <w:lvlText w:val="%1.%2.%3.%4.%5.%6.%7.%8"/>
      <w:lvlJc w:val="left"/>
      <w:pPr>
        <w:ind w:left="3078" w:hanging="1800"/>
      </w:pPr>
      <w:rPr>
        <w:rFonts w:hint="default"/>
      </w:rPr>
    </w:lvl>
    <w:lvl w:ilvl="8">
      <w:start w:val="1"/>
      <w:numFmt w:val="decimal"/>
      <w:isLgl/>
      <w:lvlText w:val="%1.%2.%3.%4.%5.%6.%7.%8.%9"/>
      <w:lvlJc w:val="left"/>
      <w:pPr>
        <w:ind w:left="3078" w:hanging="1800"/>
      </w:pPr>
      <w:rPr>
        <w:rFonts w:hint="default"/>
      </w:rPr>
    </w:lvl>
  </w:abstractNum>
  <w:abstractNum w:abstractNumId="107" w15:restartNumberingAfterBreak="0">
    <w:nsid w:val="700B17E6"/>
    <w:multiLevelType w:val="hybridMultilevel"/>
    <w:tmpl w:val="286E4D64"/>
    <w:lvl w:ilvl="0" w:tplc="97D6829C">
      <w:start w:val="1"/>
      <w:numFmt w:val="decimal"/>
      <w:lvlText w:val="%1."/>
      <w:lvlJc w:val="left"/>
      <w:pPr>
        <w:ind w:left="720" w:hanging="720"/>
      </w:pPr>
      <w:rPr>
        <w:rFonts w:hint="default"/>
      </w:rPr>
    </w:lvl>
    <w:lvl w:ilvl="1" w:tplc="0809000F">
      <w:start w:val="1"/>
      <w:numFmt w:val="decimal"/>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08" w15:restartNumberingAfterBreak="0">
    <w:nsid w:val="700E2211"/>
    <w:multiLevelType w:val="hybridMultilevel"/>
    <w:tmpl w:val="5A747B5E"/>
    <w:lvl w:ilvl="0" w:tplc="37F066BE">
      <w:start w:val="1"/>
      <w:numFmt w:val="decimal"/>
      <w:pStyle w:val="TenderQuestion"/>
      <w:lvlText w:val="Q%1."/>
      <w:lvlJc w:val="left"/>
      <w:pPr>
        <w:ind w:left="720" w:hanging="360"/>
      </w:pPr>
      <w:rPr>
        <w:rFonts w:hint="default"/>
        <w:color w:val="000000" w:themeColor="text1"/>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72092313"/>
    <w:multiLevelType w:val="hybridMultilevel"/>
    <w:tmpl w:val="A88A39C4"/>
    <w:lvl w:ilvl="0" w:tplc="0809000B">
      <w:start w:val="1"/>
      <w:numFmt w:val="bullet"/>
      <w:lvlText w:val=""/>
      <w:lvlJc w:val="left"/>
      <w:pPr>
        <w:ind w:left="2487" w:hanging="360"/>
      </w:pPr>
      <w:rPr>
        <w:rFonts w:ascii="Wingdings" w:hAnsi="Wingdings" w:hint="default"/>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110" w15:restartNumberingAfterBreak="0">
    <w:nsid w:val="73E60703"/>
    <w:multiLevelType w:val="hybridMultilevel"/>
    <w:tmpl w:val="CD34D4FE"/>
    <w:lvl w:ilvl="0" w:tplc="9996866E">
      <w:start w:val="1"/>
      <w:numFmt w:val="lowerLetter"/>
      <w:lvlText w:val="(%1)"/>
      <w:lvlJc w:val="left"/>
      <w:pPr>
        <w:tabs>
          <w:tab w:val="num" w:pos="435"/>
        </w:tabs>
        <w:ind w:left="435" w:hanging="435"/>
      </w:pPr>
      <w:rPr>
        <w:rFonts w:hint="default"/>
      </w:rPr>
    </w:lvl>
    <w:lvl w:ilvl="1" w:tplc="AB788CEE">
      <w:start w:val="1"/>
      <w:numFmt w:val="decimal"/>
      <w:lvlText w:val="%2)"/>
      <w:lvlJc w:val="left"/>
      <w:pPr>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1" w15:restartNumberingAfterBreak="0">
    <w:nsid w:val="74F34C76"/>
    <w:multiLevelType w:val="hybridMultilevel"/>
    <w:tmpl w:val="34FA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755B7DB4"/>
    <w:multiLevelType w:val="hybridMultilevel"/>
    <w:tmpl w:val="7104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67825E7"/>
    <w:multiLevelType w:val="multilevel"/>
    <w:tmpl w:val="567E87DA"/>
    <w:lvl w:ilvl="0">
      <w:start w:val="1"/>
      <w:numFmt w:val="bullet"/>
      <w:pStyle w:val="hBullet1"/>
      <w:lvlText w:val="·"/>
      <w:lvlJc w:val="left"/>
      <w:pPr>
        <w:tabs>
          <w:tab w:val="num" w:pos="851"/>
        </w:tabs>
        <w:ind w:left="851" w:hanging="851"/>
      </w:pPr>
      <w:rPr>
        <w:rFonts w:ascii="Symbol" w:hAnsi="Symbol" w:hint="default"/>
        <w:color w:val="auto"/>
      </w:rPr>
    </w:lvl>
    <w:lvl w:ilvl="1">
      <w:start w:val="1"/>
      <w:numFmt w:val="bullet"/>
      <w:lvlText w:val="·"/>
      <w:lvlJc w:val="left"/>
      <w:pPr>
        <w:tabs>
          <w:tab w:val="num" w:pos="1418"/>
        </w:tabs>
        <w:ind w:left="1418" w:hanging="567"/>
      </w:pPr>
      <w:rPr>
        <w:rFonts w:ascii="Symbol" w:hAnsi="Symbol" w:hint="default"/>
        <w:color w:val="auto"/>
      </w:rPr>
    </w:lvl>
    <w:lvl w:ilvl="2">
      <w:start w:val="1"/>
      <w:numFmt w:val="bullet"/>
      <w:lvlText w:val="·"/>
      <w:lvlJc w:val="left"/>
      <w:pPr>
        <w:tabs>
          <w:tab w:val="num" w:pos="1985"/>
        </w:tabs>
        <w:ind w:left="1985" w:hanging="567"/>
      </w:pPr>
      <w:rPr>
        <w:rFonts w:ascii="Symbol" w:hAnsi="Symbol" w:hint="default"/>
        <w:color w:val="auto"/>
      </w:rPr>
    </w:lvl>
    <w:lvl w:ilvl="3">
      <w:start w:val="1"/>
      <w:numFmt w:val="bullet"/>
      <w:lvlText w:val="·"/>
      <w:lvlJc w:val="left"/>
      <w:pPr>
        <w:tabs>
          <w:tab w:val="num" w:pos="1418"/>
        </w:tabs>
        <w:ind w:left="1418" w:hanging="567"/>
      </w:pPr>
      <w:rPr>
        <w:rFonts w:ascii="Symbol" w:hAnsi="Symbol" w:hint="default"/>
        <w:color w:val="auto"/>
      </w:rPr>
    </w:lvl>
    <w:lvl w:ilvl="4">
      <w:start w:val="1"/>
      <w:numFmt w:val="bullet"/>
      <w:lvlText w:val="·"/>
      <w:lvlJc w:val="left"/>
      <w:pPr>
        <w:tabs>
          <w:tab w:val="num" w:pos="851"/>
        </w:tabs>
        <w:ind w:left="851" w:hanging="851"/>
      </w:pPr>
      <w:rPr>
        <w:rFonts w:ascii="Symbol" w:hAnsi="Symbol" w:hint="default"/>
        <w:color w:val="auto"/>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4" w15:restartNumberingAfterBreak="0">
    <w:nsid w:val="77B22D4B"/>
    <w:multiLevelType w:val="hybridMultilevel"/>
    <w:tmpl w:val="8708B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8D2531A"/>
    <w:multiLevelType w:val="hybridMultilevel"/>
    <w:tmpl w:val="A67EBB44"/>
    <w:lvl w:ilvl="0" w:tplc="0809001B">
      <w:start w:val="1"/>
      <w:numFmt w:val="lowerRoman"/>
      <w:lvlText w:val="%1."/>
      <w:lvlJc w:val="right"/>
      <w:pPr>
        <w:ind w:left="1004" w:hanging="360"/>
      </w:pPr>
      <w:rPr>
        <w:rFonts w:hint="default"/>
      </w:rPr>
    </w:lvl>
    <w:lvl w:ilvl="1" w:tplc="0809000B">
      <w:start w:val="1"/>
      <w:numFmt w:val="bullet"/>
      <w:lvlText w:val=""/>
      <w:lvlJc w:val="left"/>
      <w:pPr>
        <w:ind w:left="1724" w:hanging="360"/>
      </w:pPr>
      <w:rPr>
        <w:rFonts w:ascii="Wingdings" w:hAnsi="Wingdings"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6" w15:restartNumberingAfterBreak="0">
    <w:nsid w:val="78F93A55"/>
    <w:multiLevelType w:val="hybridMultilevel"/>
    <w:tmpl w:val="082823BA"/>
    <w:lvl w:ilvl="0" w:tplc="08090003">
      <w:start w:val="1"/>
      <w:numFmt w:val="bullet"/>
      <w:lvlText w:val="o"/>
      <w:lvlJc w:val="left"/>
      <w:pPr>
        <w:ind w:left="1363" w:hanging="360"/>
      </w:pPr>
      <w:rPr>
        <w:rFonts w:ascii="Courier New" w:hAnsi="Courier New" w:cs="Courier New"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117" w15:restartNumberingAfterBreak="0">
    <w:nsid w:val="795F731C"/>
    <w:multiLevelType w:val="hybridMultilevel"/>
    <w:tmpl w:val="08307B38"/>
    <w:lvl w:ilvl="0" w:tplc="08090003">
      <w:start w:val="1"/>
      <w:numFmt w:val="bullet"/>
      <w:lvlText w:val="o"/>
      <w:lvlJc w:val="left"/>
      <w:pPr>
        <w:ind w:left="1996" w:hanging="360"/>
      </w:pPr>
      <w:rPr>
        <w:rFonts w:ascii="Courier New" w:hAnsi="Courier New" w:cs="Courier New"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118" w15:restartNumberingAfterBreak="0">
    <w:nsid w:val="797B2EC3"/>
    <w:multiLevelType w:val="hybridMultilevel"/>
    <w:tmpl w:val="4536A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79DC41F0"/>
    <w:multiLevelType w:val="hybridMultilevel"/>
    <w:tmpl w:val="A82C425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0" w15:restartNumberingAfterBreak="0">
    <w:nsid w:val="79E803A7"/>
    <w:multiLevelType w:val="hybridMultilevel"/>
    <w:tmpl w:val="12C68C94"/>
    <w:lvl w:ilvl="0" w:tplc="E424C0AC">
      <w:start w:val="1"/>
      <w:numFmt w:val="bullet"/>
      <w:pStyle w:val="hBullet2"/>
      <w:lvlText w:val=""/>
      <w:lvlJc w:val="left"/>
      <w:pPr>
        <w:tabs>
          <w:tab w:val="num" w:pos="1418"/>
        </w:tabs>
        <w:ind w:left="1418" w:hanging="567"/>
      </w:pPr>
      <w:rPr>
        <w:rFonts w:ascii="Symbol" w:hAnsi="Symbol" w:hint="default"/>
        <w:b w:val="0"/>
        <w:i w:val="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A34028B"/>
    <w:multiLevelType w:val="hybridMultilevel"/>
    <w:tmpl w:val="C18EE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BE43905"/>
    <w:multiLevelType w:val="hybridMultilevel"/>
    <w:tmpl w:val="83049F88"/>
    <w:lvl w:ilvl="0" w:tplc="0809001B">
      <w:start w:val="1"/>
      <w:numFmt w:val="lowerRoman"/>
      <w:lvlText w:val="%1."/>
      <w:lvlJc w:val="right"/>
      <w:pPr>
        <w:ind w:left="807" w:hanging="360"/>
      </w:pPr>
      <w:rPr>
        <w:rFonts w:hint="default"/>
      </w:rPr>
    </w:lvl>
    <w:lvl w:ilvl="1" w:tplc="08090001">
      <w:start w:val="1"/>
      <w:numFmt w:val="bullet"/>
      <w:lvlText w:val=""/>
      <w:lvlJc w:val="left"/>
      <w:pPr>
        <w:ind w:left="1527" w:hanging="360"/>
      </w:pPr>
      <w:rPr>
        <w:rFonts w:ascii="Symbol" w:hAnsi="Symbol"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23" w15:restartNumberingAfterBreak="0">
    <w:nsid w:val="7DDD52ED"/>
    <w:multiLevelType w:val="hybridMultilevel"/>
    <w:tmpl w:val="089EDD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FA65368"/>
    <w:multiLevelType w:val="hybridMultilevel"/>
    <w:tmpl w:val="149262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476446">
    <w:abstractNumId w:val="14"/>
  </w:num>
  <w:num w:numId="2" w16cid:durableId="1525361872">
    <w:abstractNumId w:val="52"/>
  </w:num>
  <w:num w:numId="3" w16cid:durableId="1444615592">
    <w:abstractNumId w:val="74"/>
  </w:num>
  <w:num w:numId="4" w16cid:durableId="541014252">
    <w:abstractNumId w:val="18"/>
  </w:num>
  <w:num w:numId="5" w16cid:durableId="549541252">
    <w:abstractNumId w:val="72"/>
  </w:num>
  <w:num w:numId="6" w16cid:durableId="335503843">
    <w:abstractNumId w:val="27"/>
  </w:num>
  <w:num w:numId="7" w16cid:durableId="1634671866">
    <w:abstractNumId w:val="94"/>
  </w:num>
  <w:num w:numId="8" w16cid:durableId="1895580074">
    <w:abstractNumId w:val="32"/>
  </w:num>
  <w:num w:numId="9" w16cid:durableId="1805732248">
    <w:abstractNumId w:val="45"/>
  </w:num>
  <w:num w:numId="10" w16cid:durableId="1637568668">
    <w:abstractNumId w:val="86"/>
  </w:num>
  <w:num w:numId="11" w16cid:durableId="1275674862">
    <w:abstractNumId w:val="1"/>
  </w:num>
  <w:num w:numId="12" w16cid:durableId="291834889">
    <w:abstractNumId w:val="20"/>
  </w:num>
  <w:num w:numId="13" w16cid:durableId="1003161777">
    <w:abstractNumId w:val="96"/>
  </w:num>
  <w:num w:numId="14" w16cid:durableId="1515997016">
    <w:abstractNumId w:val="29"/>
  </w:num>
  <w:num w:numId="15" w16cid:durableId="1793089535">
    <w:abstractNumId w:val="17"/>
  </w:num>
  <w:num w:numId="16" w16cid:durableId="1205488301">
    <w:abstractNumId w:val="57"/>
  </w:num>
  <w:num w:numId="17" w16cid:durableId="826089536">
    <w:abstractNumId w:val="83"/>
  </w:num>
  <w:num w:numId="18" w16cid:durableId="460730293">
    <w:abstractNumId w:val="80"/>
  </w:num>
  <w:num w:numId="19" w16cid:durableId="1905868852">
    <w:abstractNumId w:val="26"/>
  </w:num>
  <w:num w:numId="20" w16cid:durableId="608778758">
    <w:abstractNumId w:val="87"/>
  </w:num>
  <w:num w:numId="21" w16cid:durableId="1888684396">
    <w:abstractNumId w:val="40"/>
  </w:num>
  <w:num w:numId="22" w16cid:durableId="381170676">
    <w:abstractNumId w:val="7"/>
  </w:num>
  <w:num w:numId="23" w16cid:durableId="1877112697">
    <w:abstractNumId w:val="73"/>
  </w:num>
  <w:num w:numId="24" w16cid:durableId="1500653833">
    <w:abstractNumId w:val="22"/>
  </w:num>
  <w:num w:numId="25" w16cid:durableId="1797983896">
    <w:abstractNumId w:val="67"/>
  </w:num>
  <w:num w:numId="26" w16cid:durableId="1344550390">
    <w:abstractNumId w:val="81"/>
  </w:num>
  <w:num w:numId="27" w16cid:durableId="1139494145">
    <w:abstractNumId w:val="37"/>
  </w:num>
  <w:num w:numId="28" w16cid:durableId="2128969001">
    <w:abstractNumId w:val="48"/>
  </w:num>
  <w:num w:numId="29" w16cid:durableId="691540676">
    <w:abstractNumId w:val="100"/>
  </w:num>
  <w:num w:numId="30" w16cid:durableId="1434940138">
    <w:abstractNumId w:val="58"/>
  </w:num>
  <w:num w:numId="31" w16cid:durableId="525101229">
    <w:abstractNumId w:val="111"/>
  </w:num>
  <w:num w:numId="32" w16cid:durableId="59331380">
    <w:abstractNumId w:val="121"/>
  </w:num>
  <w:num w:numId="33" w16cid:durableId="455953049">
    <w:abstractNumId w:val="59"/>
  </w:num>
  <w:num w:numId="34" w16cid:durableId="915165339">
    <w:abstractNumId w:val="93"/>
  </w:num>
  <w:num w:numId="35" w16cid:durableId="781264711">
    <w:abstractNumId w:val="38"/>
  </w:num>
  <w:num w:numId="36" w16cid:durableId="1796562660">
    <w:abstractNumId w:val="15"/>
  </w:num>
  <w:num w:numId="37" w16cid:durableId="644747274">
    <w:abstractNumId w:val="114"/>
  </w:num>
  <w:num w:numId="38" w16cid:durableId="181088672">
    <w:abstractNumId w:val="65"/>
  </w:num>
  <w:num w:numId="39" w16cid:durableId="1351027507">
    <w:abstractNumId w:val="110"/>
  </w:num>
  <w:num w:numId="40" w16cid:durableId="2141722506">
    <w:abstractNumId w:val="31"/>
  </w:num>
  <w:num w:numId="41" w16cid:durableId="1260681320">
    <w:abstractNumId w:val="88"/>
    <w:lvlOverride w:ilvl="0">
      <w:lvl w:ilvl="0">
        <w:start w:val="1"/>
        <w:numFmt w:val="decimal"/>
        <w:pStyle w:val="NumberHymans"/>
        <w:lvlText w:val="%1"/>
        <w:lvlJc w:val="left"/>
        <w:pPr>
          <w:ind w:left="567" w:hanging="567"/>
        </w:pPr>
        <w:rPr>
          <w:rFonts w:ascii="Arial" w:hAnsi="Arial" w:hint="default"/>
          <w:color w:val="F06A00"/>
          <w:sz w:val="20"/>
        </w:rPr>
      </w:lvl>
    </w:lvlOverride>
    <w:lvlOverride w:ilvl="1">
      <w:lvl w:ilvl="1">
        <w:start w:val="1"/>
        <w:numFmt w:val="decimal"/>
        <w:lvlText w:val="%1.%2"/>
        <w:lvlJc w:val="left"/>
        <w:pPr>
          <w:ind w:left="2552" w:hanging="567"/>
        </w:pPr>
        <w:rPr>
          <w:rFonts w:ascii="Arial" w:hAnsi="Arial" w:hint="default"/>
          <w:b/>
          <w:color w:val="3FA6CC"/>
          <w:sz w:val="20"/>
        </w:rPr>
      </w:lvl>
    </w:lvlOverride>
  </w:num>
  <w:num w:numId="42" w16cid:durableId="452361176">
    <w:abstractNumId w:val="4"/>
  </w:num>
  <w:num w:numId="43" w16cid:durableId="1000692825">
    <w:abstractNumId w:val="49"/>
  </w:num>
  <w:num w:numId="44" w16cid:durableId="372194058">
    <w:abstractNumId w:val="112"/>
  </w:num>
  <w:num w:numId="45" w16cid:durableId="1220626885">
    <w:abstractNumId w:val="78"/>
  </w:num>
  <w:num w:numId="46" w16cid:durableId="988097494">
    <w:abstractNumId w:val="119"/>
  </w:num>
  <w:num w:numId="47" w16cid:durableId="520164826">
    <w:abstractNumId w:val="95"/>
  </w:num>
  <w:num w:numId="48" w16cid:durableId="1218780008">
    <w:abstractNumId w:val="6"/>
  </w:num>
  <w:num w:numId="49" w16cid:durableId="711734234">
    <w:abstractNumId w:val="46"/>
  </w:num>
  <w:num w:numId="50" w16cid:durableId="229268762">
    <w:abstractNumId w:val="10"/>
  </w:num>
  <w:num w:numId="51" w16cid:durableId="190843101">
    <w:abstractNumId w:val="120"/>
  </w:num>
  <w:num w:numId="52" w16cid:durableId="1386685916">
    <w:abstractNumId w:val="91"/>
  </w:num>
  <w:num w:numId="53" w16cid:durableId="1532765232">
    <w:abstractNumId w:val="64"/>
  </w:num>
  <w:num w:numId="54" w16cid:durableId="370541943">
    <w:abstractNumId w:val="107"/>
  </w:num>
  <w:num w:numId="55" w16cid:durableId="1672954539">
    <w:abstractNumId w:val="41"/>
  </w:num>
  <w:num w:numId="56" w16cid:durableId="1976786539">
    <w:abstractNumId w:val="19"/>
  </w:num>
  <w:num w:numId="57" w16cid:durableId="456721022">
    <w:abstractNumId w:val="113"/>
  </w:num>
  <w:num w:numId="58" w16cid:durableId="1045837112">
    <w:abstractNumId w:val="124"/>
  </w:num>
  <w:num w:numId="59" w16cid:durableId="1471896896">
    <w:abstractNumId w:val="30"/>
  </w:num>
  <w:num w:numId="60" w16cid:durableId="1591424189">
    <w:abstractNumId w:val="35"/>
  </w:num>
  <w:num w:numId="61" w16cid:durableId="1044716541">
    <w:abstractNumId w:val="50"/>
  </w:num>
  <w:num w:numId="62" w16cid:durableId="1585382676">
    <w:abstractNumId w:val="3"/>
  </w:num>
  <w:num w:numId="63" w16cid:durableId="514882743">
    <w:abstractNumId w:val="9"/>
  </w:num>
  <w:num w:numId="64" w16cid:durableId="1792244558">
    <w:abstractNumId w:val="99"/>
  </w:num>
  <w:num w:numId="65" w16cid:durableId="1374697744">
    <w:abstractNumId w:val="106"/>
  </w:num>
  <w:num w:numId="66" w16cid:durableId="1857498463">
    <w:abstractNumId w:val="76"/>
  </w:num>
  <w:num w:numId="67" w16cid:durableId="1024480585">
    <w:abstractNumId w:val="89"/>
  </w:num>
  <w:num w:numId="68" w16cid:durableId="1726105247">
    <w:abstractNumId w:val="43"/>
  </w:num>
  <w:num w:numId="69" w16cid:durableId="1894848926">
    <w:abstractNumId w:val="92"/>
  </w:num>
  <w:num w:numId="70" w16cid:durableId="746878142">
    <w:abstractNumId w:val="104"/>
  </w:num>
  <w:num w:numId="71" w16cid:durableId="1107891832">
    <w:abstractNumId w:val="90"/>
  </w:num>
  <w:num w:numId="72" w16cid:durableId="1109744185">
    <w:abstractNumId w:val="21"/>
  </w:num>
  <w:num w:numId="73" w16cid:durableId="1143110987">
    <w:abstractNumId w:val="109"/>
  </w:num>
  <w:num w:numId="74" w16cid:durableId="1011639505">
    <w:abstractNumId w:val="42"/>
  </w:num>
  <w:num w:numId="75" w16cid:durableId="1353147329">
    <w:abstractNumId w:val="8"/>
  </w:num>
  <w:num w:numId="76" w16cid:durableId="913392229">
    <w:abstractNumId w:val="71"/>
  </w:num>
  <w:num w:numId="77" w16cid:durableId="54283322">
    <w:abstractNumId w:val="116"/>
  </w:num>
  <w:num w:numId="78" w16cid:durableId="1497844872">
    <w:abstractNumId w:val="103"/>
  </w:num>
  <w:num w:numId="79" w16cid:durableId="1202791331">
    <w:abstractNumId w:val="16"/>
  </w:num>
  <w:num w:numId="80" w16cid:durableId="1049263416">
    <w:abstractNumId w:val="108"/>
  </w:num>
  <w:num w:numId="81" w16cid:durableId="545222474">
    <w:abstractNumId w:val="12"/>
  </w:num>
  <w:num w:numId="82" w16cid:durableId="1302618702">
    <w:abstractNumId w:val="51"/>
  </w:num>
  <w:num w:numId="83" w16cid:durableId="634722683">
    <w:abstractNumId w:val="34"/>
  </w:num>
  <w:num w:numId="84" w16cid:durableId="434906206">
    <w:abstractNumId w:val="44"/>
  </w:num>
  <w:num w:numId="85" w16cid:durableId="558394798">
    <w:abstractNumId w:val="62"/>
  </w:num>
  <w:num w:numId="86" w16cid:durableId="471406975">
    <w:abstractNumId w:val="53"/>
  </w:num>
  <w:num w:numId="87" w16cid:durableId="566844365">
    <w:abstractNumId w:val="39"/>
  </w:num>
  <w:num w:numId="88" w16cid:durableId="1277299436">
    <w:abstractNumId w:val="33"/>
  </w:num>
  <w:num w:numId="89" w16cid:durableId="396711873">
    <w:abstractNumId w:val="117"/>
  </w:num>
  <w:num w:numId="90" w16cid:durableId="1872910662">
    <w:abstractNumId w:val="69"/>
  </w:num>
  <w:num w:numId="91" w16cid:durableId="831409938">
    <w:abstractNumId w:val="56"/>
  </w:num>
  <w:num w:numId="92" w16cid:durableId="65616937">
    <w:abstractNumId w:val="70"/>
  </w:num>
  <w:num w:numId="93" w16cid:durableId="1742171576">
    <w:abstractNumId w:val="122"/>
  </w:num>
  <w:num w:numId="94" w16cid:durableId="1804730583">
    <w:abstractNumId w:val="55"/>
  </w:num>
  <w:num w:numId="95" w16cid:durableId="393352540">
    <w:abstractNumId w:val="115"/>
  </w:num>
  <w:num w:numId="96" w16cid:durableId="1417553604">
    <w:abstractNumId w:val="77"/>
  </w:num>
  <w:num w:numId="97" w16cid:durableId="1036273788">
    <w:abstractNumId w:val="11"/>
  </w:num>
  <w:num w:numId="98" w16cid:durableId="1898275239">
    <w:abstractNumId w:val="0"/>
  </w:num>
  <w:num w:numId="99" w16cid:durableId="524170248">
    <w:abstractNumId w:val="5"/>
  </w:num>
  <w:num w:numId="100" w16cid:durableId="1961495890">
    <w:abstractNumId w:val="23"/>
  </w:num>
  <w:num w:numId="101" w16cid:durableId="1067000689">
    <w:abstractNumId w:val="2"/>
  </w:num>
  <w:num w:numId="102" w16cid:durableId="1508515041">
    <w:abstractNumId w:val="84"/>
  </w:num>
  <w:num w:numId="103" w16cid:durableId="863593010">
    <w:abstractNumId w:val="85"/>
  </w:num>
  <w:num w:numId="104" w16cid:durableId="2134709713">
    <w:abstractNumId w:val="47"/>
  </w:num>
  <w:num w:numId="105" w16cid:durableId="100415826">
    <w:abstractNumId w:val="25"/>
  </w:num>
  <w:num w:numId="106" w16cid:durableId="431822269">
    <w:abstractNumId w:val="66"/>
  </w:num>
  <w:num w:numId="107" w16cid:durableId="312829277">
    <w:abstractNumId w:val="98"/>
  </w:num>
  <w:num w:numId="108" w16cid:durableId="607010769">
    <w:abstractNumId w:val="13"/>
  </w:num>
  <w:num w:numId="109" w16cid:durableId="1760253041">
    <w:abstractNumId w:val="61"/>
  </w:num>
  <w:num w:numId="110" w16cid:durableId="474760975">
    <w:abstractNumId w:val="68"/>
  </w:num>
  <w:num w:numId="111" w16cid:durableId="671032156">
    <w:abstractNumId w:val="63"/>
  </w:num>
  <w:num w:numId="112" w16cid:durableId="126746944">
    <w:abstractNumId w:val="36"/>
  </w:num>
  <w:num w:numId="113" w16cid:durableId="739670747">
    <w:abstractNumId w:val="101"/>
  </w:num>
  <w:num w:numId="114" w16cid:durableId="1794668146">
    <w:abstractNumId w:val="60"/>
  </w:num>
  <w:num w:numId="115" w16cid:durableId="1328826668">
    <w:abstractNumId w:val="82"/>
  </w:num>
  <w:num w:numId="116" w16cid:durableId="1775856580">
    <w:abstractNumId w:val="28"/>
  </w:num>
  <w:num w:numId="117" w16cid:durableId="1692610439">
    <w:abstractNumId w:val="24"/>
  </w:num>
  <w:num w:numId="118" w16cid:durableId="836578466">
    <w:abstractNumId w:val="123"/>
  </w:num>
  <w:num w:numId="119" w16cid:durableId="1425609014">
    <w:abstractNumId w:val="102"/>
  </w:num>
  <w:num w:numId="120" w16cid:durableId="1326087811">
    <w:abstractNumId w:val="54"/>
  </w:num>
  <w:num w:numId="121" w16cid:durableId="714694668">
    <w:abstractNumId w:val="105"/>
  </w:num>
  <w:num w:numId="122" w16cid:durableId="1279415429">
    <w:abstractNumId w:val="75"/>
  </w:num>
  <w:num w:numId="123" w16cid:durableId="859392286">
    <w:abstractNumId w:val="79"/>
  </w:num>
  <w:num w:numId="124" w16cid:durableId="386421024">
    <w:abstractNumId w:val="118"/>
  </w:num>
  <w:num w:numId="125" w16cid:durableId="2092309674">
    <w:abstractNumId w:val="9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20"/>
  <w:displayHorizontalDrawingGridEvery w:val="2"/>
  <w:characterSpacingControl w:val="doNotCompress"/>
  <w:hdrShapeDefaults>
    <o:shapedefaults v:ext="edit" spidmax="2050">
      <o:colormru v:ext="edit" colors="#b9e1ee,#f5efd7"/>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274"/>
    <w:rsid w:val="00000612"/>
    <w:rsid w:val="000017BA"/>
    <w:rsid w:val="00001938"/>
    <w:rsid w:val="00001E28"/>
    <w:rsid w:val="000020FB"/>
    <w:rsid w:val="00003EF2"/>
    <w:rsid w:val="00006D79"/>
    <w:rsid w:val="00006D81"/>
    <w:rsid w:val="0000778F"/>
    <w:rsid w:val="00010D4A"/>
    <w:rsid w:val="00011745"/>
    <w:rsid w:val="00012F0E"/>
    <w:rsid w:val="00014A32"/>
    <w:rsid w:val="000154FE"/>
    <w:rsid w:val="00015B6A"/>
    <w:rsid w:val="00015CD0"/>
    <w:rsid w:val="00015CF5"/>
    <w:rsid w:val="00016FE2"/>
    <w:rsid w:val="00017458"/>
    <w:rsid w:val="0002155E"/>
    <w:rsid w:val="0002357A"/>
    <w:rsid w:val="000247C6"/>
    <w:rsid w:val="00025455"/>
    <w:rsid w:val="000260C7"/>
    <w:rsid w:val="0002637B"/>
    <w:rsid w:val="00027D3D"/>
    <w:rsid w:val="00030C22"/>
    <w:rsid w:val="000342C8"/>
    <w:rsid w:val="000369C0"/>
    <w:rsid w:val="00037665"/>
    <w:rsid w:val="00040867"/>
    <w:rsid w:val="000408E1"/>
    <w:rsid w:val="000428EF"/>
    <w:rsid w:val="00045796"/>
    <w:rsid w:val="00045ECC"/>
    <w:rsid w:val="00047BF9"/>
    <w:rsid w:val="00050599"/>
    <w:rsid w:val="000514D9"/>
    <w:rsid w:val="0005174A"/>
    <w:rsid w:val="00052843"/>
    <w:rsid w:val="00052AE1"/>
    <w:rsid w:val="000535C3"/>
    <w:rsid w:val="000537B8"/>
    <w:rsid w:val="0005518F"/>
    <w:rsid w:val="00055A76"/>
    <w:rsid w:val="00056308"/>
    <w:rsid w:val="00056A02"/>
    <w:rsid w:val="00056AA7"/>
    <w:rsid w:val="00057E30"/>
    <w:rsid w:val="0006229E"/>
    <w:rsid w:val="00064157"/>
    <w:rsid w:val="00064720"/>
    <w:rsid w:val="00065A1F"/>
    <w:rsid w:val="00066031"/>
    <w:rsid w:val="0006766E"/>
    <w:rsid w:val="00071618"/>
    <w:rsid w:val="0007228A"/>
    <w:rsid w:val="000724F0"/>
    <w:rsid w:val="00072D72"/>
    <w:rsid w:val="00072FCF"/>
    <w:rsid w:val="00073875"/>
    <w:rsid w:val="00073ABD"/>
    <w:rsid w:val="00074084"/>
    <w:rsid w:val="00075109"/>
    <w:rsid w:val="000758EF"/>
    <w:rsid w:val="00076064"/>
    <w:rsid w:val="00076FD3"/>
    <w:rsid w:val="00077C52"/>
    <w:rsid w:val="00080C20"/>
    <w:rsid w:val="00081047"/>
    <w:rsid w:val="00081A2F"/>
    <w:rsid w:val="0008237B"/>
    <w:rsid w:val="000829E6"/>
    <w:rsid w:val="00083F1D"/>
    <w:rsid w:val="00084EAB"/>
    <w:rsid w:val="00085278"/>
    <w:rsid w:val="00085B93"/>
    <w:rsid w:val="00086C77"/>
    <w:rsid w:val="0009273C"/>
    <w:rsid w:val="000931C4"/>
    <w:rsid w:val="00093645"/>
    <w:rsid w:val="000939A5"/>
    <w:rsid w:val="00094E2D"/>
    <w:rsid w:val="0009615D"/>
    <w:rsid w:val="00096582"/>
    <w:rsid w:val="00096B14"/>
    <w:rsid w:val="00096D1A"/>
    <w:rsid w:val="000979BC"/>
    <w:rsid w:val="00097CF2"/>
    <w:rsid w:val="000A06A5"/>
    <w:rsid w:val="000A4D4C"/>
    <w:rsid w:val="000A5084"/>
    <w:rsid w:val="000A6E36"/>
    <w:rsid w:val="000A7904"/>
    <w:rsid w:val="000B0106"/>
    <w:rsid w:val="000B1359"/>
    <w:rsid w:val="000B1808"/>
    <w:rsid w:val="000B2268"/>
    <w:rsid w:val="000B2532"/>
    <w:rsid w:val="000B2D87"/>
    <w:rsid w:val="000B3165"/>
    <w:rsid w:val="000B3366"/>
    <w:rsid w:val="000B349A"/>
    <w:rsid w:val="000B51D8"/>
    <w:rsid w:val="000B6231"/>
    <w:rsid w:val="000B62CF"/>
    <w:rsid w:val="000B63DE"/>
    <w:rsid w:val="000B6E10"/>
    <w:rsid w:val="000B6E82"/>
    <w:rsid w:val="000B7012"/>
    <w:rsid w:val="000C19D7"/>
    <w:rsid w:val="000C2A92"/>
    <w:rsid w:val="000C3274"/>
    <w:rsid w:val="000C47F0"/>
    <w:rsid w:val="000C5A3E"/>
    <w:rsid w:val="000D13F0"/>
    <w:rsid w:val="000D2FFC"/>
    <w:rsid w:val="000D6421"/>
    <w:rsid w:val="000D6790"/>
    <w:rsid w:val="000D6AB7"/>
    <w:rsid w:val="000D75D8"/>
    <w:rsid w:val="000D7763"/>
    <w:rsid w:val="000E07F2"/>
    <w:rsid w:val="000E4916"/>
    <w:rsid w:val="000E491D"/>
    <w:rsid w:val="000E4FB9"/>
    <w:rsid w:val="000F03E5"/>
    <w:rsid w:val="000F0AD7"/>
    <w:rsid w:val="000F1D83"/>
    <w:rsid w:val="000F2144"/>
    <w:rsid w:val="000F2F3A"/>
    <w:rsid w:val="000F4C54"/>
    <w:rsid w:val="000F57EE"/>
    <w:rsid w:val="000F60F1"/>
    <w:rsid w:val="000F6958"/>
    <w:rsid w:val="00100414"/>
    <w:rsid w:val="00101221"/>
    <w:rsid w:val="001017EA"/>
    <w:rsid w:val="0010260C"/>
    <w:rsid w:val="00105A03"/>
    <w:rsid w:val="00110125"/>
    <w:rsid w:val="00110945"/>
    <w:rsid w:val="00111983"/>
    <w:rsid w:val="00112D06"/>
    <w:rsid w:val="0011346F"/>
    <w:rsid w:val="001149ED"/>
    <w:rsid w:val="00114BBD"/>
    <w:rsid w:val="001150BD"/>
    <w:rsid w:val="0011546B"/>
    <w:rsid w:val="00121C84"/>
    <w:rsid w:val="00121E51"/>
    <w:rsid w:val="0012274A"/>
    <w:rsid w:val="0012298E"/>
    <w:rsid w:val="001246C9"/>
    <w:rsid w:val="00124E35"/>
    <w:rsid w:val="00126679"/>
    <w:rsid w:val="00126AB3"/>
    <w:rsid w:val="00131A72"/>
    <w:rsid w:val="001323CA"/>
    <w:rsid w:val="00132BF4"/>
    <w:rsid w:val="00132FE3"/>
    <w:rsid w:val="00133469"/>
    <w:rsid w:val="0013358C"/>
    <w:rsid w:val="00133736"/>
    <w:rsid w:val="0013592D"/>
    <w:rsid w:val="00135DFC"/>
    <w:rsid w:val="00135E04"/>
    <w:rsid w:val="00135E6D"/>
    <w:rsid w:val="00135F70"/>
    <w:rsid w:val="001404EA"/>
    <w:rsid w:val="0014064A"/>
    <w:rsid w:val="001411D1"/>
    <w:rsid w:val="00143004"/>
    <w:rsid w:val="001452A4"/>
    <w:rsid w:val="0015017B"/>
    <w:rsid w:val="00150981"/>
    <w:rsid w:val="00150B5F"/>
    <w:rsid w:val="00151E78"/>
    <w:rsid w:val="00152264"/>
    <w:rsid w:val="00152C88"/>
    <w:rsid w:val="00153325"/>
    <w:rsid w:val="00153AD3"/>
    <w:rsid w:val="00154175"/>
    <w:rsid w:val="0015592B"/>
    <w:rsid w:val="00155A41"/>
    <w:rsid w:val="00156C17"/>
    <w:rsid w:val="00156F80"/>
    <w:rsid w:val="001575DB"/>
    <w:rsid w:val="00160354"/>
    <w:rsid w:val="001603A1"/>
    <w:rsid w:val="00160D61"/>
    <w:rsid w:val="0016366F"/>
    <w:rsid w:val="00163995"/>
    <w:rsid w:val="00163C45"/>
    <w:rsid w:val="00163DF7"/>
    <w:rsid w:val="00164151"/>
    <w:rsid w:val="00164888"/>
    <w:rsid w:val="00165149"/>
    <w:rsid w:val="00165B15"/>
    <w:rsid w:val="00166ABF"/>
    <w:rsid w:val="001674FD"/>
    <w:rsid w:val="001677E3"/>
    <w:rsid w:val="00171C1D"/>
    <w:rsid w:val="00173474"/>
    <w:rsid w:val="00175616"/>
    <w:rsid w:val="00176945"/>
    <w:rsid w:val="001770F7"/>
    <w:rsid w:val="0017738D"/>
    <w:rsid w:val="00180D27"/>
    <w:rsid w:val="001812A1"/>
    <w:rsid w:val="00181FFD"/>
    <w:rsid w:val="00182090"/>
    <w:rsid w:val="00183519"/>
    <w:rsid w:val="00184145"/>
    <w:rsid w:val="00184736"/>
    <w:rsid w:val="001849E6"/>
    <w:rsid w:val="00184F81"/>
    <w:rsid w:val="001851C4"/>
    <w:rsid w:val="001852C0"/>
    <w:rsid w:val="00186357"/>
    <w:rsid w:val="0018698A"/>
    <w:rsid w:val="001906A8"/>
    <w:rsid w:val="0019222C"/>
    <w:rsid w:val="0019458D"/>
    <w:rsid w:val="0019711D"/>
    <w:rsid w:val="00197E4F"/>
    <w:rsid w:val="001A0482"/>
    <w:rsid w:val="001A104E"/>
    <w:rsid w:val="001A1444"/>
    <w:rsid w:val="001A30C5"/>
    <w:rsid w:val="001A4DE5"/>
    <w:rsid w:val="001A51D1"/>
    <w:rsid w:val="001A6B0C"/>
    <w:rsid w:val="001B381F"/>
    <w:rsid w:val="001B3954"/>
    <w:rsid w:val="001B5F4F"/>
    <w:rsid w:val="001B6386"/>
    <w:rsid w:val="001B6689"/>
    <w:rsid w:val="001B783C"/>
    <w:rsid w:val="001C0349"/>
    <w:rsid w:val="001C0D72"/>
    <w:rsid w:val="001C158B"/>
    <w:rsid w:val="001C2C36"/>
    <w:rsid w:val="001C37E0"/>
    <w:rsid w:val="001C4043"/>
    <w:rsid w:val="001C6257"/>
    <w:rsid w:val="001C7933"/>
    <w:rsid w:val="001D03B3"/>
    <w:rsid w:val="001D09BE"/>
    <w:rsid w:val="001D0D93"/>
    <w:rsid w:val="001D0EAA"/>
    <w:rsid w:val="001D3256"/>
    <w:rsid w:val="001D3DCE"/>
    <w:rsid w:val="001D4337"/>
    <w:rsid w:val="001D4AB9"/>
    <w:rsid w:val="001D60F9"/>
    <w:rsid w:val="001D6311"/>
    <w:rsid w:val="001D63A7"/>
    <w:rsid w:val="001D6BAD"/>
    <w:rsid w:val="001D70FE"/>
    <w:rsid w:val="001D787D"/>
    <w:rsid w:val="001E031C"/>
    <w:rsid w:val="001E0E1B"/>
    <w:rsid w:val="001E1EEC"/>
    <w:rsid w:val="001E2B02"/>
    <w:rsid w:val="001E3981"/>
    <w:rsid w:val="001E5613"/>
    <w:rsid w:val="001E5BA5"/>
    <w:rsid w:val="001E5EFF"/>
    <w:rsid w:val="001E6228"/>
    <w:rsid w:val="001E6353"/>
    <w:rsid w:val="001E67EA"/>
    <w:rsid w:val="001E67F3"/>
    <w:rsid w:val="001E779C"/>
    <w:rsid w:val="001E7B15"/>
    <w:rsid w:val="001E7B3E"/>
    <w:rsid w:val="001F05BF"/>
    <w:rsid w:val="001F0774"/>
    <w:rsid w:val="001F1EF1"/>
    <w:rsid w:val="001F2127"/>
    <w:rsid w:val="001F2E75"/>
    <w:rsid w:val="001F3103"/>
    <w:rsid w:val="001F3C7E"/>
    <w:rsid w:val="001F4A6C"/>
    <w:rsid w:val="001F5A57"/>
    <w:rsid w:val="001F5F1D"/>
    <w:rsid w:val="001F6C11"/>
    <w:rsid w:val="001F6CE5"/>
    <w:rsid w:val="001F6E79"/>
    <w:rsid w:val="001F71C2"/>
    <w:rsid w:val="001F71EF"/>
    <w:rsid w:val="001F733D"/>
    <w:rsid w:val="001F7FE2"/>
    <w:rsid w:val="00201799"/>
    <w:rsid w:val="00203051"/>
    <w:rsid w:val="00205324"/>
    <w:rsid w:val="00207CD7"/>
    <w:rsid w:val="002105D4"/>
    <w:rsid w:val="00210989"/>
    <w:rsid w:val="00212455"/>
    <w:rsid w:val="0021288E"/>
    <w:rsid w:val="002136C6"/>
    <w:rsid w:val="00213867"/>
    <w:rsid w:val="0021480A"/>
    <w:rsid w:val="002162D2"/>
    <w:rsid w:val="00216657"/>
    <w:rsid w:val="00216CCA"/>
    <w:rsid w:val="00216F08"/>
    <w:rsid w:val="002206B2"/>
    <w:rsid w:val="00221427"/>
    <w:rsid w:val="002221C1"/>
    <w:rsid w:val="00224718"/>
    <w:rsid w:val="00227E88"/>
    <w:rsid w:val="00230083"/>
    <w:rsid w:val="002307F4"/>
    <w:rsid w:val="00231D8E"/>
    <w:rsid w:val="0023256F"/>
    <w:rsid w:val="00232EC2"/>
    <w:rsid w:val="00234696"/>
    <w:rsid w:val="0023496D"/>
    <w:rsid w:val="00234C6E"/>
    <w:rsid w:val="00235CE7"/>
    <w:rsid w:val="002362D3"/>
    <w:rsid w:val="002378C3"/>
    <w:rsid w:val="00237DC3"/>
    <w:rsid w:val="00242067"/>
    <w:rsid w:val="00242BEC"/>
    <w:rsid w:val="00244A2E"/>
    <w:rsid w:val="00246521"/>
    <w:rsid w:val="00246B49"/>
    <w:rsid w:val="002478D1"/>
    <w:rsid w:val="0024792B"/>
    <w:rsid w:val="00247B0B"/>
    <w:rsid w:val="00250508"/>
    <w:rsid w:val="00250CC0"/>
    <w:rsid w:val="0025121F"/>
    <w:rsid w:val="0025134F"/>
    <w:rsid w:val="00251EE3"/>
    <w:rsid w:val="002535A8"/>
    <w:rsid w:val="00253EFF"/>
    <w:rsid w:val="0025498F"/>
    <w:rsid w:val="00256B44"/>
    <w:rsid w:val="00256C15"/>
    <w:rsid w:val="00256D2B"/>
    <w:rsid w:val="002573E0"/>
    <w:rsid w:val="002602C4"/>
    <w:rsid w:val="00260EEE"/>
    <w:rsid w:val="0026180B"/>
    <w:rsid w:val="00261B07"/>
    <w:rsid w:val="00262E23"/>
    <w:rsid w:val="00264F36"/>
    <w:rsid w:val="00265E45"/>
    <w:rsid w:val="0026692A"/>
    <w:rsid w:val="002725DF"/>
    <w:rsid w:val="00272999"/>
    <w:rsid w:val="0027358B"/>
    <w:rsid w:val="0027383C"/>
    <w:rsid w:val="00274FE1"/>
    <w:rsid w:val="002762A4"/>
    <w:rsid w:val="002768E7"/>
    <w:rsid w:val="00280FAE"/>
    <w:rsid w:val="002821FA"/>
    <w:rsid w:val="002828CE"/>
    <w:rsid w:val="00283F05"/>
    <w:rsid w:val="0028431A"/>
    <w:rsid w:val="002858BE"/>
    <w:rsid w:val="002877FE"/>
    <w:rsid w:val="00287AFE"/>
    <w:rsid w:val="00287C8B"/>
    <w:rsid w:val="002901BA"/>
    <w:rsid w:val="00290B61"/>
    <w:rsid w:val="002922AE"/>
    <w:rsid w:val="00293386"/>
    <w:rsid w:val="00293CFD"/>
    <w:rsid w:val="00293DC2"/>
    <w:rsid w:val="002946E2"/>
    <w:rsid w:val="00294A2B"/>
    <w:rsid w:val="0029674C"/>
    <w:rsid w:val="00296B7F"/>
    <w:rsid w:val="00296E3C"/>
    <w:rsid w:val="002975AD"/>
    <w:rsid w:val="00297F56"/>
    <w:rsid w:val="002A04B1"/>
    <w:rsid w:val="002A1CBC"/>
    <w:rsid w:val="002A466E"/>
    <w:rsid w:val="002A53F5"/>
    <w:rsid w:val="002A55CF"/>
    <w:rsid w:val="002A65FF"/>
    <w:rsid w:val="002B01E1"/>
    <w:rsid w:val="002B35AD"/>
    <w:rsid w:val="002B3913"/>
    <w:rsid w:val="002B4F49"/>
    <w:rsid w:val="002B5841"/>
    <w:rsid w:val="002B77F1"/>
    <w:rsid w:val="002B794A"/>
    <w:rsid w:val="002C0903"/>
    <w:rsid w:val="002C0B61"/>
    <w:rsid w:val="002C0D2C"/>
    <w:rsid w:val="002C40D2"/>
    <w:rsid w:val="002C5F66"/>
    <w:rsid w:val="002C7D08"/>
    <w:rsid w:val="002D03BE"/>
    <w:rsid w:val="002D0479"/>
    <w:rsid w:val="002D2239"/>
    <w:rsid w:val="002D2EF1"/>
    <w:rsid w:val="002D344C"/>
    <w:rsid w:val="002D356A"/>
    <w:rsid w:val="002D3901"/>
    <w:rsid w:val="002D3E0A"/>
    <w:rsid w:val="002D42EE"/>
    <w:rsid w:val="002D4639"/>
    <w:rsid w:val="002D5B49"/>
    <w:rsid w:val="002D6E53"/>
    <w:rsid w:val="002E0B57"/>
    <w:rsid w:val="002E2252"/>
    <w:rsid w:val="002E3648"/>
    <w:rsid w:val="002E4C81"/>
    <w:rsid w:val="002E4CFF"/>
    <w:rsid w:val="002E5194"/>
    <w:rsid w:val="002E628A"/>
    <w:rsid w:val="002E76ED"/>
    <w:rsid w:val="002E7A44"/>
    <w:rsid w:val="002F0FE3"/>
    <w:rsid w:val="002F3E65"/>
    <w:rsid w:val="002F4220"/>
    <w:rsid w:val="002F5C1F"/>
    <w:rsid w:val="002F5DE8"/>
    <w:rsid w:val="002F6D26"/>
    <w:rsid w:val="002F773F"/>
    <w:rsid w:val="002F77EC"/>
    <w:rsid w:val="00300B28"/>
    <w:rsid w:val="00300DD3"/>
    <w:rsid w:val="003010CD"/>
    <w:rsid w:val="0030318F"/>
    <w:rsid w:val="0030356B"/>
    <w:rsid w:val="00305143"/>
    <w:rsid w:val="00305BB2"/>
    <w:rsid w:val="003113F1"/>
    <w:rsid w:val="00312648"/>
    <w:rsid w:val="00312766"/>
    <w:rsid w:val="00314761"/>
    <w:rsid w:val="003160DD"/>
    <w:rsid w:val="00316D10"/>
    <w:rsid w:val="00321862"/>
    <w:rsid w:val="00321ADE"/>
    <w:rsid w:val="00322090"/>
    <w:rsid w:val="003222E7"/>
    <w:rsid w:val="00322A38"/>
    <w:rsid w:val="00323321"/>
    <w:rsid w:val="0032423E"/>
    <w:rsid w:val="00324687"/>
    <w:rsid w:val="00326E74"/>
    <w:rsid w:val="0033098D"/>
    <w:rsid w:val="0033146E"/>
    <w:rsid w:val="0033240D"/>
    <w:rsid w:val="003329B5"/>
    <w:rsid w:val="00332AF4"/>
    <w:rsid w:val="00332CB4"/>
    <w:rsid w:val="003330E5"/>
    <w:rsid w:val="0033342F"/>
    <w:rsid w:val="00333BE7"/>
    <w:rsid w:val="00334E88"/>
    <w:rsid w:val="0033572A"/>
    <w:rsid w:val="00335AF1"/>
    <w:rsid w:val="0033602A"/>
    <w:rsid w:val="003361D8"/>
    <w:rsid w:val="00336CE5"/>
    <w:rsid w:val="00336F8E"/>
    <w:rsid w:val="00337FB9"/>
    <w:rsid w:val="0034111D"/>
    <w:rsid w:val="00343305"/>
    <w:rsid w:val="00344DE2"/>
    <w:rsid w:val="00345EF2"/>
    <w:rsid w:val="0034786B"/>
    <w:rsid w:val="00350247"/>
    <w:rsid w:val="003516A3"/>
    <w:rsid w:val="003522EF"/>
    <w:rsid w:val="003523A9"/>
    <w:rsid w:val="00352741"/>
    <w:rsid w:val="00353388"/>
    <w:rsid w:val="003549FE"/>
    <w:rsid w:val="003568A4"/>
    <w:rsid w:val="00356EE1"/>
    <w:rsid w:val="00357783"/>
    <w:rsid w:val="0036077A"/>
    <w:rsid w:val="00360D2D"/>
    <w:rsid w:val="003618F5"/>
    <w:rsid w:val="00361E6F"/>
    <w:rsid w:val="003620E0"/>
    <w:rsid w:val="00362F49"/>
    <w:rsid w:val="00364433"/>
    <w:rsid w:val="00364A9E"/>
    <w:rsid w:val="0036581B"/>
    <w:rsid w:val="00366DB5"/>
    <w:rsid w:val="003671ED"/>
    <w:rsid w:val="0037022F"/>
    <w:rsid w:val="00371166"/>
    <w:rsid w:val="00372AAE"/>
    <w:rsid w:val="00375153"/>
    <w:rsid w:val="003751D3"/>
    <w:rsid w:val="00375650"/>
    <w:rsid w:val="003759AE"/>
    <w:rsid w:val="00375DDE"/>
    <w:rsid w:val="00376783"/>
    <w:rsid w:val="00377417"/>
    <w:rsid w:val="00380285"/>
    <w:rsid w:val="0038239F"/>
    <w:rsid w:val="00383D12"/>
    <w:rsid w:val="00383D1B"/>
    <w:rsid w:val="00384F76"/>
    <w:rsid w:val="00390ECE"/>
    <w:rsid w:val="00391071"/>
    <w:rsid w:val="003927A4"/>
    <w:rsid w:val="00392F80"/>
    <w:rsid w:val="0039308C"/>
    <w:rsid w:val="00393129"/>
    <w:rsid w:val="00393FEF"/>
    <w:rsid w:val="00395375"/>
    <w:rsid w:val="003954F7"/>
    <w:rsid w:val="00395681"/>
    <w:rsid w:val="00396BFD"/>
    <w:rsid w:val="003A0431"/>
    <w:rsid w:val="003A0D45"/>
    <w:rsid w:val="003A157C"/>
    <w:rsid w:val="003A18E0"/>
    <w:rsid w:val="003A1A2C"/>
    <w:rsid w:val="003A20AA"/>
    <w:rsid w:val="003A2B06"/>
    <w:rsid w:val="003A4565"/>
    <w:rsid w:val="003A52BA"/>
    <w:rsid w:val="003A5753"/>
    <w:rsid w:val="003A6569"/>
    <w:rsid w:val="003B18BE"/>
    <w:rsid w:val="003B2191"/>
    <w:rsid w:val="003B2937"/>
    <w:rsid w:val="003B344B"/>
    <w:rsid w:val="003B34CF"/>
    <w:rsid w:val="003B4597"/>
    <w:rsid w:val="003B6470"/>
    <w:rsid w:val="003B67C7"/>
    <w:rsid w:val="003B7C95"/>
    <w:rsid w:val="003C1255"/>
    <w:rsid w:val="003C2057"/>
    <w:rsid w:val="003C20A5"/>
    <w:rsid w:val="003C26B9"/>
    <w:rsid w:val="003C2DDF"/>
    <w:rsid w:val="003C538D"/>
    <w:rsid w:val="003C67E9"/>
    <w:rsid w:val="003C69FA"/>
    <w:rsid w:val="003C730A"/>
    <w:rsid w:val="003C7779"/>
    <w:rsid w:val="003D1763"/>
    <w:rsid w:val="003D1FC6"/>
    <w:rsid w:val="003D2F61"/>
    <w:rsid w:val="003D2F63"/>
    <w:rsid w:val="003D5C6A"/>
    <w:rsid w:val="003D6795"/>
    <w:rsid w:val="003D70BB"/>
    <w:rsid w:val="003D7916"/>
    <w:rsid w:val="003E0383"/>
    <w:rsid w:val="003E095F"/>
    <w:rsid w:val="003E1F1B"/>
    <w:rsid w:val="003E3026"/>
    <w:rsid w:val="003E7BCD"/>
    <w:rsid w:val="003E7CA0"/>
    <w:rsid w:val="003F28BC"/>
    <w:rsid w:val="003F2A4F"/>
    <w:rsid w:val="003F3382"/>
    <w:rsid w:val="003F3E33"/>
    <w:rsid w:val="003F4282"/>
    <w:rsid w:val="003F4819"/>
    <w:rsid w:val="003F6DA4"/>
    <w:rsid w:val="003F796F"/>
    <w:rsid w:val="003F79FB"/>
    <w:rsid w:val="003F7A58"/>
    <w:rsid w:val="003F7E6B"/>
    <w:rsid w:val="004019CF"/>
    <w:rsid w:val="00403E16"/>
    <w:rsid w:val="00404320"/>
    <w:rsid w:val="004052D2"/>
    <w:rsid w:val="004055C2"/>
    <w:rsid w:val="00406093"/>
    <w:rsid w:val="004064E5"/>
    <w:rsid w:val="0040748B"/>
    <w:rsid w:val="0041052A"/>
    <w:rsid w:val="00410E54"/>
    <w:rsid w:val="00411486"/>
    <w:rsid w:val="0041178F"/>
    <w:rsid w:val="0041276C"/>
    <w:rsid w:val="004135F8"/>
    <w:rsid w:val="004146ED"/>
    <w:rsid w:val="00414A6E"/>
    <w:rsid w:val="00415568"/>
    <w:rsid w:val="004166BA"/>
    <w:rsid w:val="00416C41"/>
    <w:rsid w:val="00417D8B"/>
    <w:rsid w:val="00421288"/>
    <w:rsid w:val="004212C4"/>
    <w:rsid w:val="00421992"/>
    <w:rsid w:val="00421E09"/>
    <w:rsid w:val="00422067"/>
    <w:rsid w:val="00422185"/>
    <w:rsid w:val="00422433"/>
    <w:rsid w:val="004225AB"/>
    <w:rsid w:val="004230AA"/>
    <w:rsid w:val="0042371E"/>
    <w:rsid w:val="0042515A"/>
    <w:rsid w:val="00425A0F"/>
    <w:rsid w:val="0042694D"/>
    <w:rsid w:val="00427FA7"/>
    <w:rsid w:val="00430081"/>
    <w:rsid w:val="00431BC3"/>
    <w:rsid w:val="00431C47"/>
    <w:rsid w:val="0043392B"/>
    <w:rsid w:val="00434182"/>
    <w:rsid w:val="00435090"/>
    <w:rsid w:val="00435FBA"/>
    <w:rsid w:val="00436512"/>
    <w:rsid w:val="004404F8"/>
    <w:rsid w:val="00440599"/>
    <w:rsid w:val="00440868"/>
    <w:rsid w:val="00440D6F"/>
    <w:rsid w:val="0044103E"/>
    <w:rsid w:val="00442591"/>
    <w:rsid w:val="00445BFD"/>
    <w:rsid w:val="004513FE"/>
    <w:rsid w:val="00451980"/>
    <w:rsid w:val="00452FDF"/>
    <w:rsid w:val="00453250"/>
    <w:rsid w:val="00453499"/>
    <w:rsid w:val="00453549"/>
    <w:rsid w:val="00453DED"/>
    <w:rsid w:val="00453EA8"/>
    <w:rsid w:val="0045457E"/>
    <w:rsid w:val="00454C15"/>
    <w:rsid w:val="00457222"/>
    <w:rsid w:val="004577B0"/>
    <w:rsid w:val="004630D1"/>
    <w:rsid w:val="004635AF"/>
    <w:rsid w:val="0046386D"/>
    <w:rsid w:val="004639B0"/>
    <w:rsid w:val="004642E4"/>
    <w:rsid w:val="004646C0"/>
    <w:rsid w:val="0046586A"/>
    <w:rsid w:val="0046592B"/>
    <w:rsid w:val="00467D00"/>
    <w:rsid w:val="0047041E"/>
    <w:rsid w:val="00470A28"/>
    <w:rsid w:val="004714DF"/>
    <w:rsid w:val="00472915"/>
    <w:rsid w:val="00474AE6"/>
    <w:rsid w:val="00474B37"/>
    <w:rsid w:val="004753B9"/>
    <w:rsid w:val="00476AF2"/>
    <w:rsid w:val="00476FC0"/>
    <w:rsid w:val="00480037"/>
    <w:rsid w:val="00480C6C"/>
    <w:rsid w:val="00480F2F"/>
    <w:rsid w:val="004813ED"/>
    <w:rsid w:val="00483AC2"/>
    <w:rsid w:val="00484017"/>
    <w:rsid w:val="004848CB"/>
    <w:rsid w:val="0048492C"/>
    <w:rsid w:val="00485A6B"/>
    <w:rsid w:val="00485C27"/>
    <w:rsid w:val="00486215"/>
    <w:rsid w:val="004864DC"/>
    <w:rsid w:val="0048662C"/>
    <w:rsid w:val="00486BA0"/>
    <w:rsid w:val="00490DBC"/>
    <w:rsid w:val="00491C49"/>
    <w:rsid w:val="00494CE8"/>
    <w:rsid w:val="00495E47"/>
    <w:rsid w:val="00495F34"/>
    <w:rsid w:val="00496DFD"/>
    <w:rsid w:val="004A070F"/>
    <w:rsid w:val="004A10D2"/>
    <w:rsid w:val="004A3E31"/>
    <w:rsid w:val="004A3EE8"/>
    <w:rsid w:val="004A4703"/>
    <w:rsid w:val="004A4B20"/>
    <w:rsid w:val="004A627D"/>
    <w:rsid w:val="004B1A20"/>
    <w:rsid w:val="004B1C31"/>
    <w:rsid w:val="004B2B88"/>
    <w:rsid w:val="004B3DC4"/>
    <w:rsid w:val="004B3EDB"/>
    <w:rsid w:val="004B43A6"/>
    <w:rsid w:val="004B4482"/>
    <w:rsid w:val="004B4523"/>
    <w:rsid w:val="004B459C"/>
    <w:rsid w:val="004C0070"/>
    <w:rsid w:val="004C131B"/>
    <w:rsid w:val="004C17A4"/>
    <w:rsid w:val="004C2376"/>
    <w:rsid w:val="004C2E69"/>
    <w:rsid w:val="004C405C"/>
    <w:rsid w:val="004C4297"/>
    <w:rsid w:val="004C4EFF"/>
    <w:rsid w:val="004C5297"/>
    <w:rsid w:val="004C5F3A"/>
    <w:rsid w:val="004C761C"/>
    <w:rsid w:val="004D0728"/>
    <w:rsid w:val="004D1118"/>
    <w:rsid w:val="004D2456"/>
    <w:rsid w:val="004D2BDF"/>
    <w:rsid w:val="004D2BF5"/>
    <w:rsid w:val="004D3962"/>
    <w:rsid w:val="004D4424"/>
    <w:rsid w:val="004D7EFA"/>
    <w:rsid w:val="004E000E"/>
    <w:rsid w:val="004E2AD9"/>
    <w:rsid w:val="004E3633"/>
    <w:rsid w:val="004E37AE"/>
    <w:rsid w:val="004E39BB"/>
    <w:rsid w:val="004E49F1"/>
    <w:rsid w:val="004E62C7"/>
    <w:rsid w:val="004E65DB"/>
    <w:rsid w:val="004E78D3"/>
    <w:rsid w:val="004F39ED"/>
    <w:rsid w:val="004F5239"/>
    <w:rsid w:val="004F617D"/>
    <w:rsid w:val="004F7D8F"/>
    <w:rsid w:val="005006FE"/>
    <w:rsid w:val="00500928"/>
    <w:rsid w:val="00500CE1"/>
    <w:rsid w:val="00501A7A"/>
    <w:rsid w:val="005020A1"/>
    <w:rsid w:val="00502C2B"/>
    <w:rsid w:val="00506694"/>
    <w:rsid w:val="00506D5A"/>
    <w:rsid w:val="00507624"/>
    <w:rsid w:val="00507EC0"/>
    <w:rsid w:val="00510382"/>
    <w:rsid w:val="005145F1"/>
    <w:rsid w:val="00514D30"/>
    <w:rsid w:val="00515184"/>
    <w:rsid w:val="00515867"/>
    <w:rsid w:val="00516377"/>
    <w:rsid w:val="005163F5"/>
    <w:rsid w:val="00516D40"/>
    <w:rsid w:val="0052017A"/>
    <w:rsid w:val="00520326"/>
    <w:rsid w:val="00523EC8"/>
    <w:rsid w:val="00526296"/>
    <w:rsid w:val="00526E86"/>
    <w:rsid w:val="00527661"/>
    <w:rsid w:val="00527A52"/>
    <w:rsid w:val="0053060B"/>
    <w:rsid w:val="00530B26"/>
    <w:rsid w:val="005342AD"/>
    <w:rsid w:val="00534712"/>
    <w:rsid w:val="00534EB1"/>
    <w:rsid w:val="00540F32"/>
    <w:rsid w:val="00540FB0"/>
    <w:rsid w:val="00541949"/>
    <w:rsid w:val="00541C29"/>
    <w:rsid w:val="00541F63"/>
    <w:rsid w:val="005423F0"/>
    <w:rsid w:val="00543C29"/>
    <w:rsid w:val="00543E37"/>
    <w:rsid w:val="0054667A"/>
    <w:rsid w:val="005475A0"/>
    <w:rsid w:val="00550423"/>
    <w:rsid w:val="005515DF"/>
    <w:rsid w:val="00551E0B"/>
    <w:rsid w:val="00552039"/>
    <w:rsid w:val="00554A0C"/>
    <w:rsid w:val="00555B67"/>
    <w:rsid w:val="00557F8B"/>
    <w:rsid w:val="0056040B"/>
    <w:rsid w:val="00560B7F"/>
    <w:rsid w:val="00560C5A"/>
    <w:rsid w:val="0056194B"/>
    <w:rsid w:val="00561EAF"/>
    <w:rsid w:val="00563844"/>
    <w:rsid w:val="00567955"/>
    <w:rsid w:val="00570FB1"/>
    <w:rsid w:val="005721B3"/>
    <w:rsid w:val="0057448B"/>
    <w:rsid w:val="00574E89"/>
    <w:rsid w:val="005766A9"/>
    <w:rsid w:val="00580B05"/>
    <w:rsid w:val="00580C30"/>
    <w:rsid w:val="0058230E"/>
    <w:rsid w:val="00583BCA"/>
    <w:rsid w:val="005856B9"/>
    <w:rsid w:val="00585C4E"/>
    <w:rsid w:val="00585FC5"/>
    <w:rsid w:val="00587A20"/>
    <w:rsid w:val="005928DD"/>
    <w:rsid w:val="00593882"/>
    <w:rsid w:val="00593FC5"/>
    <w:rsid w:val="005963D5"/>
    <w:rsid w:val="005965D3"/>
    <w:rsid w:val="00596FEE"/>
    <w:rsid w:val="005974AC"/>
    <w:rsid w:val="00597C72"/>
    <w:rsid w:val="00597D8D"/>
    <w:rsid w:val="005A03C5"/>
    <w:rsid w:val="005A1E68"/>
    <w:rsid w:val="005A2C97"/>
    <w:rsid w:val="005A302F"/>
    <w:rsid w:val="005A3E18"/>
    <w:rsid w:val="005A584B"/>
    <w:rsid w:val="005A666C"/>
    <w:rsid w:val="005A6E4B"/>
    <w:rsid w:val="005B3980"/>
    <w:rsid w:val="005B3BBE"/>
    <w:rsid w:val="005B4158"/>
    <w:rsid w:val="005B4F2C"/>
    <w:rsid w:val="005B6E81"/>
    <w:rsid w:val="005C3997"/>
    <w:rsid w:val="005C3C85"/>
    <w:rsid w:val="005C4A61"/>
    <w:rsid w:val="005C4C1A"/>
    <w:rsid w:val="005C6352"/>
    <w:rsid w:val="005C7778"/>
    <w:rsid w:val="005D1CBC"/>
    <w:rsid w:val="005D29B9"/>
    <w:rsid w:val="005D2C6F"/>
    <w:rsid w:val="005D31B6"/>
    <w:rsid w:val="005D3FCA"/>
    <w:rsid w:val="005D4778"/>
    <w:rsid w:val="005D5245"/>
    <w:rsid w:val="005D6149"/>
    <w:rsid w:val="005D718C"/>
    <w:rsid w:val="005E14C9"/>
    <w:rsid w:val="005E16C5"/>
    <w:rsid w:val="005E1A22"/>
    <w:rsid w:val="005E2371"/>
    <w:rsid w:val="005E4C0E"/>
    <w:rsid w:val="005E5C62"/>
    <w:rsid w:val="005E6D3A"/>
    <w:rsid w:val="005E7E3D"/>
    <w:rsid w:val="005F0F1C"/>
    <w:rsid w:val="005F0F67"/>
    <w:rsid w:val="005F0FB9"/>
    <w:rsid w:val="005F10F7"/>
    <w:rsid w:val="005F1969"/>
    <w:rsid w:val="005F316A"/>
    <w:rsid w:val="005F5554"/>
    <w:rsid w:val="005F5FAE"/>
    <w:rsid w:val="005F6200"/>
    <w:rsid w:val="005F73F9"/>
    <w:rsid w:val="00601B12"/>
    <w:rsid w:val="0060272C"/>
    <w:rsid w:val="00603747"/>
    <w:rsid w:val="00603913"/>
    <w:rsid w:val="006041F4"/>
    <w:rsid w:val="00604F26"/>
    <w:rsid w:val="00607015"/>
    <w:rsid w:val="00607F44"/>
    <w:rsid w:val="006115A3"/>
    <w:rsid w:val="006120F4"/>
    <w:rsid w:val="00613063"/>
    <w:rsid w:val="00614BAB"/>
    <w:rsid w:val="006150A6"/>
    <w:rsid w:val="006153BD"/>
    <w:rsid w:val="006156BD"/>
    <w:rsid w:val="00616136"/>
    <w:rsid w:val="00616577"/>
    <w:rsid w:val="00616B34"/>
    <w:rsid w:val="00617067"/>
    <w:rsid w:val="006175B2"/>
    <w:rsid w:val="0062051D"/>
    <w:rsid w:val="00621521"/>
    <w:rsid w:val="00621F6A"/>
    <w:rsid w:val="00622A8A"/>
    <w:rsid w:val="00626496"/>
    <w:rsid w:val="00630359"/>
    <w:rsid w:val="00630E2A"/>
    <w:rsid w:val="00630FCF"/>
    <w:rsid w:val="0063105C"/>
    <w:rsid w:val="006321D9"/>
    <w:rsid w:val="00632664"/>
    <w:rsid w:val="00633031"/>
    <w:rsid w:val="006344FD"/>
    <w:rsid w:val="00634A7D"/>
    <w:rsid w:val="006356A9"/>
    <w:rsid w:val="0063572B"/>
    <w:rsid w:val="00635817"/>
    <w:rsid w:val="00635DC8"/>
    <w:rsid w:val="00636216"/>
    <w:rsid w:val="00636302"/>
    <w:rsid w:val="00637DB1"/>
    <w:rsid w:val="00640657"/>
    <w:rsid w:val="0064108A"/>
    <w:rsid w:val="00641771"/>
    <w:rsid w:val="00641C45"/>
    <w:rsid w:val="00641D36"/>
    <w:rsid w:val="006422BD"/>
    <w:rsid w:val="00642505"/>
    <w:rsid w:val="006433E8"/>
    <w:rsid w:val="00643768"/>
    <w:rsid w:val="0064397F"/>
    <w:rsid w:val="00643C4C"/>
    <w:rsid w:val="00645F50"/>
    <w:rsid w:val="00646D04"/>
    <w:rsid w:val="00647294"/>
    <w:rsid w:val="00650308"/>
    <w:rsid w:val="0065260D"/>
    <w:rsid w:val="006529D3"/>
    <w:rsid w:val="0065302F"/>
    <w:rsid w:val="00653CC7"/>
    <w:rsid w:val="00653F9B"/>
    <w:rsid w:val="006545BB"/>
    <w:rsid w:val="00656F60"/>
    <w:rsid w:val="006577E0"/>
    <w:rsid w:val="00657F2E"/>
    <w:rsid w:val="00661575"/>
    <w:rsid w:val="00662C80"/>
    <w:rsid w:val="00663760"/>
    <w:rsid w:val="00664266"/>
    <w:rsid w:val="00664862"/>
    <w:rsid w:val="0066684B"/>
    <w:rsid w:val="00667019"/>
    <w:rsid w:val="00667CE5"/>
    <w:rsid w:val="0067630A"/>
    <w:rsid w:val="006763C4"/>
    <w:rsid w:val="006764DB"/>
    <w:rsid w:val="00676DF4"/>
    <w:rsid w:val="00683263"/>
    <w:rsid w:val="00684298"/>
    <w:rsid w:val="00684D77"/>
    <w:rsid w:val="00686440"/>
    <w:rsid w:val="00686829"/>
    <w:rsid w:val="00686F51"/>
    <w:rsid w:val="00691939"/>
    <w:rsid w:val="00692207"/>
    <w:rsid w:val="006925F4"/>
    <w:rsid w:val="00695251"/>
    <w:rsid w:val="006971FF"/>
    <w:rsid w:val="0069774B"/>
    <w:rsid w:val="00697A40"/>
    <w:rsid w:val="006A212F"/>
    <w:rsid w:val="006A2711"/>
    <w:rsid w:val="006A3959"/>
    <w:rsid w:val="006A4456"/>
    <w:rsid w:val="006A5582"/>
    <w:rsid w:val="006B0112"/>
    <w:rsid w:val="006B03AB"/>
    <w:rsid w:val="006B18F2"/>
    <w:rsid w:val="006B2A50"/>
    <w:rsid w:val="006B3B56"/>
    <w:rsid w:val="006B4115"/>
    <w:rsid w:val="006B4C5F"/>
    <w:rsid w:val="006B5378"/>
    <w:rsid w:val="006B796C"/>
    <w:rsid w:val="006C0C12"/>
    <w:rsid w:val="006C351A"/>
    <w:rsid w:val="006C35F8"/>
    <w:rsid w:val="006C4B6F"/>
    <w:rsid w:val="006D12D2"/>
    <w:rsid w:val="006D13F2"/>
    <w:rsid w:val="006D2AFD"/>
    <w:rsid w:val="006D2D59"/>
    <w:rsid w:val="006D32EC"/>
    <w:rsid w:val="006D3318"/>
    <w:rsid w:val="006D418D"/>
    <w:rsid w:val="006D4A26"/>
    <w:rsid w:val="006D593E"/>
    <w:rsid w:val="006D63EA"/>
    <w:rsid w:val="006D771F"/>
    <w:rsid w:val="006D77FC"/>
    <w:rsid w:val="006E074C"/>
    <w:rsid w:val="006E21F9"/>
    <w:rsid w:val="006E4044"/>
    <w:rsid w:val="006E5480"/>
    <w:rsid w:val="006F05C1"/>
    <w:rsid w:val="006F123A"/>
    <w:rsid w:val="006F3338"/>
    <w:rsid w:val="006F3377"/>
    <w:rsid w:val="006F5BCC"/>
    <w:rsid w:val="006F5F68"/>
    <w:rsid w:val="006F7623"/>
    <w:rsid w:val="007000F3"/>
    <w:rsid w:val="00700CC6"/>
    <w:rsid w:val="00700DCD"/>
    <w:rsid w:val="00701E16"/>
    <w:rsid w:val="00703E56"/>
    <w:rsid w:val="00704E7E"/>
    <w:rsid w:val="00707B1E"/>
    <w:rsid w:val="007103B4"/>
    <w:rsid w:val="00710E2F"/>
    <w:rsid w:val="007116A5"/>
    <w:rsid w:val="00713F12"/>
    <w:rsid w:val="00714B90"/>
    <w:rsid w:val="0071526A"/>
    <w:rsid w:val="00715F62"/>
    <w:rsid w:val="00716E25"/>
    <w:rsid w:val="007172F8"/>
    <w:rsid w:val="00717797"/>
    <w:rsid w:val="00717C90"/>
    <w:rsid w:val="00721B73"/>
    <w:rsid w:val="0072287F"/>
    <w:rsid w:val="00726223"/>
    <w:rsid w:val="007266DE"/>
    <w:rsid w:val="00727F37"/>
    <w:rsid w:val="0073111E"/>
    <w:rsid w:val="00732B22"/>
    <w:rsid w:val="00732D81"/>
    <w:rsid w:val="00733207"/>
    <w:rsid w:val="007337FE"/>
    <w:rsid w:val="00733C6D"/>
    <w:rsid w:val="00736267"/>
    <w:rsid w:val="00736462"/>
    <w:rsid w:val="00741A8B"/>
    <w:rsid w:val="00742177"/>
    <w:rsid w:val="00745BC5"/>
    <w:rsid w:val="00747486"/>
    <w:rsid w:val="00747897"/>
    <w:rsid w:val="0075291A"/>
    <w:rsid w:val="00753A12"/>
    <w:rsid w:val="00755351"/>
    <w:rsid w:val="007571B1"/>
    <w:rsid w:val="0076066D"/>
    <w:rsid w:val="00760AB5"/>
    <w:rsid w:val="00760C5C"/>
    <w:rsid w:val="00761D66"/>
    <w:rsid w:val="00762BF9"/>
    <w:rsid w:val="00765EA2"/>
    <w:rsid w:val="0076666B"/>
    <w:rsid w:val="007670C2"/>
    <w:rsid w:val="00767D84"/>
    <w:rsid w:val="00767E84"/>
    <w:rsid w:val="0077028A"/>
    <w:rsid w:val="007708C7"/>
    <w:rsid w:val="00770E26"/>
    <w:rsid w:val="007719B3"/>
    <w:rsid w:val="007721ED"/>
    <w:rsid w:val="0077366F"/>
    <w:rsid w:val="00774CD7"/>
    <w:rsid w:val="007752BF"/>
    <w:rsid w:val="0077543E"/>
    <w:rsid w:val="0077550B"/>
    <w:rsid w:val="00780624"/>
    <w:rsid w:val="00782E85"/>
    <w:rsid w:val="00783FE2"/>
    <w:rsid w:val="00784F00"/>
    <w:rsid w:val="007857DD"/>
    <w:rsid w:val="00790A75"/>
    <w:rsid w:val="007911AC"/>
    <w:rsid w:val="00791E54"/>
    <w:rsid w:val="0079211C"/>
    <w:rsid w:val="007941A9"/>
    <w:rsid w:val="007952EF"/>
    <w:rsid w:val="00797120"/>
    <w:rsid w:val="007978FA"/>
    <w:rsid w:val="007A0604"/>
    <w:rsid w:val="007A152B"/>
    <w:rsid w:val="007A276C"/>
    <w:rsid w:val="007A2DA5"/>
    <w:rsid w:val="007A338B"/>
    <w:rsid w:val="007A37DB"/>
    <w:rsid w:val="007A3DDA"/>
    <w:rsid w:val="007B0702"/>
    <w:rsid w:val="007B1334"/>
    <w:rsid w:val="007B170F"/>
    <w:rsid w:val="007B3ECC"/>
    <w:rsid w:val="007B499B"/>
    <w:rsid w:val="007B572E"/>
    <w:rsid w:val="007B5BCF"/>
    <w:rsid w:val="007B724C"/>
    <w:rsid w:val="007C0427"/>
    <w:rsid w:val="007C0EBC"/>
    <w:rsid w:val="007C1AF9"/>
    <w:rsid w:val="007C1EC6"/>
    <w:rsid w:val="007C35C8"/>
    <w:rsid w:val="007C3BA4"/>
    <w:rsid w:val="007C5427"/>
    <w:rsid w:val="007C6508"/>
    <w:rsid w:val="007C6B71"/>
    <w:rsid w:val="007C7293"/>
    <w:rsid w:val="007D104E"/>
    <w:rsid w:val="007D3303"/>
    <w:rsid w:val="007D3A8D"/>
    <w:rsid w:val="007D454A"/>
    <w:rsid w:val="007D488F"/>
    <w:rsid w:val="007D5302"/>
    <w:rsid w:val="007D5C63"/>
    <w:rsid w:val="007E16CA"/>
    <w:rsid w:val="007E1BFE"/>
    <w:rsid w:val="007E2BE2"/>
    <w:rsid w:val="007E3010"/>
    <w:rsid w:val="007E4477"/>
    <w:rsid w:val="007E5730"/>
    <w:rsid w:val="007E66FA"/>
    <w:rsid w:val="007E7029"/>
    <w:rsid w:val="007E7A06"/>
    <w:rsid w:val="007E7FFA"/>
    <w:rsid w:val="007F62C1"/>
    <w:rsid w:val="007F7698"/>
    <w:rsid w:val="007F7944"/>
    <w:rsid w:val="00800369"/>
    <w:rsid w:val="00800476"/>
    <w:rsid w:val="00802D1C"/>
    <w:rsid w:val="00804999"/>
    <w:rsid w:val="00804FFD"/>
    <w:rsid w:val="00805998"/>
    <w:rsid w:val="00805F85"/>
    <w:rsid w:val="008060D8"/>
    <w:rsid w:val="008067D1"/>
    <w:rsid w:val="00806991"/>
    <w:rsid w:val="00806F2E"/>
    <w:rsid w:val="008076F3"/>
    <w:rsid w:val="00807C17"/>
    <w:rsid w:val="00810C38"/>
    <w:rsid w:val="00811868"/>
    <w:rsid w:val="0081207F"/>
    <w:rsid w:val="008135A8"/>
    <w:rsid w:val="00813732"/>
    <w:rsid w:val="00814074"/>
    <w:rsid w:val="00815201"/>
    <w:rsid w:val="0081597F"/>
    <w:rsid w:val="00817716"/>
    <w:rsid w:val="0081797D"/>
    <w:rsid w:val="00820209"/>
    <w:rsid w:val="008211B1"/>
    <w:rsid w:val="008211C5"/>
    <w:rsid w:val="008215D6"/>
    <w:rsid w:val="008256AF"/>
    <w:rsid w:val="00825933"/>
    <w:rsid w:val="00827241"/>
    <w:rsid w:val="00830745"/>
    <w:rsid w:val="008314EC"/>
    <w:rsid w:val="00831FA1"/>
    <w:rsid w:val="0083332C"/>
    <w:rsid w:val="00833927"/>
    <w:rsid w:val="00833CD5"/>
    <w:rsid w:val="0083466A"/>
    <w:rsid w:val="00835E5D"/>
    <w:rsid w:val="00836E8B"/>
    <w:rsid w:val="00844C4B"/>
    <w:rsid w:val="00844F80"/>
    <w:rsid w:val="00846A5A"/>
    <w:rsid w:val="00847E58"/>
    <w:rsid w:val="00850892"/>
    <w:rsid w:val="00851BE3"/>
    <w:rsid w:val="0085265E"/>
    <w:rsid w:val="00852DD8"/>
    <w:rsid w:val="00855027"/>
    <w:rsid w:val="00860FE5"/>
    <w:rsid w:val="00861375"/>
    <w:rsid w:val="008628F6"/>
    <w:rsid w:val="00863C37"/>
    <w:rsid w:val="00866F47"/>
    <w:rsid w:val="0086762C"/>
    <w:rsid w:val="00867E47"/>
    <w:rsid w:val="008708E7"/>
    <w:rsid w:val="00870B43"/>
    <w:rsid w:val="00870B91"/>
    <w:rsid w:val="00870FD0"/>
    <w:rsid w:val="00871AC0"/>
    <w:rsid w:val="00872169"/>
    <w:rsid w:val="00873594"/>
    <w:rsid w:val="00873B23"/>
    <w:rsid w:val="00874E9C"/>
    <w:rsid w:val="00877DD6"/>
    <w:rsid w:val="00880980"/>
    <w:rsid w:val="00881971"/>
    <w:rsid w:val="00886FF8"/>
    <w:rsid w:val="008901BB"/>
    <w:rsid w:val="00891B56"/>
    <w:rsid w:val="00891D0A"/>
    <w:rsid w:val="00892476"/>
    <w:rsid w:val="00893E44"/>
    <w:rsid w:val="008964F3"/>
    <w:rsid w:val="00897436"/>
    <w:rsid w:val="008A0FA3"/>
    <w:rsid w:val="008A1250"/>
    <w:rsid w:val="008A7016"/>
    <w:rsid w:val="008A737C"/>
    <w:rsid w:val="008B4EAD"/>
    <w:rsid w:val="008B52F3"/>
    <w:rsid w:val="008B5466"/>
    <w:rsid w:val="008B5886"/>
    <w:rsid w:val="008B61A5"/>
    <w:rsid w:val="008C3DBB"/>
    <w:rsid w:val="008C48B4"/>
    <w:rsid w:val="008D2849"/>
    <w:rsid w:val="008D405C"/>
    <w:rsid w:val="008D47D9"/>
    <w:rsid w:val="008D6235"/>
    <w:rsid w:val="008D6C8A"/>
    <w:rsid w:val="008D6EA5"/>
    <w:rsid w:val="008D725D"/>
    <w:rsid w:val="008E064D"/>
    <w:rsid w:val="008E0A5C"/>
    <w:rsid w:val="008E167E"/>
    <w:rsid w:val="008E19A3"/>
    <w:rsid w:val="008E1A39"/>
    <w:rsid w:val="008E2A6E"/>
    <w:rsid w:val="008E393D"/>
    <w:rsid w:val="008E3DF9"/>
    <w:rsid w:val="008E4FB7"/>
    <w:rsid w:val="008E5E3C"/>
    <w:rsid w:val="008E65B5"/>
    <w:rsid w:val="008F25CB"/>
    <w:rsid w:val="008F30CC"/>
    <w:rsid w:val="008F36E8"/>
    <w:rsid w:val="008F3DEA"/>
    <w:rsid w:val="008F5695"/>
    <w:rsid w:val="008F7687"/>
    <w:rsid w:val="0090134F"/>
    <w:rsid w:val="009018BB"/>
    <w:rsid w:val="00902357"/>
    <w:rsid w:val="0090345D"/>
    <w:rsid w:val="009037F7"/>
    <w:rsid w:val="00905B21"/>
    <w:rsid w:val="00906177"/>
    <w:rsid w:val="00906380"/>
    <w:rsid w:val="0090769D"/>
    <w:rsid w:val="009101A4"/>
    <w:rsid w:val="0091026A"/>
    <w:rsid w:val="009112BF"/>
    <w:rsid w:val="00911B71"/>
    <w:rsid w:val="009122D9"/>
    <w:rsid w:val="009122EA"/>
    <w:rsid w:val="00912367"/>
    <w:rsid w:val="009129F7"/>
    <w:rsid w:val="00912B42"/>
    <w:rsid w:val="009137DC"/>
    <w:rsid w:val="009143BF"/>
    <w:rsid w:val="00914C79"/>
    <w:rsid w:val="0092067C"/>
    <w:rsid w:val="009212B5"/>
    <w:rsid w:val="0092150E"/>
    <w:rsid w:val="00922CBC"/>
    <w:rsid w:val="009248B5"/>
    <w:rsid w:val="0092521E"/>
    <w:rsid w:val="00925BDB"/>
    <w:rsid w:val="0092652E"/>
    <w:rsid w:val="009271F7"/>
    <w:rsid w:val="00927D67"/>
    <w:rsid w:val="0093113C"/>
    <w:rsid w:val="009317D6"/>
    <w:rsid w:val="00931941"/>
    <w:rsid w:val="00931E10"/>
    <w:rsid w:val="0093240D"/>
    <w:rsid w:val="0093271B"/>
    <w:rsid w:val="00932DF0"/>
    <w:rsid w:val="00935033"/>
    <w:rsid w:val="00936AB6"/>
    <w:rsid w:val="00937B87"/>
    <w:rsid w:val="009401E2"/>
    <w:rsid w:val="00940534"/>
    <w:rsid w:val="0094082A"/>
    <w:rsid w:val="009413B5"/>
    <w:rsid w:val="009414BE"/>
    <w:rsid w:val="00941D78"/>
    <w:rsid w:val="0094221F"/>
    <w:rsid w:val="00942FBA"/>
    <w:rsid w:val="009440FA"/>
    <w:rsid w:val="00944E8A"/>
    <w:rsid w:val="009452D0"/>
    <w:rsid w:val="00947D07"/>
    <w:rsid w:val="009523CE"/>
    <w:rsid w:val="0095279B"/>
    <w:rsid w:val="00952CCB"/>
    <w:rsid w:val="00955D17"/>
    <w:rsid w:val="00956806"/>
    <w:rsid w:val="0095731E"/>
    <w:rsid w:val="00957660"/>
    <w:rsid w:val="00957C34"/>
    <w:rsid w:val="00960341"/>
    <w:rsid w:val="009613B0"/>
    <w:rsid w:val="009618F6"/>
    <w:rsid w:val="00965ADA"/>
    <w:rsid w:val="00966223"/>
    <w:rsid w:val="00967636"/>
    <w:rsid w:val="00967954"/>
    <w:rsid w:val="009709DE"/>
    <w:rsid w:val="009711F9"/>
    <w:rsid w:val="00971565"/>
    <w:rsid w:val="00972111"/>
    <w:rsid w:val="00972B00"/>
    <w:rsid w:val="009734C0"/>
    <w:rsid w:val="009739B8"/>
    <w:rsid w:val="0097405E"/>
    <w:rsid w:val="00974187"/>
    <w:rsid w:val="009751BE"/>
    <w:rsid w:val="0097563B"/>
    <w:rsid w:val="0097563D"/>
    <w:rsid w:val="0097571D"/>
    <w:rsid w:val="0097586A"/>
    <w:rsid w:val="009768D5"/>
    <w:rsid w:val="00976FE6"/>
    <w:rsid w:val="009771E6"/>
    <w:rsid w:val="00977792"/>
    <w:rsid w:val="00980602"/>
    <w:rsid w:val="00981096"/>
    <w:rsid w:val="009817EE"/>
    <w:rsid w:val="009822D0"/>
    <w:rsid w:val="00982AF0"/>
    <w:rsid w:val="00984FBB"/>
    <w:rsid w:val="0098515D"/>
    <w:rsid w:val="00985B01"/>
    <w:rsid w:val="00986657"/>
    <w:rsid w:val="00990224"/>
    <w:rsid w:val="0099171A"/>
    <w:rsid w:val="00991D7E"/>
    <w:rsid w:val="00992082"/>
    <w:rsid w:val="00992A53"/>
    <w:rsid w:val="00992DC0"/>
    <w:rsid w:val="0099342C"/>
    <w:rsid w:val="00993F39"/>
    <w:rsid w:val="009941A7"/>
    <w:rsid w:val="0099421C"/>
    <w:rsid w:val="00995003"/>
    <w:rsid w:val="00995A56"/>
    <w:rsid w:val="0099714D"/>
    <w:rsid w:val="009973F3"/>
    <w:rsid w:val="009A00E2"/>
    <w:rsid w:val="009A0C69"/>
    <w:rsid w:val="009A2BC1"/>
    <w:rsid w:val="009A43E3"/>
    <w:rsid w:val="009A4D2C"/>
    <w:rsid w:val="009A5CCD"/>
    <w:rsid w:val="009A6E8E"/>
    <w:rsid w:val="009B0887"/>
    <w:rsid w:val="009B0A56"/>
    <w:rsid w:val="009B0AB0"/>
    <w:rsid w:val="009B120A"/>
    <w:rsid w:val="009B1CA3"/>
    <w:rsid w:val="009B321D"/>
    <w:rsid w:val="009B34D9"/>
    <w:rsid w:val="009B381C"/>
    <w:rsid w:val="009B6784"/>
    <w:rsid w:val="009B7C15"/>
    <w:rsid w:val="009C0B6E"/>
    <w:rsid w:val="009C132E"/>
    <w:rsid w:val="009C2223"/>
    <w:rsid w:val="009C4AD6"/>
    <w:rsid w:val="009C4FB1"/>
    <w:rsid w:val="009C5249"/>
    <w:rsid w:val="009C5377"/>
    <w:rsid w:val="009C5592"/>
    <w:rsid w:val="009C559F"/>
    <w:rsid w:val="009C5CD1"/>
    <w:rsid w:val="009D037E"/>
    <w:rsid w:val="009D10F3"/>
    <w:rsid w:val="009D15FB"/>
    <w:rsid w:val="009D21E7"/>
    <w:rsid w:val="009D4BA6"/>
    <w:rsid w:val="009D6336"/>
    <w:rsid w:val="009D762D"/>
    <w:rsid w:val="009E35A7"/>
    <w:rsid w:val="009E35FB"/>
    <w:rsid w:val="009E3A3C"/>
    <w:rsid w:val="009E407B"/>
    <w:rsid w:val="009E4478"/>
    <w:rsid w:val="009E4A86"/>
    <w:rsid w:val="009E52E7"/>
    <w:rsid w:val="009E55BC"/>
    <w:rsid w:val="009E5947"/>
    <w:rsid w:val="009E59A8"/>
    <w:rsid w:val="009E5BCB"/>
    <w:rsid w:val="009E622C"/>
    <w:rsid w:val="009E7815"/>
    <w:rsid w:val="009F013D"/>
    <w:rsid w:val="009F0193"/>
    <w:rsid w:val="009F025B"/>
    <w:rsid w:val="009F0526"/>
    <w:rsid w:val="009F06F2"/>
    <w:rsid w:val="009F134F"/>
    <w:rsid w:val="009F14FB"/>
    <w:rsid w:val="009F2364"/>
    <w:rsid w:val="009F2830"/>
    <w:rsid w:val="009F4134"/>
    <w:rsid w:val="009F4AB8"/>
    <w:rsid w:val="009F6163"/>
    <w:rsid w:val="009F6CAB"/>
    <w:rsid w:val="009F7E6C"/>
    <w:rsid w:val="00A00A70"/>
    <w:rsid w:val="00A03525"/>
    <w:rsid w:val="00A03D28"/>
    <w:rsid w:val="00A0444A"/>
    <w:rsid w:val="00A05E09"/>
    <w:rsid w:val="00A070FA"/>
    <w:rsid w:val="00A072E0"/>
    <w:rsid w:val="00A10620"/>
    <w:rsid w:val="00A1091F"/>
    <w:rsid w:val="00A10EA9"/>
    <w:rsid w:val="00A10F76"/>
    <w:rsid w:val="00A11266"/>
    <w:rsid w:val="00A11318"/>
    <w:rsid w:val="00A128B2"/>
    <w:rsid w:val="00A13EA3"/>
    <w:rsid w:val="00A17882"/>
    <w:rsid w:val="00A21FCB"/>
    <w:rsid w:val="00A224B9"/>
    <w:rsid w:val="00A229C7"/>
    <w:rsid w:val="00A241EA"/>
    <w:rsid w:val="00A24F72"/>
    <w:rsid w:val="00A2523A"/>
    <w:rsid w:val="00A25DFC"/>
    <w:rsid w:val="00A262E1"/>
    <w:rsid w:val="00A264A7"/>
    <w:rsid w:val="00A26B53"/>
    <w:rsid w:val="00A26C76"/>
    <w:rsid w:val="00A27614"/>
    <w:rsid w:val="00A27B65"/>
    <w:rsid w:val="00A306DB"/>
    <w:rsid w:val="00A3206D"/>
    <w:rsid w:val="00A325F4"/>
    <w:rsid w:val="00A325F6"/>
    <w:rsid w:val="00A3324C"/>
    <w:rsid w:val="00A34119"/>
    <w:rsid w:val="00A36AA2"/>
    <w:rsid w:val="00A36AAF"/>
    <w:rsid w:val="00A37F5A"/>
    <w:rsid w:val="00A40A2C"/>
    <w:rsid w:val="00A41778"/>
    <w:rsid w:val="00A419BD"/>
    <w:rsid w:val="00A41CDF"/>
    <w:rsid w:val="00A42294"/>
    <w:rsid w:val="00A42295"/>
    <w:rsid w:val="00A42D3D"/>
    <w:rsid w:val="00A43030"/>
    <w:rsid w:val="00A43223"/>
    <w:rsid w:val="00A43F54"/>
    <w:rsid w:val="00A443CE"/>
    <w:rsid w:val="00A4638B"/>
    <w:rsid w:val="00A46424"/>
    <w:rsid w:val="00A50E85"/>
    <w:rsid w:val="00A5102E"/>
    <w:rsid w:val="00A532FD"/>
    <w:rsid w:val="00A534C2"/>
    <w:rsid w:val="00A54D6F"/>
    <w:rsid w:val="00A55861"/>
    <w:rsid w:val="00A55B64"/>
    <w:rsid w:val="00A578E7"/>
    <w:rsid w:val="00A57A05"/>
    <w:rsid w:val="00A60EFC"/>
    <w:rsid w:val="00A623BA"/>
    <w:rsid w:val="00A624EC"/>
    <w:rsid w:val="00A625E7"/>
    <w:rsid w:val="00A63105"/>
    <w:rsid w:val="00A644E7"/>
    <w:rsid w:val="00A65492"/>
    <w:rsid w:val="00A713E8"/>
    <w:rsid w:val="00A71BC4"/>
    <w:rsid w:val="00A71DD1"/>
    <w:rsid w:val="00A73180"/>
    <w:rsid w:val="00A732CC"/>
    <w:rsid w:val="00A74A49"/>
    <w:rsid w:val="00A74D7E"/>
    <w:rsid w:val="00A763B0"/>
    <w:rsid w:val="00A77629"/>
    <w:rsid w:val="00A836C0"/>
    <w:rsid w:val="00A83770"/>
    <w:rsid w:val="00A84941"/>
    <w:rsid w:val="00A85093"/>
    <w:rsid w:val="00A86E95"/>
    <w:rsid w:val="00A87A82"/>
    <w:rsid w:val="00A87D68"/>
    <w:rsid w:val="00A904EB"/>
    <w:rsid w:val="00A91DB0"/>
    <w:rsid w:val="00A92021"/>
    <w:rsid w:val="00A92E47"/>
    <w:rsid w:val="00A951BE"/>
    <w:rsid w:val="00A95371"/>
    <w:rsid w:val="00A96014"/>
    <w:rsid w:val="00A96FC7"/>
    <w:rsid w:val="00A970CE"/>
    <w:rsid w:val="00A976E3"/>
    <w:rsid w:val="00A97DFA"/>
    <w:rsid w:val="00AA0F6B"/>
    <w:rsid w:val="00AA1067"/>
    <w:rsid w:val="00AA116D"/>
    <w:rsid w:val="00AA1627"/>
    <w:rsid w:val="00AA1DB9"/>
    <w:rsid w:val="00AA205E"/>
    <w:rsid w:val="00AA2464"/>
    <w:rsid w:val="00AA261E"/>
    <w:rsid w:val="00AA2734"/>
    <w:rsid w:val="00AA4415"/>
    <w:rsid w:val="00AA478B"/>
    <w:rsid w:val="00AA5228"/>
    <w:rsid w:val="00AA59B8"/>
    <w:rsid w:val="00AA5B96"/>
    <w:rsid w:val="00AA5E5D"/>
    <w:rsid w:val="00AB102D"/>
    <w:rsid w:val="00AB16D5"/>
    <w:rsid w:val="00AB1925"/>
    <w:rsid w:val="00AB26ED"/>
    <w:rsid w:val="00AB2A67"/>
    <w:rsid w:val="00AB5835"/>
    <w:rsid w:val="00AB5AAE"/>
    <w:rsid w:val="00AB6242"/>
    <w:rsid w:val="00AB6D8F"/>
    <w:rsid w:val="00AB736F"/>
    <w:rsid w:val="00AB76F2"/>
    <w:rsid w:val="00AB7C2B"/>
    <w:rsid w:val="00AC293B"/>
    <w:rsid w:val="00AC4140"/>
    <w:rsid w:val="00AC5835"/>
    <w:rsid w:val="00AD06F9"/>
    <w:rsid w:val="00AD0D8B"/>
    <w:rsid w:val="00AD0F6F"/>
    <w:rsid w:val="00AD22FD"/>
    <w:rsid w:val="00AD416F"/>
    <w:rsid w:val="00AD5CA9"/>
    <w:rsid w:val="00AD6368"/>
    <w:rsid w:val="00AD6AAE"/>
    <w:rsid w:val="00AD6B94"/>
    <w:rsid w:val="00AD6FE2"/>
    <w:rsid w:val="00AD7D24"/>
    <w:rsid w:val="00AE0E3B"/>
    <w:rsid w:val="00AE241C"/>
    <w:rsid w:val="00AE3E39"/>
    <w:rsid w:val="00AE4D67"/>
    <w:rsid w:val="00AE6081"/>
    <w:rsid w:val="00AE63BE"/>
    <w:rsid w:val="00AE6940"/>
    <w:rsid w:val="00AE718E"/>
    <w:rsid w:val="00AF0EF9"/>
    <w:rsid w:val="00AF147F"/>
    <w:rsid w:val="00AF17F2"/>
    <w:rsid w:val="00AF1B6D"/>
    <w:rsid w:val="00AF1B96"/>
    <w:rsid w:val="00AF35D1"/>
    <w:rsid w:val="00AF3A57"/>
    <w:rsid w:val="00AF4014"/>
    <w:rsid w:val="00AF409B"/>
    <w:rsid w:val="00AF4787"/>
    <w:rsid w:val="00AF47D4"/>
    <w:rsid w:val="00AF4E06"/>
    <w:rsid w:val="00AF565C"/>
    <w:rsid w:val="00AF5822"/>
    <w:rsid w:val="00AF6BE7"/>
    <w:rsid w:val="00AF7C3D"/>
    <w:rsid w:val="00B01C99"/>
    <w:rsid w:val="00B04073"/>
    <w:rsid w:val="00B05C93"/>
    <w:rsid w:val="00B0789F"/>
    <w:rsid w:val="00B10573"/>
    <w:rsid w:val="00B1090B"/>
    <w:rsid w:val="00B11715"/>
    <w:rsid w:val="00B120EF"/>
    <w:rsid w:val="00B12554"/>
    <w:rsid w:val="00B1260D"/>
    <w:rsid w:val="00B1455E"/>
    <w:rsid w:val="00B15328"/>
    <w:rsid w:val="00B15541"/>
    <w:rsid w:val="00B15CDD"/>
    <w:rsid w:val="00B164E2"/>
    <w:rsid w:val="00B1672F"/>
    <w:rsid w:val="00B16922"/>
    <w:rsid w:val="00B173BA"/>
    <w:rsid w:val="00B207DD"/>
    <w:rsid w:val="00B20849"/>
    <w:rsid w:val="00B20C02"/>
    <w:rsid w:val="00B20FEA"/>
    <w:rsid w:val="00B2179C"/>
    <w:rsid w:val="00B22AA2"/>
    <w:rsid w:val="00B2319B"/>
    <w:rsid w:val="00B233F7"/>
    <w:rsid w:val="00B236BF"/>
    <w:rsid w:val="00B23A4E"/>
    <w:rsid w:val="00B23F6A"/>
    <w:rsid w:val="00B2524E"/>
    <w:rsid w:val="00B30F2C"/>
    <w:rsid w:val="00B320BE"/>
    <w:rsid w:val="00B32313"/>
    <w:rsid w:val="00B32B2C"/>
    <w:rsid w:val="00B33EAD"/>
    <w:rsid w:val="00B35053"/>
    <w:rsid w:val="00B36602"/>
    <w:rsid w:val="00B36868"/>
    <w:rsid w:val="00B36E14"/>
    <w:rsid w:val="00B3719B"/>
    <w:rsid w:val="00B40A97"/>
    <w:rsid w:val="00B416D9"/>
    <w:rsid w:val="00B42248"/>
    <w:rsid w:val="00B42B72"/>
    <w:rsid w:val="00B44273"/>
    <w:rsid w:val="00B45166"/>
    <w:rsid w:val="00B4672D"/>
    <w:rsid w:val="00B47E2F"/>
    <w:rsid w:val="00B51E87"/>
    <w:rsid w:val="00B535D8"/>
    <w:rsid w:val="00B54346"/>
    <w:rsid w:val="00B54B2C"/>
    <w:rsid w:val="00B56211"/>
    <w:rsid w:val="00B601F4"/>
    <w:rsid w:val="00B60F59"/>
    <w:rsid w:val="00B61C83"/>
    <w:rsid w:val="00B62EC3"/>
    <w:rsid w:val="00B635D5"/>
    <w:rsid w:val="00B64D4D"/>
    <w:rsid w:val="00B64E38"/>
    <w:rsid w:val="00B664D0"/>
    <w:rsid w:val="00B66553"/>
    <w:rsid w:val="00B678E1"/>
    <w:rsid w:val="00B67AB0"/>
    <w:rsid w:val="00B67D84"/>
    <w:rsid w:val="00B72AD1"/>
    <w:rsid w:val="00B7399D"/>
    <w:rsid w:val="00B76316"/>
    <w:rsid w:val="00B816C2"/>
    <w:rsid w:val="00B8240C"/>
    <w:rsid w:val="00B82654"/>
    <w:rsid w:val="00B82FB9"/>
    <w:rsid w:val="00B850ED"/>
    <w:rsid w:val="00B8542C"/>
    <w:rsid w:val="00B866FF"/>
    <w:rsid w:val="00B86DB8"/>
    <w:rsid w:val="00B90256"/>
    <w:rsid w:val="00B906F1"/>
    <w:rsid w:val="00B92376"/>
    <w:rsid w:val="00B93EE1"/>
    <w:rsid w:val="00B94ECA"/>
    <w:rsid w:val="00B9721A"/>
    <w:rsid w:val="00BA10F4"/>
    <w:rsid w:val="00BA283F"/>
    <w:rsid w:val="00BA3579"/>
    <w:rsid w:val="00BA50C1"/>
    <w:rsid w:val="00BA5E3C"/>
    <w:rsid w:val="00BA630D"/>
    <w:rsid w:val="00BB263D"/>
    <w:rsid w:val="00BB3415"/>
    <w:rsid w:val="00BB34A6"/>
    <w:rsid w:val="00BB44F9"/>
    <w:rsid w:val="00BB5F0A"/>
    <w:rsid w:val="00BB78A4"/>
    <w:rsid w:val="00BB7C3E"/>
    <w:rsid w:val="00BC16B9"/>
    <w:rsid w:val="00BC234F"/>
    <w:rsid w:val="00BC38BC"/>
    <w:rsid w:val="00BC48A9"/>
    <w:rsid w:val="00BC4ED9"/>
    <w:rsid w:val="00BC53FB"/>
    <w:rsid w:val="00BC6AC0"/>
    <w:rsid w:val="00BD057F"/>
    <w:rsid w:val="00BD0852"/>
    <w:rsid w:val="00BD08D2"/>
    <w:rsid w:val="00BD540A"/>
    <w:rsid w:val="00BD5E60"/>
    <w:rsid w:val="00BD764F"/>
    <w:rsid w:val="00BD7C9F"/>
    <w:rsid w:val="00BE08AB"/>
    <w:rsid w:val="00BE1116"/>
    <w:rsid w:val="00BE4106"/>
    <w:rsid w:val="00BE44CA"/>
    <w:rsid w:val="00BE70C6"/>
    <w:rsid w:val="00BF15CF"/>
    <w:rsid w:val="00BF3546"/>
    <w:rsid w:val="00BF3F5B"/>
    <w:rsid w:val="00BF3FE5"/>
    <w:rsid w:val="00BF4080"/>
    <w:rsid w:val="00BF4E8E"/>
    <w:rsid w:val="00BF5286"/>
    <w:rsid w:val="00BF52A5"/>
    <w:rsid w:val="00BF6E1F"/>
    <w:rsid w:val="00BF7851"/>
    <w:rsid w:val="00C02250"/>
    <w:rsid w:val="00C023E3"/>
    <w:rsid w:val="00C0397A"/>
    <w:rsid w:val="00C04AA8"/>
    <w:rsid w:val="00C05D2B"/>
    <w:rsid w:val="00C075C3"/>
    <w:rsid w:val="00C07E40"/>
    <w:rsid w:val="00C107DE"/>
    <w:rsid w:val="00C108B8"/>
    <w:rsid w:val="00C1098A"/>
    <w:rsid w:val="00C12411"/>
    <w:rsid w:val="00C17598"/>
    <w:rsid w:val="00C201E6"/>
    <w:rsid w:val="00C2121E"/>
    <w:rsid w:val="00C2185F"/>
    <w:rsid w:val="00C21F15"/>
    <w:rsid w:val="00C22A63"/>
    <w:rsid w:val="00C24B16"/>
    <w:rsid w:val="00C24CAD"/>
    <w:rsid w:val="00C24D09"/>
    <w:rsid w:val="00C2528A"/>
    <w:rsid w:val="00C252D0"/>
    <w:rsid w:val="00C258DC"/>
    <w:rsid w:val="00C25F23"/>
    <w:rsid w:val="00C2613F"/>
    <w:rsid w:val="00C26AFE"/>
    <w:rsid w:val="00C27F51"/>
    <w:rsid w:val="00C30111"/>
    <w:rsid w:val="00C30123"/>
    <w:rsid w:val="00C31994"/>
    <w:rsid w:val="00C321C3"/>
    <w:rsid w:val="00C3600A"/>
    <w:rsid w:val="00C367FE"/>
    <w:rsid w:val="00C368FD"/>
    <w:rsid w:val="00C37A3D"/>
    <w:rsid w:val="00C40396"/>
    <w:rsid w:val="00C4129E"/>
    <w:rsid w:val="00C4192F"/>
    <w:rsid w:val="00C41C82"/>
    <w:rsid w:val="00C4289C"/>
    <w:rsid w:val="00C43361"/>
    <w:rsid w:val="00C43D68"/>
    <w:rsid w:val="00C4609E"/>
    <w:rsid w:val="00C47F38"/>
    <w:rsid w:val="00C50BE4"/>
    <w:rsid w:val="00C50DB3"/>
    <w:rsid w:val="00C533FC"/>
    <w:rsid w:val="00C53854"/>
    <w:rsid w:val="00C54292"/>
    <w:rsid w:val="00C54423"/>
    <w:rsid w:val="00C54477"/>
    <w:rsid w:val="00C54B10"/>
    <w:rsid w:val="00C54BC9"/>
    <w:rsid w:val="00C55579"/>
    <w:rsid w:val="00C55D94"/>
    <w:rsid w:val="00C57F98"/>
    <w:rsid w:val="00C616AE"/>
    <w:rsid w:val="00C63A48"/>
    <w:rsid w:val="00C64A1B"/>
    <w:rsid w:val="00C66D88"/>
    <w:rsid w:val="00C66F57"/>
    <w:rsid w:val="00C67E86"/>
    <w:rsid w:val="00C70638"/>
    <w:rsid w:val="00C71211"/>
    <w:rsid w:val="00C7237A"/>
    <w:rsid w:val="00C72900"/>
    <w:rsid w:val="00C73F60"/>
    <w:rsid w:val="00C74C72"/>
    <w:rsid w:val="00C75137"/>
    <w:rsid w:val="00C76633"/>
    <w:rsid w:val="00C77929"/>
    <w:rsid w:val="00C77A43"/>
    <w:rsid w:val="00C77CA1"/>
    <w:rsid w:val="00C80747"/>
    <w:rsid w:val="00C818CE"/>
    <w:rsid w:val="00C8194B"/>
    <w:rsid w:val="00C820DD"/>
    <w:rsid w:val="00C82128"/>
    <w:rsid w:val="00C82716"/>
    <w:rsid w:val="00C83E0D"/>
    <w:rsid w:val="00C83E2F"/>
    <w:rsid w:val="00C84238"/>
    <w:rsid w:val="00C864C7"/>
    <w:rsid w:val="00C908A8"/>
    <w:rsid w:val="00C9117A"/>
    <w:rsid w:val="00C91DB6"/>
    <w:rsid w:val="00C92A93"/>
    <w:rsid w:val="00C93D70"/>
    <w:rsid w:val="00C96377"/>
    <w:rsid w:val="00CA1273"/>
    <w:rsid w:val="00CA1339"/>
    <w:rsid w:val="00CA172B"/>
    <w:rsid w:val="00CA2091"/>
    <w:rsid w:val="00CA2675"/>
    <w:rsid w:val="00CA3CAE"/>
    <w:rsid w:val="00CA4054"/>
    <w:rsid w:val="00CA41F6"/>
    <w:rsid w:val="00CA45FB"/>
    <w:rsid w:val="00CA4962"/>
    <w:rsid w:val="00CA580A"/>
    <w:rsid w:val="00CA6BFF"/>
    <w:rsid w:val="00CA6F43"/>
    <w:rsid w:val="00CA779E"/>
    <w:rsid w:val="00CB122A"/>
    <w:rsid w:val="00CB17D6"/>
    <w:rsid w:val="00CB1BB9"/>
    <w:rsid w:val="00CB1CC5"/>
    <w:rsid w:val="00CB1FBA"/>
    <w:rsid w:val="00CB3174"/>
    <w:rsid w:val="00CB3AEB"/>
    <w:rsid w:val="00CB5258"/>
    <w:rsid w:val="00CB6D75"/>
    <w:rsid w:val="00CB7DFB"/>
    <w:rsid w:val="00CC0D86"/>
    <w:rsid w:val="00CC0E8E"/>
    <w:rsid w:val="00CC28E3"/>
    <w:rsid w:val="00CC4BD0"/>
    <w:rsid w:val="00CC504E"/>
    <w:rsid w:val="00CC5095"/>
    <w:rsid w:val="00CC64A7"/>
    <w:rsid w:val="00CD04AF"/>
    <w:rsid w:val="00CD27A5"/>
    <w:rsid w:val="00CD48D2"/>
    <w:rsid w:val="00CD4EC9"/>
    <w:rsid w:val="00CD6EF7"/>
    <w:rsid w:val="00CE2BAC"/>
    <w:rsid w:val="00CE2CDF"/>
    <w:rsid w:val="00CE4758"/>
    <w:rsid w:val="00CE53A1"/>
    <w:rsid w:val="00CE5CD9"/>
    <w:rsid w:val="00CE7154"/>
    <w:rsid w:val="00CE7719"/>
    <w:rsid w:val="00CE7E8A"/>
    <w:rsid w:val="00CF0677"/>
    <w:rsid w:val="00CF09B7"/>
    <w:rsid w:val="00CF1396"/>
    <w:rsid w:val="00CF1665"/>
    <w:rsid w:val="00CF168D"/>
    <w:rsid w:val="00CF289F"/>
    <w:rsid w:val="00CF3D74"/>
    <w:rsid w:val="00CF4501"/>
    <w:rsid w:val="00CF4A1C"/>
    <w:rsid w:val="00CF597B"/>
    <w:rsid w:val="00CF78D9"/>
    <w:rsid w:val="00D01382"/>
    <w:rsid w:val="00D01A2D"/>
    <w:rsid w:val="00D02C57"/>
    <w:rsid w:val="00D03BA6"/>
    <w:rsid w:val="00D04431"/>
    <w:rsid w:val="00D062BE"/>
    <w:rsid w:val="00D06770"/>
    <w:rsid w:val="00D06824"/>
    <w:rsid w:val="00D06BD7"/>
    <w:rsid w:val="00D07082"/>
    <w:rsid w:val="00D07F5A"/>
    <w:rsid w:val="00D106DF"/>
    <w:rsid w:val="00D10B28"/>
    <w:rsid w:val="00D11006"/>
    <w:rsid w:val="00D1142E"/>
    <w:rsid w:val="00D12A85"/>
    <w:rsid w:val="00D135B0"/>
    <w:rsid w:val="00D13F2D"/>
    <w:rsid w:val="00D1497B"/>
    <w:rsid w:val="00D15E32"/>
    <w:rsid w:val="00D17A89"/>
    <w:rsid w:val="00D20A24"/>
    <w:rsid w:val="00D20FFB"/>
    <w:rsid w:val="00D221BF"/>
    <w:rsid w:val="00D22F89"/>
    <w:rsid w:val="00D23314"/>
    <w:rsid w:val="00D23B13"/>
    <w:rsid w:val="00D243B4"/>
    <w:rsid w:val="00D25F25"/>
    <w:rsid w:val="00D25F43"/>
    <w:rsid w:val="00D261D3"/>
    <w:rsid w:val="00D26C08"/>
    <w:rsid w:val="00D26D00"/>
    <w:rsid w:val="00D274EF"/>
    <w:rsid w:val="00D31F50"/>
    <w:rsid w:val="00D34DA6"/>
    <w:rsid w:val="00D355AC"/>
    <w:rsid w:val="00D3699F"/>
    <w:rsid w:val="00D4018D"/>
    <w:rsid w:val="00D40443"/>
    <w:rsid w:val="00D41AEB"/>
    <w:rsid w:val="00D43BA0"/>
    <w:rsid w:val="00D45FF9"/>
    <w:rsid w:val="00D46B1A"/>
    <w:rsid w:val="00D46B55"/>
    <w:rsid w:val="00D47A39"/>
    <w:rsid w:val="00D510CD"/>
    <w:rsid w:val="00D52645"/>
    <w:rsid w:val="00D53ED5"/>
    <w:rsid w:val="00D53F17"/>
    <w:rsid w:val="00D545FB"/>
    <w:rsid w:val="00D54A70"/>
    <w:rsid w:val="00D562E3"/>
    <w:rsid w:val="00D576F8"/>
    <w:rsid w:val="00D57B8E"/>
    <w:rsid w:val="00D57E5D"/>
    <w:rsid w:val="00D62F6C"/>
    <w:rsid w:val="00D64938"/>
    <w:rsid w:val="00D65EFF"/>
    <w:rsid w:val="00D72482"/>
    <w:rsid w:val="00D73048"/>
    <w:rsid w:val="00D73269"/>
    <w:rsid w:val="00D73E79"/>
    <w:rsid w:val="00D74532"/>
    <w:rsid w:val="00D749FB"/>
    <w:rsid w:val="00D751D4"/>
    <w:rsid w:val="00D75BDD"/>
    <w:rsid w:val="00D76190"/>
    <w:rsid w:val="00D76D06"/>
    <w:rsid w:val="00D7720A"/>
    <w:rsid w:val="00D77E7C"/>
    <w:rsid w:val="00D817A4"/>
    <w:rsid w:val="00D81AE0"/>
    <w:rsid w:val="00D82222"/>
    <w:rsid w:val="00D8411B"/>
    <w:rsid w:val="00D845D5"/>
    <w:rsid w:val="00D8475C"/>
    <w:rsid w:val="00D86177"/>
    <w:rsid w:val="00D8678C"/>
    <w:rsid w:val="00D86858"/>
    <w:rsid w:val="00D86C54"/>
    <w:rsid w:val="00D90B1B"/>
    <w:rsid w:val="00D91552"/>
    <w:rsid w:val="00D92232"/>
    <w:rsid w:val="00D922B5"/>
    <w:rsid w:val="00D92B81"/>
    <w:rsid w:val="00DA0195"/>
    <w:rsid w:val="00DB0B31"/>
    <w:rsid w:val="00DB13A7"/>
    <w:rsid w:val="00DB172E"/>
    <w:rsid w:val="00DB1C3B"/>
    <w:rsid w:val="00DB1F1A"/>
    <w:rsid w:val="00DB5123"/>
    <w:rsid w:val="00DB75A1"/>
    <w:rsid w:val="00DC0AC9"/>
    <w:rsid w:val="00DC2409"/>
    <w:rsid w:val="00DC4F2B"/>
    <w:rsid w:val="00DC64D8"/>
    <w:rsid w:val="00DC7869"/>
    <w:rsid w:val="00DD05B3"/>
    <w:rsid w:val="00DD0616"/>
    <w:rsid w:val="00DD0D0A"/>
    <w:rsid w:val="00DD24C4"/>
    <w:rsid w:val="00DD3461"/>
    <w:rsid w:val="00DD498B"/>
    <w:rsid w:val="00DD6611"/>
    <w:rsid w:val="00DE2481"/>
    <w:rsid w:val="00DE2A9E"/>
    <w:rsid w:val="00DE3F44"/>
    <w:rsid w:val="00DE4CA5"/>
    <w:rsid w:val="00DE5035"/>
    <w:rsid w:val="00DE6BED"/>
    <w:rsid w:val="00DF0113"/>
    <w:rsid w:val="00DF01B2"/>
    <w:rsid w:val="00DF1427"/>
    <w:rsid w:val="00DF1617"/>
    <w:rsid w:val="00DF3057"/>
    <w:rsid w:val="00DF3D05"/>
    <w:rsid w:val="00DF5375"/>
    <w:rsid w:val="00DF6BA7"/>
    <w:rsid w:val="00DF6E78"/>
    <w:rsid w:val="00DF6F04"/>
    <w:rsid w:val="00DF7A4C"/>
    <w:rsid w:val="00E002B6"/>
    <w:rsid w:val="00E03107"/>
    <w:rsid w:val="00E0440B"/>
    <w:rsid w:val="00E05648"/>
    <w:rsid w:val="00E0599A"/>
    <w:rsid w:val="00E07143"/>
    <w:rsid w:val="00E10183"/>
    <w:rsid w:val="00E162C2"/>
    <w:rsid w:val="00E1655A"/>
    <w:rsid w:val="00E16717"/>
    <w:rsid w:val="00E16F60"/>
    <w:rsid w:val="00E1758F"/>
    <w:rsid w:val="00E206AB"/>
    <w:rsid w:val="00E21703"/>
    <w:rsid w:val="00E21DBE"/>
    <w:rsid w:val="00E22149"/>
    <w:rsid w:val="00E23D4A"/>
    <w:rsid w:val="00E24DAB"/>
    <w:rsid w:val="00E266F9"/>
    <w:rsid w:val="00E317C6"/>
    <w:rsid w:val="00E3181B"/>
    <w:rsid w:val="00E32C2F"/>
    <w:rsid w:val="00E32DE3"/>
    <w:rsid w:val="00E3414A"/>
    <w:rsid w:val="00E3588F"/>
    <w:rsid w:val="00E35892"/>
    <w:rsid w:val="00E35F96"/>
    <w:rsid w:val="00E40493"/>
    <w:rsid w:val="00E40D8A"/>
    <w:rsid w:val="00E41B3E"/>
    <w:rsid w:val="00E434A3"/>
    <w:rsid w:val="00E437BC"/>
    <w:rsid w:val="00E43DEC"/>
    <w:rsid w:val="00E443BF"/>
    <w:rsid w:val="00E44A5D"/>
    <w:rsid w:val="00E44DC0"/>
    <w:rsid w:val="00E45A7A"/>
    <w:rsid w:val="00E50905"/>
    <w:rsid w:val="00E50FF1"/>
    <w:rsid w:val="00E51569"/>
    <w:rsid w:val="00E51E82"/>
    <w:rsid w:val="00E536A2"/>
    <w:rsid w:val="00E549F2"/>
    <w:rsid w:val="00E54B0B"/>
    <w:rsid w:val="00E55B47"/>
    <w:rsid w:val="00E5784B"/>
    <w:rsid w:val="00E608A3"/>
    <w:rsid w:val="00E61B3D"/>
    <w:rsid w:val="00E629FB"/>
    <w:rsid w:val="00E62C95"/>
    <w:rsid w:val="00E62D8F"/>
    <w:rsid w:val="00E64471"/>
    <w:rsid w:val="00E64768"/>
    <w:rsid w:val="00E65A0A"/>
    <w:rsid w:val="00E67258"/>
    <w:rsid w:val="00E711F0"/>
    <w:rsid w:val="00E73ADC"/>
    <w:rsid w:val="00E7589A"/>
    <w:rsid w:val="00E75B50"/>
    <w:rsid w:val="00E75DE9"/>
    <w:rsid w:val="00E75F72"/>
    <w:rsid w:val="00E76EC1"/>
    <w:rsid w:val="00E7756C"/>
    <w:rsid w:val="00E81ECF"/>
    <w:rsid w:val="00E828F9"/>
    <w:rsid w:val="00E82E46"/>
    <w:rsid w:val="00E83DDF"/>
    <w:rsid w:val="00E84E23"/>
    <w:rsid w:val="00E8528C"/>
    <w:rsid w:val="00E85E82"/>
    <w:rsid w:val="00E86C36"/>
    <w:rsid w:val="00E9036A"/>
    <w:rsid w:val="00E90A38"/>
    <w:rsid w:val="00E9160F"/>
    <w:rsid w:val="00E91639"/>
    <w:rsid w:val="00E9318D"/>
    <w:rsid w:val="00E97D90"/>
    <w:rsid w:val="00EA082A"/>
    <w:rsid w:val="00EA25A5"/>
    <w:rsid w:val="00EA2F2C"/>
    <w:rsid w:val="00EA7806"/>
    <w:rsid w:val="00EA7985"/>
    <w:rsid w:val="00EB01A6"/>
    <w:rsid w:val="00EB0580"/>
    <w:rsid w:val="00EB1011"/>
    <w:rsid w:val="00EB2FA1"/>
    <w:rsid w:val="00EB3A54"/>
    <w:rsid w:val="00EB48A3"/>
    <w:rsid w:val="00EB4DB6"/>
    <w:rsid w:val="00EB5170"/>
    <w:rsid w:val="00EB51B2"/>
    <w:rsid w:val="00EB718E"/>
    <w:rsid w:val="00EB775C"/>
    <w:rsid w:val="00EB7B08"/>
    <w:rsid w:val="00EC11FD"/>
    <w:rsid w:val="00EC1494"/>
    <w:rsid w:val="00EC158F"/>
    <w:rsid w:val="00EC3092"/>
    <w:rsid w:val="00EC33D5"/>
    <w:rsid w:val="00EC3443"/>
    <w:rsid w:val="00EC492B"/>
    <w:rsid w:val="00EC54BF"/>
    <w:rsid w:val="00EC5EED"/>
    <w:rsid w:val="00EC7515"/>
    <w:rsid w:val="00ED117B"/>
    <w:rsid w:val="00ED1D69"/>
    <w:rsid w:val="00ED2289"/>
    <w:rsid w:val="00ED2EC1"/>
    <w:rsid w:val="00ED6F23"/>
    <w:rsid w:val="00ED7510"/>
    <w:rsid w:val="00EE0E06"/>
    <w:rsid w:val="00EE152D"/>
    <w:rsid w:val="00EE25BC"/>
    <w:rsid w:val="00EE2875"/>
    <w:rsid w:val="00EE287A"/>
    <w:rsid w:val="00EE2EA1"/>
    <w:rsid w:val="00EE3D10"/>
    <w:rsid w:val="00EE466A"/>
    <w:rsid w:val="00EE48E9"/>
    <w:rsid w:val="00EE4EF3"/>
    <w:rsid w:val="00EE61AE"/>
    <w:rsid w:val="00EE7443"/>
    <w:rsid w:val="00EE7E2A"/>
    <w:rsid w:val="00EF087B"/>
    <w:rsid w:val="00EF0D43"/>
    <w:rsid w:val="00EF0FE3"/>
    <w:rsid w:val="00EF35BD"/>
    <w:rsid w:val="00EF47C8"/>
    <w:rsid w:val="00EF4EA3"/>
    <w:rsid w:val="00EF662C"/>
    <w:rsid w:val="00F000BA"/>
    <w:rsid w:val="00F020A7"/>
    <w:rsid w:val="00F03716"/>
    <w:rsid w:val="00F042FB"/>
    <w:rsid w:val="00F106CB"/>
    <w:rsid w:val="00F10708"/>
    <w:rsid w:val="00F10CCA"/>
    <w:rsid w:val="00F10E9D"/>
    <w:rsid w:val="00F12514"/>
    <w:rsid w:val="00F1257F"/>
    <w:rsid w:val="00F136A2"/>
    <w:rsid w:val="00F15F0A"/>
    <w:rsid w:val="00F171BE"/>
    <w:rsid w:val="00F173AB"/>
    <w:rsid w:val="00F22964"/>
    <w:rsid w:val="00F2351A"/>
    <w:rsid w:val="00F2380A"/>
    <w:rsid w:val="00F23E85"/>
    <w:rsid w:val="00F24EC5"/>
    <w:rsid w:val="00F25E68"/>
    <w:rsid w:val="00F2766B"/>
    <w:rsid w:val="00F30919"/>
    <w:rsid w:val="00F31C38"/>
    <w:rsid w:val="00F3204F"/>
    <w:rsid w:val="00F32BB8"/>
    <w:rsid w:val="00F32C8A"/>
    <w:rsid w:val="00F3383B"/>
    <w:rsid w:val="00F338B5"/>
    <w:rsid w:val="00F339BF"/>
    <w:rsid w:val="00F34DB6"/>
    <w:rsid w:val="00F34E1B"/>
    <w:rsid w:val="00F363C0"/>
    <w:rsid w:val="00F370D4"/>
    <w:rsid w:val="00F42052"/>
    <w:rsid w:val="00F42287"/>
    <w:rsid w:val="00F42294"/>
    <w:rsid w:val="00F42513"/>
    <w:rsid w:val="00F457D3"/>
    <w:rsid w:val="00F467EF"/>
    <w:rsid w:val="00F4766D"/>
    <w:rsid w:val="00F52372"/>
    <w:rsid w:val="00F525A4"/>
    <w:rsid w:val="00F532F8"/>
    <w:rsid w:val="00F536EE"/>
    <w:rsid w:val="00F53940"/>
    <w:rsid w:val="00F539CB"/>
    <w:rsid w:val="00F54055"/>
    <w:rsid w:val="00F550AE"/>
    <w:rsid w:val="00F6004B"/>
    <w:rsid w:val="00F60609"/>
    <w:rsid w:val="00F613D4"/>
    <w:rsid w:val="00F62363"/>
    <w:rsid w:val="00F626C3"/>
    <w:rsid w:val="00F65D1F"/>
    <w:rsid w:val="00F6724D"/>
    <w:rsid w:val="00F67D1F"/>
    <w:rsid w:val="00F703B9"/>
    <w:rsid w:val="00F705D2"/>
    <w:rsid w:val="00F7062F"/>
    <w:rsid w:val="00F71098"/>
    <w:rsid w:val="00F72DDF"/>
    <w:rsid w:val="00F753E8"/>
    <w:rsid w:val="00F75EB8"/>
    <w:rsid w:val="00F775C4"/>
    <w:rsid w:val="00F80D35"/>
    <w:rsid w:val="00F80DFD"/>
    <w:rsid w:val="00F829B9"/>
    <w:rsid w:val="00F82EB8"/>
    <w:rsid w:val="00F83D38"/>
    <w:rsid w:val="00F84BF9"/>
    <w:rsid w:val="00F855A8"/>
    <w:rsid w:val="00F864B1"/>
    <w:rsid w:val="00F874A8"/>
    <w:rsid w:val="00F87864"/>
    <w:rsid w:val="00F92A4F"/>
    <w:rsid w:val="00F92AC1"/>
    <w:rsid w:val="00F9398C"/>
    <w:rsid w:val="00F943E5"/>
    <w:rsid w:val="00F9485A"/>
    <w:rsid w:val="00F95C02"/>
    <w:rsid w:val="00F960C2"/>
    <w:rsid w:val="00F961C6"/>
    <w:rsid w:val="00F974DD"/>
    <w:rsid w:val="00FA01CF"/>
    <w:rsid w:val="00FA0FC8"/>
    <w:rsid w:val="00FA3C4D"/>
    <w:rsid w:val="00FA4098"/>
    <w:rsid w:val="00FA45FB"/>
    <w:rsid w:val="00FA5B38"/>
    <w:rsid w:val="00FA6FDD"/>
    <w:rsid w:val="00FA787B"/>
    <w:rsid w:val="00FA7940"/>
    <w:rsid w:val="00FB1085"/>
    <w:rsid w:val="00FB2D57"/>
    <w:rsid w:val="00FB34A6"/>
    <w:rsid w:val="00FB36CD"/>
    <w:rsid w:val="00FB498B"/>
    <w:rsid w:val="00FB5582"/>
    <w:rsid w:val="00FB6957"/>
    <w:rsid w:val="00FB6BD8"/>
    <w:rsid w:val="00FC0D3C"/>
    <w:rsid w:val="00FC2B55"/>
    <w:rsid w:val="00FC3FFF"/>
    <w:rsid w:val="00FC51AC"/>
    <w:rsid w:val="00FC5443"/>
    <w:rsid w:val="00FC5E3C"/>
    <w:rsid w:val="00FD091D"/>
    <w:rsid w:val="00FD2AD4"/>
    <w:rsid w:val="00FD3164"/>
    <w:rsid w:val="00FD433D"/>
    <w:rsid w:val="00FD5C65"/>
    <w:rsid w:val="00FD6F6B"/>
    <w:rsid w:val="00FD783B"/>
    <w:rsid w:val="00FE2B35"/>
    <w:rsid w:val="00FE3672"/>
    <w:rsid w:val="00FE486D"/>
    <w:rsid w:val="00FE65E4"/>
    <w:rsid w:val="00FF07D9"/>
    <w:rsid w:val="00FF0EF5"/>
    <w:rsid w:val="00FF1064"/>
    <w:rsid w:val="00FF174A"/>
    <w:rsid w:val="00FF1FDE"/>
    <w:rsid w:val="00FF259D"/>
    <w:rsid w:val="00FF273F"/>
    <w:rsid w:val="00FF4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2050">
      <o:colormru v:ext="edit" colors="#b9e1ee,#f5efd7"/>
    </o:shapedefaults>
    <o:shapelayout v:ext="edit">
      <o:idmap v:ext="edit" data="2"/>
    </o:shapelayout>
  </w:shapeDefaults>
  <w:decimalSymbol w:val="."/>
  <w:listSeparator w:val=","/>
  <w14:docId w14:val="6D16211C"/>
  <w15:docId w15:val="{0F77A60D-80E2-4E8E-9F1E-5397618E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iPriority="1"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5"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274"/>
    <w:pPr>
      <w:spacing w:after="0" w:line="240" w:lineRule="auto"/>
    </w:pPr>
    <w:rPr>
      <w:rFonts w:ascii="Times New Roman" w:eastAsia="Times New Roman" w:hAnsi="Times New Roman" w:cs="Times New Roman"/>
      <w:sz w:val="24"/>
      <w:szCs w:val="24"/>
      <w:lang w:val="en-GB" w:eastAsia="en-GB"/>
    </w:rPr>
  </w:style>
  <w:style w:type="paragraph" w:styleId="Heading1">
    <w:name w:val="heading 1"/>
    <w:aliases w:val="HR1 Char"/>
    <w:basedOn w:val="Normal"/>
    <w:next w:val="Normal"/>
    <w:link w:val="Heading1Char"/>
    <w:qFormat/>
    <w:rsid w:val="000C3274"/>
    <w:pPr>
      <w:keepNext/>
      <w:spacing w:before="240" w:after="60"/>
      <w:outlineLvl w:val="0"/>
    </w:pPr>
    <w:rPr>
      <w:rFonts w:ascii="Cambria" w:hAnsi="Cambria"/>
      <w:b/>
      <w:bCs/>
      <w:kern w:val="32"/>
      <w:sz w:val="32"/>
      <w:szCs w:val="32"/>
      <w:lang w:eastAsia="en-US"/>
    </w:rPr>
  </w:style>
  <w:style w:type="paragraph" w:styleId="Heading2">
    <w:name w:val="heading 2"/>
    <w:basedOn w:val="Normal"/>
    <w:next w:val="Normal"/>
    <w:link w:val="Heading2Char"/>
    <w:qFormat/>
    <w:rsid w:val="000C3274"/>
    <w:pPr>
      <w:keepNext/>
      <w:numPr>
        <w:numId w:val="1"/>
      </w:numPr>
      <w:tabs>
        <w:tab w:val="clear" w:pos="1082"/>
        <w:tab w:val="num" w:pos="798"/>
      </w:tabs>
      <w:ind w:left="360"/>
      <w:outlineLvl w:val="1"/>
    </w:pPr>
    <w:rPr>
      <w:rFonts w:ascii="CG Omega" w:hAnsi="CG Omega"/>
      <w:b/>
      <w:szCs w:val="20"/>
      <w:lang w:eastAsia="en-US"/>
    </w:rPr>
  </w:style>
  <w:style w:type="paragraph" w:styleId="Heading3">
    <w:name w:val="heading 3"/>
    <w:basedOn w:val="Normal"/>
    <w:next w:val="Normal"/>
    <w:link w:val="Heading3Char"/>
    <w:unhideWhenUsed/>
    <w:qFormat/>
    <w:rsid w:val="000C3274"/>
    <w:pPr>
      <w:keepNext/>
      <w:keepLines/>
      <w:spacing w:before="200"/>
      <w:outlineLvl w:val="2"/>
    </w:pPr>
    <w:rPr>
      <w:rFonts w:ascii="Cambria" w:hAnsi="Cambria"/>
      <w:b/>
      <w:bCs/>
      <w:color w:val="4F81BD"/>
    </w:rPr>
  </w:style>
  <w:style w:type="paragraph" w:styleId="Heading4">
    <w:name w:val="heading 4"/>
    <w:basedOn w:val="Normal"/>
    <w:next w:val="Normal"/>
    <w:link w:val="Heading4Char"/>
    <w:unhideWhenUsed/>
    <w:qFormat/>
    <w:rsid w:val="00C41C82"/>
    <w:pPr>
      <w:keepNext/>
      <w:keepLines/>
      <w:spacing w:before="200" w:line="276" w:lineRule="auto"/>
      <w:outlineLvl w:val="3"/>
    </w:pPr>
    <w:rPr>
      <w:rFonts w:asciiTheme="majorHAnsi" w:eastAsiaTheme="majorEastAsia" w:hAnsiTheme="majorHAnsi" w:cstheme="majorBidi"/>
      <w:b/>
      <w:bCs/>
      <w:i/>
      <w:iCs/>
      <w:color w:val="4472C4" w:themeColor="accent1"/>
      <w:sz w:val="22"/>
      <w:szCs w:val="22"/>
      <w:lang w:eastAsia="en-US"/>
    </w:rPr>
  </w:style>
  <w:style w:type="paragraph" w:styleId="Heading5">
    <w:name w:val="heading 5"/>
    <w:aliases w:val="Briefing note heading"/>
    <w:basedOn w:val="Normal"/>
    <w:next w:val="Normal"/>
    <w:link w:val="Heading5Char"/>
    <w:uiPriority w:val="9"/>
    <w:qFormat/>
    <w:rsid w:val="00C41C82"/>
    <w:pPr>
      <w:spacing w:before="240" w:after="60"/>
      <w:outlineLvl w:val="4"/>
    </w:pPr>
    <w:rPr>
      <w:rFonts w:ascii="Arial" w:hAnsi="Arial"/>
      <w:b/>
      <w:sz w:val="20"/>
      <w:szCs w:val="20"/>
      <w:lang w:eastAsia="en-US"/>
    </w:rPr>
  </w:style>
  <w:style w:type="paragraph" w:styleId="Heading6">
    <w:name w:val="heading 6"/>
    <w:basedOn w:val="Normal"/>
    <w:next w:val="Normal"/>
    <w:link w:val="Heading6Char"/>
    <w:uiPriority w:val="9"/>
    <w:qFormat/>
    <w:rsid w:val="00C41C82"/>
    <w:pPr>
      <w:spacing w:before="240" w:after="60"/>
      <w:outlineLvl w:val="5"/>
    </w:pPr>
    <w:rPr>
      <w:b/>
      <w:i/>
      <w:sz w:val="22"/>
      <w:szCs w:val="20"/>
      <w:lang w:eastAsia="en-US"/>
    </w:rPr>
  </w:style>
  <w:style w:type="paragraph" w:styleId="Heading7">
    <w:name w:val="heading 7"/>
    <w:basedOn w:val="Normal"/>
    <w:next w:val="Normal"/>
    <w:link w:val="Heading7Char"/>
    <w:uiPriority w:val="9"/>
    <w:qFormat/>
    <w:rsid w:val="00C41C82"/>
    <w:pPr>
      <w:spacing w:before="240" w:after="60"/>
      <w:outlineLvl w:val="6"/>
    </w:pPr>
    <w:rPr>
      <w:rFonts w:ascii="Arial" w:hAnsi="Arial"/>
      <w:b/>
      <w:sz w:val="20"/>
      <w:szCs w:val="20"/>
      <w:lang w:eastAsia="en-US"/>
    </w:rPr>
  </w:style>
  <w:style w:type="paragraph" w:styleId="Heading8">
    <w:name w:val="heading 8"/>
    <w:basedOn w:val="Normal"/>
    <w:next w:val="Normal"/>
    <w:link w:val="Heading8Char"/>
    <w:uiPriority w:val="9"/>
    <w:qFormat/>
    <w:rsid w:val="00C41C82"/>
    <w:pPr>
      <w:spacing w:before="240" w:after="60"/>
      <w:outlineLvl w:val="7"/>
    </w:pPr>
    <w:rPr>
      <w:rFonts w:ascii="Arial" w:hAnsi="Arial"/>
      <w:b/>
      <w:i/>
      <w:sz w:val="20"/>
      <w:szCs w:val="20"/>
      <w:lang w:eastAsia="en-US"/>
    </w:rPr>
  </w:style>
  <w:style w:type="paragraph" w:styleId="Heading9">
    <w:name w:val="heading 9"/>
    <w:basedOn w:val="Normal"/>
    <w:next w:val="Normal"/>
    <w:link w:val="Heading9Char"/>
    <w:uiPriority w:val="9"/>
    <w:qFormat/>
    <w:rsid w:val="00C41C82"/>
    <w:pPr>
      <w:spacing w:before="240" w:after="60"/>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R1 Char Char1"/>
    <w:basedOn w:val="DefaultParagraphFont"/>
    <w:link w:val="Heading1"/>
    <w:rsid w:val="000C3274"/>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rsid w:val="000C3274"/>
    <w:rPr>
      <w:rFonts w:ascii="CG Omega" w:eastAsia="Times New Roman" w:hAnsi="CG Omega" w:cs="Times New Roman"/>
      <w:b/>
      <w:sz w:val="24"/>
      <w:szCs w:val="20"/>
      <w:lang w:val="en-GB"/>
    </w:rPr>
  </w:style>
  <w:style w:type="character" w:customStyle="1" w:styleId="Heading3Char">
    <w:name w:val="Heading 3 Char"/>
    <w:basedOn w:val="DefaultParagraphFont"/>
    <w:link w:val="Heading3"/>
    <w:rsid w:val="000C3274"/>
    <w:rPr>
      <w:rFonts w:ascii="Cambria" w:eastAsia="Times New Roman" w:hAnsi="Cambria" w:cs="Times New Roman"/>
      <w:b/>
      <w:bCs/>
      <w:color w:val="4F81BD"/>
      <w:sz w:val="24"/>
      <w:szCs w:val="24"/>
      <w:lang w:val="en-GB" w:eastAsia="en-GB"/>
    </w:rPr>
  </w:style>
  <w:style w:type="paragraph" w:styleId="BodyTextIndent">
    <w:name w:val="Body Text Indent"/>
    <w:basedOn w:val="Normal"/>
    <w:link w:val="BodyTextIndentChar"/>
    <w:uiPriority w:val="99"/>
    <w:rsid w:val="000C3274"/>
    <w:pPr>
      <w:spacing w:after="120"/>
      <w:ind w:left="283"/>
    </w:pPr>
    <w:rPr>
      <w:rFonts w:ascii="CG Omega (W1)" w:hAnsi="CG Omega (W1)"/>
      <w:szCs w:val="20"/>
      <w:lang w:eastAsia="en-US"/>
    </w:rPr>
  </w:style>
  <w:style w:type="character" w:customStyle="1" w:styleId="BodyTextIndentChar">
    <w:name w:val="Body Text Indent Char"/>
    <w:basedOn w:val="DefaultParagraphFont"/>
    <w:link w:val="BodyTextIndent"/>
    <w:uiPriority w:val="99"/>
    <w:rsid w:val="000C3274"/>
    <w:rPr>
      <w:rFonts w:ascii="CG Omega (W1)" w:eastAsia="Times New Roman" w:hAnsi="CG Omega (W1)" w:cs="Times New Roman"/>
      <w:sz w:val="24"/>
      <w:szCs w:val="20"/>
      <w:lang w:val="en-GB"/>
    </w:rPr>
  </w:style>
  <w:style w:type="paragraph" w:styleId="BodyText">
    <w:name w:val="Body Text"/>
    <w:basedOn w:val="Normal"/>
    <w:link w:val="BodyTextChar"/>
    <w:qFormat/>
    <w:rsid w:val="000C3274"/>
    <w:pPr>
      <w:spacing w:after="120"/>
    </w:pPr>
    <w:rPr>
      <w:rFonts w:ascii="CG Omega" w:hAnsi="CG Omega"/>
      <w:szCs w:val="20"/>
      <w:lang w:eastAsia="en-US"/>
    </w:rPr>
  </w:style>
  <w:style w:type="character" w:customStyle="1" w:styleId="BodyTextChar">
    <w:name w:val="Body Text Char"/>
    <w:basedOn w:val="DefaultParagraphFont"/>
    <w:link w:val="BodyText"/>
    <w:rsid w:val="000C3274"/>
    <w:rPr>
      <w:rFonts w:ascii="CG Omega" w:eastAsia="Times New Roman" w:hAnsi="CG Omega" w:cs="Times New Roman"/>
      <w:sz w:val="24"/>
      <w:szCs w:val="20"/>
      <w:lang w:val="en-GB"/>
    </w:rPr>
  </w:style>
  <w:style w:type="table" w:styleId="TableGrid">
    <w:name w:val="Table Grid"/>
    <w:aliases w:val="Table Beige/white"/>
    <w:basedOn w:val="TableNormal"/>
    <w:uiPriority w:val="59"/>
    <w:rsid w:val="000C3274"/>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C3274"/>
    <w:pPr>
      <w:tabs>
        <w:tab w:val="center" w:pos="4513"/>
        <w:tab w:val="right" w:pos="9026"/>
      </w:tabs>
    </w:pPr>
  </w:style>
  <w:style w:type="character" w:customStyle="1" w:styleId="HeaderChar">
    <w:name w:val="Header Char"/>
    <w:basedOn w:val="DefaultParagraphFont"/>
    <w:link w:val="Header"/>
    <w:uiPriority w:val="99"/>
    <w:rsid w:val="000C3274"/>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rsid w:val="000C3274"/>
    <w:pPr>
      <w:tabs>
        <w:tab w:val="center" w:pos="4344"/>
      </w:tabs>
    </w:pPr>
    <w:rPr>
      <w:rFonts w:ascii="Arial" w:hAnsi="Arial" w:cs="Arial"/>
      <w:i/>
      <w:sz w:val="22"/>
      <w:szCs w:val="22"/>
    </w:rPr>
  </w:style>
  <w:style w:type="character" w:customStyle="1" w:styleId="FooterChar">
    <w:name w:val="Footer Char"/>
    <w:basedOn w:val="DefaultParagraphFont"/>
    <w:link w:val="Footer"/>
    <w:uiPriority w:val="99"/>
    <w:rsid w:val="000C3274"/>
    <w:rPr>
      <w:rFonts w:ascii="Arial" w:eastAsia="Times New Roman" w:hAnsi="Arial" w:cs="Arial"/>
      <w:i/>
      <w:lang w:val="en-GB" w:eastAsia="en-GB"/>
    </w:rPr>
  </w:style>
  <w:style w:type="paragraph" w:styleId="BalloonText">
    <w:name w:val="Balloon Text"/>
    <w:basedOn w:val="Normal"/>
    <w:link w:val="BalloonTextChar"/>
    <w:uiPriority w:val="99"/>
    <w:rsid w:val="000C3274"/>
    <w:rPr>
      <w:rFonts w:ascii="Tahoma" w:hAnsi="Tahoma" w:cs="Tahoma"/>
      <w:sz w:val="16"/>
      <w:szCs w:val="16"/>
    </w:rPr>
  </w:style>
  <w:style w:type="character" w:customStyle="1" w:styleId="BalloonTextChar">
    <w:name w:val="Balloon Text Char"/>
    <w:basedOn w:val="DefaultParagraphFont"/>
    <w:link w:val="BalloonText"/>
    <w:uiPriority w:val="99"/>
    <w:rsid w:val="000C3274"/>
    <w:rPr>
      <w:rFonts w:ascii="Tahoma" w:eastAsia="Times New Roman" w:hAnsi="Tahoma" w:cs="Tahoma"/>
      <w:sz w:val="16"/>
      <w:szCs w:val="16"/>
      <w:lang w:val="en-GB" w:eastAsia="en-GB"/>
    </w:rPr>
  </w:style>
  <w:style w:type="paragraph" w:styleId="ListParagraph">
    <w:name w:val="List Paragraph"/>
    <w:basedOn w:val="Normal"/>
    <w:uiPriority w:val="34"/>
    <w:qFormat/>
    <w:rsid w:val="000C3274"/>
    <w:pPr>
      <w:spacing w:after="200" w:line="276" w:lineRule="auto"/>
      <w:ind w:left="720"/>
      <w:contextualSpacing/>
    </w:pPr>
    <w:rPr>
      <w:rFonts w:ascii="Calibri" w:hAnsi="Calibri"/>
      <w:sz w:val="22"/>
      <w:szCs w:val="22"/>
      <w:lang w:eastAsia="en-US"/>
    </w:rPr>
  </w:style>
  <w:style w:type="paragraph" w:styleId="BodyTextIndent2">
    <w:name w:val="Body Text Indent 2"/>
    <w:basedOn w:val="Normal"/>
    <w:link w:val="BodyTextIndent2Char"/>
    <w:uiPriority w:val="99"/>
    <w:rsid w:val="000C3274"/>
    <w:pPr>
      <w:spacing w:after="120" w:line="480" w:lineRule="auto"/>
      <w:ind w:left="283"/>
    </w:pPr>
  </w:style>
  <w:style w:type="character" w:customStyle="1" w:styleId="BodyTextIndent2Char">
    <w:name w:val="Body Text Indent 2 Char"/>
    <w:basedOn w:val="DefaultParagraphFont"/>
    <w:link w:val="BodyTextIndent2"/>
    <w:uiPriority w:val="99"/>
    <w:rsid w:val="000C3274"/>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qFormat/>
    <w:rsid w:val="000C3274"/>
    <w:rPr>
      <w:rFonts w:cs="Times New Roman"/>
      <w:color w:val="0000FF"/>
      <w:u w:val="single"/>
    </w:rPr>
  </w:style>
  <w:style w:type="paragraph" w:customStyle="1" w:styleId="tableright">
    <w:name w:val="tableright"/>
    <w:basedOn w:val="Normal"/>
    <w:uiPriority w:val="99"/>
    <w:rsid w:val="000C3274"/>
    <w:pPr>
      <w:shd w:val="clear" w:color="auto" w:fill="EBEBEB"/>
      <w:spacing w:line="300" w:lineRule="atLeast"/>
      <w:jc w:val="right"/>
    </w:pPr>
    <w:rPr>
      <w:rFonts w:ascii="Verdana" w:hAnsi="Verdana"/>
      <w:sz w:val="15"/>
      <w:szCs w:val="15"/>
    </w:rPr>
  </w:style>
  <w:style w:type="paragraph" w:customStyle="1" w:styleId="tabletextbold">
    <w:name w:val="tabletextbold"/>
    <w:basedOn w:val="Normal"/>
    <w:uiPriority w:val="99"/>
    <w:rsid w:val="000C3274"/>
    <w:pPr>
      <w:shd w:val="clear" w:color="auto" w:fill="CCCCCC"/>
      <w:spacing w:line="300" w:lineRule="atLeast"/>
    </w:pPr>
    <w:rPr>
      <w:rFonts w:ascii="Verdana" w:hAnsi="Verdana"/>
      <w:b/>
      <w:bCs/>
      <w:sz w:val="15"/>
      <w:szCs w:val="15"/>
    </w:rPr>
  </w:style>
  <w:style w:type="paragraph" w:customStyle="1" w:styleId="tabletext">
    <w:name w:val="tabletext"/>
    <w:basedOn w:val="Normal"/>
    <w:uiPriority w:val="99"/>
    <w:rsid w:val="000C3274"/>
    <w:pPr>
      <w:shd w:val="clear" w:color="auto" w:fill="EBEBEB"/>
      <w:spacing w:line="300" w:lineRule="atLeast"/>
      <w:ind w:left="45"/>
      <w:textAlignment w:val="top"/>
    </w:pPr>
    <w:rPr>
      <w:rFonts w:ascii="Verdana" w:hAnsi="Verdana"/>
      <w:sz w:val="15"/>
      <w:szCs w:val="15"/>
    </w:rPr>
  </w:style>
  <w:style w:type="paragraph" w:customStyle="1" w:styleId="tablerightbold">
    <w:name w:val="tablerightbold"/>
    <w:basedOn w:val="Normal"/>
    <w:uiPriority w:val="99"/>
    <w:rsid w:val="000C3274"/>
    <w:pPr>
      <w:shd w:val="clear" w:color="auto" w:fill="CCCCCC"/>
      <w:spacing w:line="300" w:lineRule="atLeast"/>
      <w:jc w:val="right"/>
    </w:pPr>
    <w:rPr>
      <w:rFonts w:ascii="Verdana" w:hAnsi="Verdana"/>
      <w:b/>
      <w:bCs/>
      <w:sz w:val="15"/>
      <w:szCs w:val="15"/>
    </w:rPr>
  </w:style>
  <w:style w:type="paragraph" w:customStyle="1" w:styleId="tablerightbold9">
    <w:name w:val="tablerightbold9"/>
    <w:basedOn w:val="Normal"/>
    <w:uiPriority w:val="99"/>
    <w:rsid w:val="000C3274"/>
    <w:pPr>
      <w:shd w:val="clear" w:color="auto" w:fill="CCCCCC"/>
      <w:spacing w:line="225" w:lineRule="atLeast"/>
      <w:jc w:val="right"/>
    </w:pPr>
    <w:rPr>
      <w:rFonts w:ascii="Verdana" w:hAnsi="Verdana"/>
      <w:b/>
      <w:bCs/>
      <w:sz w:val="12"/>
      <w:szCs w:val="12"/>
    </w:rPr>
  </w:style>
  <w:style w:type="character" w:customStyle="1" w:styleId="footnote-reference">
    <w:name w:val="footnote-reference"/>
    <w:basedOn w:val="DefaultParagraphFont"/>
    <w:uiPriority w:val="99"/>
    <w:rsid w:val="000C3274"/>
    <w:rPr>
      <w:rFonts w:cs="Times New Roman"/>
    </w:rPr>
  </w:style>
  <w:style w:type="paragraph" w:customStyle="1" w:styleId="tabletextbold9">
    <w:name w:val="tabletextbold9"/>
    <w:basedOn w:val="Normal"/>
    <w:uiPriority w:val="99"/>
    <w:rsid w:val="000C3274"/>
    <w:pPr>
      <w:shd w:val="clear" w:color="auto" w:fill="CCCCCC"/>
      <w:spacing w:line="225" w:lineRule="atLeast"/>
      <w:textAlignment w:val="top"/>
    </w:pPr>
    <w:rPr>
      <w:rFonts w:ascii="Verdana" w:hAnsi="Verdana"/>
      <w:b/>
      <w:bCs/>
      <w:sz w:val="12"/>
      <w:szCs w:val="12"/>
    </w:rPr>
  </w:style>
  <w:style w:type="character" w:customStyle="1" w:styleId="purple1">
    <w:name w:val="purple1"/>
    <w:basedOn w:val="DefaultParagraphFont"/>
    <w:uiPriority w:val="99"/>
    <w:rsid w:val="000C3274"/>
    <w:rPr>
      <w:rFonts w:cs="Times New Roman"/>
      <w:color w:val="60227B"/>
    </w:rPr>
  </w:style>
  <w:style w:type="paragraph" w:customStyle="1" w:styleId="CM111">
    <w:name w:val="CM111"/>
    <w:basedOn w:val="Normal"/>
    <w:next w:val="Normal"/>
    <w:uiPriority w:val="99"/>
    <w:rsid w:val="000C3274"/>
    <w:pPr>
      <w:autoSpaceDE w:val="0"/>
      <w:autoSpaceDN w:val="0"/>
      <w:adjustRightInd w:val="0"/>
      <w:spacing w:after="393"/>
    </w:pPr>
    <w:rPr>
      <w:rFonts w:ascii="Arial" w:hAnsi="Arial" w:cs="Arial"/>
      <w:lang w:val="en-US" w:eastAsia="en-US"/>
    </w:rPr>
  </w:style>
  <w:style w:type="paragraph" w:customStyle="1" w:styleId="Default">
    <w:name w:val="Default"/>
    <w:rsid w:val="000C3274"/>
    <w:pPr>
      <w:autoSpaceDE w:val="0"/>
      <w:autoSpaceDN w:val="0"/>
      <w:adjustRightInd w:val="0"/>
      <w:spacing w:after="0" w:line="240" w:lineRule="auto"/>
    </w:pPr>
    <w:rPr>
      <w:rFonts w:ascii="Arial" w:eastAsia="Times New Roman" w:hAnsi="Arial" w:cs="Arial"/>
      <w:color w:val="000000"/>
      <w:sz w:val="24"/>
      <w:szCs w:val="24"/>
      <w:lang w:val="en-GB"/>
    </w:rPr>
  </w:style>
  <w:style w:type="paragraph" w:customStyle="1" w:styleId="CM100">
    <w:name w:val="CM100"/>
    <w:basedOn w:val="Default"/>
    <w:next w:val="Default"/>
    <w:uiPriority w:val="99"/>
    <w:rsid w:val="000C3274"/>
    <w:rPr>
      <w:color w:val="auto"/>
    </w:rPr>
  </w:style>
  <w:style w:type="paragraph" w:customStyle="1" w:styleId="ExampleText">
    <w:name w:val="ExampleText"/>
    <w:basedOn w:val="Normal"/>
    <w:uiPriority w:val="99"/>
    <w:rsid w:val="000C3274"/>
    <w:pPr>
      <w:keepLines/>
      <w:widowControl w:val="0"/>
      <w:suppressAutoHyphens/>
      <w:autoSpaceDE w:val="0"/>
      <w:autoSpaceDN w:val="0"/>
      <w:adjustRightInd w:val="0"/>
      <w:spacing w:before="150" w:line="260" w:lineRule="atLeast"/>
      <w:ind w:left="680"/>
      <w:textAlignment w:val="baseline"/>
    </w:pPr>
    <w:rPr>
      <w:rFonts w:ascii="DIN-Regular" w:hAnsi="DIN-Regular" w:cs="DIN-Regular"/>
      <w:color w:val="000000"/>
      <w:sz w:val="18"/>
      <w:szCs w:val="18"/>
      <w:lang w:val="en-US"/>
    </w:rPr>
  </w:style>
  <w:style w:type="paragraph" w:customStyle="1" w:styleId="secbody">
    <w:name w:val="secbody"/>
    <w:basedOn w:val="Normal"/>
    <w:uiPriority w:val="99"/>
    <w:rsid w:val="000C3274"/>
    <w:pPr>
      <w:spacing w:before="100" w:beforeAutospacing="1" w:after="100" w:afterAutospacing="1"/>
    </w:pPr>
    <w:rPr>
      <w:rFonts w:ascii="Verdana" w:hAnsi="Verdana"/>
      <w:color w:val="60227B"/>
      <w:sz w:val="18"/>
      <w:szCs w:val="18"/>
    </w:rPr>
  </w:style>
  <w:style w:type="paragraph" w:customStyle="1" w:styleId="secbullets">
    <w:name w:val="secbullets"/>
    <w:basedOn w:val="Normal"/>
    <w:uiPriority w:val="99"/>
    <w:rsid w:val="000C3274"/>
    <w:pPr>
      <w:spacing w:after="100" w:afterAutospacing="1"/>
    </w:pPr>
    <w:rPr>
      <w:rFonts w:ascii="Verdana" w:hAnsi="Verdana"/>
      <w:color w:val="60227B"/>
      <w:sz w:val="18"/>
      <w:szCs w:val="18"/>
    </w:rPr>
  </w:style>
  <w:style w:type="paragraph" w:customStyle="1" w:styleId="secheadc">
    <w:name w:val="secheadc"/>
    <w:basedOn w:val="Normal"/>
    <w:uiPriority w:val="99"/>
    <w:rsid w:val="000C3274"/>
    <w:pPr>
      <w:spacing w:before="100" w:beforeAutospacing="1" w:after="100" w:afterAutospacing="1"/>
    </w:pPr>
    <w:rPr>
      <w:rFonts w:ascii="Verdana" w:hAnsi="Verdana"/>
      <w:b/>
      <w:bCs/>
      <w:color w:val="60227B"/>
      <w:sz w:val="18"/>
      <w:szCs w:val="18"/>
    </w:rPr>
  </w:style>
  <w:style w:type="paragraph" w:customStyle="1" w:styleId="secbodyindent01">
    <w:name w:val="secbodyindent01"/>
    <w:basedOn w:val="Normal"/>
    <w:uiPriority w:val="99"/>
    <w:rsid w:val="000C3274"/>
    <w:pPr>
      <w:spacing w:before="100" w:beforeAutospacing="1" w:after="100" w:afterAutospacing="1"/>
    </w:pPr>
    <w:rPr>
      <w:rFonts w:ascii="Verdana" w:hAnsi="Verdana"/>
      <w:color w:val="60227B"/>
      <w:sz w:val="18"/>
      <w:szCs w:val="18"/>
    </w:rPr>
  </w:style>
  <w:style w:type="character" w:customStyle="1" w:styleId="italic1">
    <w:name w:val="italic1"/>
    <w:basedOn w:val="DefaultParagraphFont"/>
    <w:uiPriority w:val="99"/>
    <w:rsid w:val="000C3274"/>
    <w:rPr>
      <w:rFonts w:cs="Times New Roman"/>
      <w:i/>
      <w:iCs/>
    </w:rPr>
  </w:style>
  <w:style w:type="character" w:styleId="Emphasis">
    <w:name w:val="Emphasis"/>
    <w:basedOn w:val="DefaultParagraphFont"/>
    <w:uiPriority w:val="99"/>
    <w:qFormat/>
    <w:rsid w:val="000C3274"/>
    <w:rPr>
      <w:rFonts w:cs="Times New Roman"/>
      <w:i/>
      <w:iCs/>
    </w:rPr>
  </w:style>
  <w:style w:type="paragraph" w:customStyle="1" w:styleId="BodyText1">
    <w:name w:val="Body Text1"/>
    <w:basedOn w:val="Normal"/>
    <w:link w:val="BodytextChar0"/>
    <w:rsid w:val="000C3274"/>
    <w:pPr>
      <w:spacing w:before="140" w:line="300" w:lineRule="atLeast"/>
    </w:pPr>
    <w:rPr>
      <w:rFonts w:ascii="Arial" w:hAnsi="Arial"/>
      <w:sz w:val="22"/>
    </w:rPr>
  </w:style>
  <w:style w:type="paragraph" w:customStyle="1" w:styleId="Bullet1">
    <w:name w:val="Bullet 1"/>
    <w:basedOn w:val="Normal"/>
    <w:link w:val="Bullet1CharChar"/>
    <w:uiPriority w:val="99"/>
    <w:rsid w:val="000C3274"/>
    <w:pPr>
      <w:numPr>
        <w:numId w:val="5"/>
      </w:numPr>
      <w:spacing w:line="300" w:lineRule="atLeast"/>
    </w:pPr>
    <w:rPr>
      <w:rFonts w:ascii="Arial" w:hAnsi="Arial"/>
      <w:sz w:val="22"/>
    </w:rPr>
  </w:style>
  <w:style w:type="character" w:customStyle="1" w:styleId="BodytextChar0">
    <w:name w:val="Body text Char"/>
    <w:basedOn w:val="DefaultParagraphFont"/>
    <w:link w:val="BodyText1"/>
    <w:uiPriority w:val="99"/>
    <w:locked/>
    <w:rsid w:val="000C3274"/>
    <w:rPr>
      <w:rFonts w:ascii="Arial" w:eastAsia="Times New Roman" w:hAnsi="Arial" w:cs="Times New Roman"/>
      <w:szCs w:val="24"/>
      <w:lang w:val="en-GB" w:eastAsia="en-GB"/>
    </w:rPr>
  </w:style>
  <w:style w:type="character" w:customStyle="1" w:styleId="Bullet1CharChar">
    <w:name w:val="Bullet 1 Char Char"/>
    <w:basedOn w:val="DefaultParagraphFont"/>
    <w:link w:val="Bullet1"/>
    <w:uiPriority w:val="99"/>
    <w:locked/>
    <w:rsid w:val="000C3274"/>
    <w:rPr>
      <w:rFonts w:ascii="Arial" w:eastAsia="Times New Roman" w:hAnsi="Arial" w:cs="Times New Roman"/>
      <w:szCs w:val="24"/>
      <w:lang w:val="en-GB" w:eastAsia="en-GB"/>
    </w:rPr>
  </w:style>
  <w:style w:type="character" w:styleId="Strong">
    <w:name w:val="Strong"/>
    <w:basedOn w:val="DefaultParagraphFont"/>
    <w:uiPriority w:val="99"/>
    <w:qFormat/>
    <w:rsid w:val="000C3274"/>
    <w:rPr>
      <w:rFonts w:cs="Times New Roman"/>
      <w:b/>
      <w:bCs/>
    </w:rPr>
  </w:style>
  <w:style w:type="paragraph" w:customStyle="1" w:styleId="bullets">
    <w:name w:val="bullets"/>
    <w:basedOn w:val="Normal"/>
    <w:uiPriority w:val="99"/>
    <w:rsid w:val="000C3274"/>
    <w:pPr>
      <w:spacing w:after="100" w:afterAutospacing="1"/>
    </w:pPr>
    <w:rPr>
      <w:rFonts w:ascii="Verdana" w:hAnsi="Verdana"/>
      <w:color w:val="000000"/>
      <w:sz w:val="21"/>
      <w:szCs w:val="21"/>
    </w:rPr>
  </w:style>
  <w:style w:type="paragraph" w:customStyle="1" w:styleId="headc">
    <w:name w:val="headc"/>
    <w:basedOn w:val="Normal"/>
    <w:uiPriority w:val="99"/>
    <w:rsid w:val="000C3274"/>
    <w:pPr>
      <w:spacing w:before="100" w:beforeAutospacing="1" w:after="100" w:afterAutospacing="1"/>
    </w:pPr>
    <w:rPr>
      <w:rFonts w:ascii="Verdana" w:hAnsi="Verdana"/>
      <w:b/>
      <w:bCs/>
      <w:sz w:val="21"/>
      <w:szCs w:val="21"/>
    </w:rPr>
  </w:style>
  <w:style w:type="paragraph" w:customStyle="1" w:styleId="bodyindent">
    <w:name w:val="bodyindent"/>
    <w:basedOn w:val="Normal"/>
    <w:uiPriority w:val="99"/>
    <w:rsid w:val="000C3274"/>
    <w:pPr>
      <w:spacing w:before="100" w:beforeAutospacing="1" w:after="100" w:afterAutospacing="1"/>
    </w:pPr>
    <w:rPr>
      <w:rFonts w:ascii="Verdana" w:hAnsi="Verdana"/>
      <w:color w:val="000000"/>
      <w:sz w:val="21"/>
      <w:szCs w:val="21"/>
    </w:rPr>
  </w:style>
  <w:style w:type="paragraph" w:customStyle="1" w:styleId="examplesub02">
    <w:name w:val="examplesub02"/>
    <w:basedOn w:val="Normal"/>
    <w:uiPriority w:val="99"/>
    <w:rsid w:val="000C3274"/>
    <w:pPr>
      <w:spacing w:before="100" w:beforeAutospacing="1" w:after="100" w:afterAutospacing="1"/>
    </w:pPr>
    <w:rPr>
      <w:rFonts w:ascii="Verdana" w:hAnsi="Verdana"/>
      <w:b/>
      <w:bCs/>
      <w:color w:val="602292"/>
      <w:sz w:val="21"/>
      <w:szCs w:val="21"/>
    </w:rPr>
  </w:style>
  <w:style w:type="character" w:customStyle="1" w:styleId="footnoteref1">
    <w:name w:val="footnoteref1"/>
    <w:basedOn w:val="DefaultParagraphFont"/>
    <w:rsid w:val="000C3274"/>
    <w:rPr>
      <w:rFonts w:cs="Times New Roman"/>
      <w:sz w:val="16"/>
      <w:szCs w:val="16"/>
      <w:u w:val="single"/>
    </w:rPr>
  </w:style>
  <w:style w:type="character" w:styleId="CommentReference">
    <w:name w:val="annotation reference"/>
    <w:basedOn w:val="DefaultParagraphFont"/>
    <w:uiPriority w:val="99"/>
    <w:rsid w:val="000C3274"/>
    <w:rPr>
      <w:rFonts w:cs="Times New Roman"/>
      <w:sz w:val="16"/>
      <w:szCs w:val="16"/>
    </w:rPr>
  </w:style>
  <w:style w:type="paragraph" w:styleId="CommentText">
    <w:name w:val="annotation text"/>
    <w:aliases w:val=" Char1"/>
    <w:basedOn w:val="Normal"/>
    <w:link w:val="CommentTextChar"/>
    <w:uiPriority w:val="99"/>
    <w:rsid w:val="000C3274"/>
    <w:rPr>
      <w:sz w:val="20"/>
      <w:szCs w:val="20"/>
    </w:rPr>
  </w:style>
  <w:style w:type="character" w:customStyle="1" w:styleId="CommentTextChar">
    <w:name w:val="Comment Text Char"/>
    <w:aliases w:val=" Char1 Char"/>
    <w:basedOn w:val="DefaultParagraphFont"/>
    <w:link w:val="CommentText"/>
    <w:uiPriority w:val="99"/>
    <w:rsid w:val="000C3274"/>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rsid w:val="000C3274"/>
    <w:rPr>
      <w:b/>
      <w:bCs/>
    </w:rPr>
  </w:style>
  <w:style w:type="character" w:customStyle="1" w:styleId="CommentSubjectChar">
    <w:name w:val="Comment Subject Char"/>
    <w:basedOn w:val="CommentTextChar"/>
    <w:link w:val="CommentSubject"/>
    <w:uiPriority w:val="99"/>
    <w:rsid w:val="000C3274"/>
    <w:rPr>
      <w:rFonts w:ascii="Times New Roman" w:eastAsia="Times New Roman" w:hAnsi="Times New Roman" w:cs="Times New Roman"/>
      <w:b/>
      <w:bCs/>
      <w:sz w:val="20"/>
      <w:szCs w:val="20"/>
      <w:lang w:val="en-GB" w:eastAsia="en-GB"/>
    </w:rPr>
  </w:style>
  <w:style w:type="paragraph" w:styleId="NormalWeb">
    <w:name w:val="Normal (Web)"/>
    <w:basedOn w:val="Normal"/>
    <w:uiPriority w:val="99"/>
    <w:unhideWhenUsed/>
    <w:rsid w:val="000C3274"/>
    <w:pPr>
      <w:spacing w:before="100" w:beforeAutospacing="1" w:after="100" w:afterAutospacing="1"/>
    </w:pPr>
  </w:style>
  <w:style w:type="paragraph" w:styleId="Revision">
    <w:name w:val="Revision"/>
    <w:hidden/>
    <w:uiPriority w:val="99"/>
    <w:semiHidden/>
    <w:rsid w:val="000C3274"/>
    <w:pPr>
      <w:spacing w:after="0" w:line="240" w:lineRule="auto"/>
    </w:pPr>
    <w:rPr>
      <w:rFonts w:ascii="Times New Roman" w:eastAsia="Times New Roman" w:hAnsi="Times New Roman" w:cs="Times New Roman"/>
      <w:sz w:val="24"/>
      <w:szCs w:val="24"/>
      <w:lang w:val="en-GB" w:eastAsia="en-GB"/>
    </w:rPr>
  </w:style>
  <w:style w:type="paragraph" w:customStyle="1" w:styleId="BodyTextGrey">
    <w:name w:val="Body Text Grey"/>
    <w:basedOn w:val="Normal"/>
    <w:link w:val="BodyTextGreyChar"/>
    <w:qFormat/>
    <w:rsid w:val="000C3274"/>
    <w:pPr>
      <w:spacing w:after="200" w:line="280" w:lineRule="atLeast"/>
    </w:pPr>
    <w:rPr>
      <w:rFonts w:ascii="Arial" w:hAnsi="Arial" w:cs="Arial"/>
      <w:iCs/>
      <w:color w:val="4B4B4B"/>
      <w:sz w:val="20"/>
      <w:szCs w:val="20"/>
      <w:lang w:eastAsia="en-US"/>
    </w:rPr>
  </w:style>
  <w:style w:type="character" w:customStyle="1" w:styleId="BodyTextGreyChar">
    <w:name w:val="Body Text Grey Char"/>
    <w:basedOn w:val="DefaultParagraphFont"/>
    <w:link w:val="BodyTextGrey"/>
    <w:locked/>
    <w:rsid w:val="000C3274"/>
    <w:rPr>
      <w:rFonts w:ascii="Arial" w:eastAsia="Times New Roman" w:hAnsi="Arial" w:cs="Arial"/>
      <w:iCs/>
      <w:color w:val="4B4B4B"/>
      <w:sz w:val="20"/>
      <w:szCs w:val="20"/>
      <w:lang w:val="en-GB"/>
    </w:rPr>
  </w:style>
  <w:style w:type="paragraph" w:customStyle="1" w:styleId="BodyText10">
    <w:name w:val="Body Text1"/>
    <w:basedOn w:val="Normal"/>
    <w:uiPriority w:val="99"/>
    <w:rsid w:val="000C3274"/>
    <w:pPr>
      <w:spacing w:before="140" w:line="300" w:lineRule="atLeast"/>
    </w:pPr>
    <w:rPr>
      <w:rFonts w:ascii="Arial" w:hAnsi="Arial"/>
      <w:sz w:val="22"/>
    </w:rPr>
  </w:style>
  <w:style w:type="paragraph" w:styleId="BodyText2">
    <w:name w:val="Body Text 2"/>
    <w:basedOn w:val="Normal"/>
    <w:link w:val="BodyText2Char"/>
    <w:uiPriority w:val="99"/>
    <w:qFormat/>
    <w:rsid w:val="000C3274"/>
    <w:pPr>
      <w:spacing w:after="120" w:line="480" w:lineRule="auto"/>
    </w:pPr>
    <w:rPr>
      <w:rFonts w:ascii="Arial" w:hAnsi="Arial"/>
      <w:sz w:val="22"/>
    </w:rPr>
  </w:style>
  <w:style w:type="character" w:customStyle="1" w:styleId="BodyText2Char">
    <w:name w:val="Body Text 2 Char"/>
    <w:basedOn w:val="DefaultParagraphFont"/>
    <w:link w:val="BodyText2"/>
    <w:uiPriority w:val="99"/>
    <w:rsid w:val="000C3274"/>
    <w:rPr>
      <w:rFonts w:ascii="Arial" w:eastAsia="Times New Roman" w:hAnsi="Arial" w:cs="Times New Roman"/>
      <w:szCs w:val="24"/>
      <w:lang w:val="en-GB" w:eastAsia="en-GB"/>
    </w:rPr>
  </w:style>
  <w:style w:type="paragraph" w:customStyle="1" w:styleId="inlinenormal">
    <w:name w:val="inlinenormal"/>
    <w:basedOn w:val="Normal"/>
    <w:rsid w:val="000C3274"/>
    <w:pPr>
      <w:autoSpaceDN w:val="0"/>
      <w:spacing w:before="120" w:after="60" w:line="264" w:lineRule="auto"/>
    </w:pPr>
    <w:rPr>
      <w:rFonts w:ascii="Arial" w:hAnsi="Arial" w:cs="Arial"/>
    </w:rPr>
  </w:style>
  <w:style w:type="paragraph" w:styleId="FootnoteText">
    <w:name w:val="footnote text"/>
    <w:basedOn w:val="Normal"/>
    <w:link w:val="FootnoteTextChar"/>
    <w:rsid w:val="000C3274"/>
    <w:rPr>
      <w:sz w:val="20"/>
      <w:szCs w:val="20"/>
    </w:rPr>
  </w:style>
  <w:style w:type="character" w:customStyle="1" w:styleId="FootnoteTextChar">
    <w:name w:val="Footnote Text Char"/>
    <w:basedOn w:val="DefaultParagraphFont"/>
    <w:link w:val="FootnoteText"/>
    <w:rsid w:val="000C3274"/>
    <w:rPr>
      <w:rFonts w:ascii="Times New Roman" w:eastAsia="Times New Roman" w:hAnsi="Times New Roman" w:cs="Times New Roman"/>
      <w:sz w:val="20"/>
      <w:szCs w:val="20"/>
      <w:lang w:val="en-GB" w:eastAsia="en-GB"/>
    </w:rPr>
  </w:style>
  <w:style w:type="character" w:styleId="FootnoteReference">
    <w:name w:val="footnote reference"/>
    <w:basedOn w:val="DefaultParagraphFont"/>
    <w:rsid w:val="000C3274"/>
    <w:rPr>
      <w:vertAlign w:val="superscript"/>
    </w:rPr>
  </w:style>
  <w:style w:type="character" w:styleId="FollowedHyperlink">
    <w:name w:val="FollowedHyperlink"/>
    <w:basedOn w:val="DefaultParagraphFont"/>
    <w:rsid w:val="000C3274"/>
    <w:rPr>
      <w:color w:val="954F72" w:themeColor="followedHyperlink"/>
      <w:u w:val="single"/>
    </w:rPr>
  </w:style>
  <w:style w:type="character" w:customStyle="1" w:styleId="st1">
    <w:name w:val="st1"/>
    <w:basedOn w:val="DefaultParagraphFont"/>
    <w:rsid w:val="000C3274"/>
  </w:style>
  <w:style w:type="character" w:customStyle="1" w:styleId="Heading4Char">
    <w:name w:val="Heading 4 Char"/>
    <w:basedOn w:val="DefaultParagraphFont"/>
    <w:link w:val="Heading4"/>
    <w:rsid w:val="00C41C82"/>
    <w:rPr>
      <w:rFonts w:asciiTheme="majorHAnsi" w:eastAsiaTheme="majorEastAsia" w:hAnsiTheme="majorHAnsi" w:cstheme="majorBidi"/>
      <w:b/>
      <w:bCs/>
      <w:i/>
      <w:iCs/>
      <w:color w:val="4472C4" w:themeColor="accent1"/>
      <w:lang w:val="en-GB"/>
    </w:rPr>
  </w:style>
  <w:style w:type="character" w:customStyle="1" w:styleId="Heading5Char">
    <w:name w:val="Heading 5 Char"/>
    <w:aliases w:val="Briefing note heading Char"/>
    <w:basedOn w:val="DefaultParagraphFont"/>
    <w:link w:val="Heading5"/>
    <w:uiPriority w:val="9"/>
    <w:rsid w:val="00C41C82"/>
    <w:rPr>
      <w:rFonts w:ascii="Arial" w:eastAsia="Times New Roman" w:hAnsi="Arial" w:cs="Times New Roman"/>
      <w:b/>
      <w:sz w:val="20"/>
      <w:szCs w:val="20"/>
      <w:lang w:val="en-GB"/>
    </w:rPr>
  </w:style>
  <w:style w:type="character" w:customStyle="1" w:styleId="Heading6Char">
    <w:name w:val="Heading 6 Char"/>
    <w:basedOn w:val="DefaultParagraphFont"/>
    <w:link w:val="Heading6"/>
    <w:uiPriority w:val="9"/>
    <w:rsid w:val="00C41C82"/>
    <w:rPr>
      <w:rFonts w:ascii="Times New Roman" w:eastAsia="Times New Roman" w:hAnsi="Times New Roman" w:cs="Times New Roman"/>
      <w:b/>
      <w:i/>
      <w:szCs w:val="20"/>
      <w:lang w:val="en-GB"/>
    </w:rPr>
  </w:style>
  <w:style w:type="character" w:customStyle="1" w:styleId="Heading7Char">
    <w:name w:val="Heading 7 Char"/>
    <w:basedOn w:val="DefaultParagraphFont"/>
    <w:link w:val="Heading7"/>
    <w:uiPriority w:val="9"/>
    <w:rsid w:val="00C41C82"/>
    <w:rPr>
      <w:rFonts w:ascii="Arial" w:eastAsia="Times New Roman" w:hAnsi="Arial" w:cs="Times New Roman"/>
      <w:b/>
      <w:sz w:val="20"/>
      <w:szCs w:val="20"/>
      <w:lang w:val="en-GB"/>
    </w:rPr>
  </w:style>
  <w:style w:type="character" w:customStyle="1" w:styleId="Heading8Char">
    <w:name w:val="Heading 8 Char"/>
    <w:basedOn w:val="DefaultParagraphFont"/>
    <w:link w:val="Heading8"/>
    <w:uiPriority w:val="9"/>
    <w:rsid w:val="00C41C82"/>
    <w:rPr>
      <w:rFonts w:ascii="Arial" w:eastAsia="Times New Roman" w:hAnsi="Arial" w:cs="Times New Roman"/>
      <w:b/>
      <w:i/>
      <w:sz w:val="20"/>
      <w:szCs w:val="20"/>
      <w:lang w:val="en-GB"/>
    </w:rPr>
  </w:style>
  <w:style w:type="character" w:customStyle="1" w:styleId="Heading9Char">
    <w:name w:val="Heading 9 Char"/>
    <w:basedOn w:val="DefaultParagraphFont"/>
    <w:link w:val="Heading9"/>
    <w:uiPriority w:val="9"/>
    <w:rsid w:val="00C41C82"/>
    <w:rPr>
      <w:rFonts w:ascii="Arial" w:eastAsia="Times New Roman" w:hAnsi="Arial" w:cs="Times New Roman"/>
      <w:b/>
      <w:i/>
      <w:sz w:val="18"/>
      <w:szCs w:val="20"/>
      <w:lang w:val="en-GB"/>
    </w:rPr>
  </w:style>
  <w:style w:type="paragraph" w:customStyle="1" w:styleId="HRsub1">
    <w:name w:val="HRsub1"/>
    <w:basedOn w:val="Heading3"/>
    <w:next w:val="BodyText"/>
    <w:rsid w:val="00C41C82"/>
    <w:pPr>
      <w:keepNext w:val="0"/>
      <w:keepLines w:val="0"/>
      <w:spacing w:before="240" w:after="240"/>
      <w:outlineLvl w:val="9"/>
    </w:pPr>
    <w:rPr>
      <w:rFonts w:ascii="Arial" w:hAnsi="Arial"/>
      <w:bCs w:val="0"/>
      <w:color w:val="00257E"/>
      <w:sz w:val="22"/>
      <w:szCs w:val="20"/>
      <w:lang w:eastAsia="en-US"/>
    </w:rPr>
  </w:style>
  <w:style w:type="paragraph" w:styleId="ListBullet">
    <w:name w:val="List Bullet"/>
    <w:basedOn w:val="Normal"/>
    <w:autoRedefine/>
    <w:uiPriority w:val="1"/>
    <w:qFormat/>
    <w:rsid w:val="00C41C82"/>
    <w:pPr>
      <w:numPr>
        <w:numId w:val="11"/>
      </w:numPr>
    </w:pPr>
    <w:rPr>
      <w:rFonts w:ascii="Helvetica" w:hAnsi="Helvetica"/>
      <w:b/>
      <w:sz w:val="20"/>
      <w:szCs w:val="20"/>
      <w:lang w:eastAsia="en-US"/>
    </w:rPr>
  </w:style>
  <w:style w:type="paragraph" w:customStyle="1" w:styleId="HRbullet">
    <w:name w:val="HRbullet"/>
    <w:basedOn w:val="Heading4"/>
    <w:rsid w:val="00C41C82"/>
    <w:pPr>
      <w:keepNext w:val="0"/>
      <w:keepLines w:val="0"/>
      <w:numPr>
        <w:numId w:val="12"/>
      </w:numPr>
      <w:spacing w:before="0" w:after="240" w:line="240" w:lineRule="auto"/>
      <w:ind w:left="1440"/>
      <w:jc w:val="both"/>
      <w:outlineLvl w:val="9"/>
    </w:pPr>
    <w:rPr>
      <w:rFonts w:ascii="Garamond" w:eastAsia="Times New Roman" w:hAnsi="Garamond" w:cs="Times New Roman"/>
      <w:b w:val="0"/>
      <w:bCs w:val="0"/>
      <w:i w:val="0"/>
      <w:iCs w:val="0"/>
      <w:color w:val="000000"/>
      <w:sz w:val="24"/>
      <w:szCs w:val="20"/>
    </w:rPr>
  </w:style>
  <w:style w:type="paragraph" w:customStyle="1" w:styleId="hBullet3">
    <w:name w:val="hBullet3"/>
    <w:basedOn w:val="BodyText"/>
    <w:rsid w:val="00C41C82"/>
    <w:pPr>
      <w:widowControl w:val="0"/>
      <w:numPr>
        <w:numId w:val="15"/>
      </w:numPr>
      <w:tabs>
        <w:tab w:val="clear" w:pos="567"/>
        <w:tab w:val="num" w:pos="360"/>
      </w:tabs>
      <w:spacing w:before="120" w:line="280" w:lineRule="atLeast"/>
      <w:ind w:left="0" w:firstLine="0"/>
    </w:pPr>
    <w:rPr>
      <w:rFonts w:ascii="Arial" w:hAnsi="Arial"/>
      <w:color w:val="4B4B4B"/>
      <w:sz w:val="20"/>
      <w:szCs w:val="24"/>
    </w:rPr>
  </w:style>
  <w:style w:type="numbering" w:customStyle="1" w:styleId="HRBullet0">
    <w:name w:val="HR Bullet"/>
    <w:uiPriority w:val="99"/>
    <w:rsid w:val="00C41C82"/>
    <w:pPr>
      <w:numPr>
        <w:numId w:val="16"/>
      </w:numPr>
    </w:pPr>
  </w:style>
  <w:style w:type="paragraph" w:customStyle="1" w:styleId="BulletHymans">
    <w:name w:val="Bullet Hymans"/>
    <w:link w:val="BulletHymansChar"/>
    <w:uiPriority w:val="2"/>
    <w:qFormat/>
    <w:rsid w:val="00C41C82"/>
    <w:pPr>
      <w:spacing w:before="20" w:after="140" w:line="280" w:lineRule="exact"/>
      <w:ind w:left="567" w:hanging="567"/>
    </w:pPr>
    <w:rPr>
      <w:rFonts w:ascii="Arial" w:eastAsia="Times New Roman" w:hAnsi="Arial" w:cs="Arial"/>
      <w:iCs/>
      <w:color w:val="4B4B4B"/>
      <w:sz w:val="20"/>
      <w:szCs w:val="20"/>
      <w:lang w:val="en-GB"/>
    </w:rPr>
  </w:style>
  <w:style w:type="character" w:styleId="PageNumber">
    <w:name w:val="page number"/>
    <w:basedOn w:val="DefaultParagraphFont"/>
    <w:rsid w:val="00C41C82"/>
  </w:style>
  <w:style w:type="paragraph" w:customStyle="1" w:styleId="Appendix1">
    <w:name w:val="Appendix 1"/>
    <w:basedOn w:val="Heading1"/>
    <w:next w:val="BodyTextGrey"/>
    <w:uiPriority w:val="3"/>
    <w:qFormat/>
    <w:rsid w:val="00C41C82"/>
    <w:pPr>
      <w:keepLines/>
      <w:pageBreakBefore/>
      <w:spacing w:before="140" w:after="140" w:line="360" w:lineRule="atLeast"/>
    </w:pPr>
    <w:rPr>
      <w:rFonts w:ascii="Arial" w:hAnsi="Arial"/>
      <w:b w:val="0"/>
      <w:bCs w:val="0"/>
      <w:color w:val="3FA6CC"/>
      <w:kern w:val="28"/>
      <w:sz w:val="36"/>
      <w:szCs w:val="20"/>
    </w:rPr>
  </w:style>
  <w:style w:type="paragraph" w:customStyle="1" w:styleId="srch-metadata">
    <w:name w:val="srch-metadata"/>
    <w:basedOn w:val="Normal"/>
    <w:rsid w:val="00C41C82"/>
    <w:pPr>
      <w:spacing w:before="100" w:beforeAutospacing="1" w:after="100" w:afterAutospacing="1"/>
    </w:pPr>
  </w:style>
  <w:style w:type="character" w:customStyle="1" w:styleId="srch-url">
    <w:name w:val="srch-url"/>
    <w:basedOn w:val="DefaultParagraphFont"/>
    <w:rsid w:val="00C41C82"/>
  </w:style>
  <w:style w:type="paragraph" w:customStyle="1" w:styleId="TitleLogo">
    <w:name w:val="Title Logo"/>
    <w:basedOn w:val="Normal"/>
    <w:rsid w:val="00C41C82"/>
    <w:pPr>
      <w:spacing w:before="1200" w:after="1560"/>
    </w:pPr>
    <w:rPr>
      <w:rFonts w:ascii="ORupert" w:hAnsi="ORupert"/>
      <w:sz w:val="56"/>
      <w:szCs w:val="20"/>
      <w:lang w:eastAsia="en-US"/>
    </w:rPr>
  </w:style>
  <w:style w:type="paragraph" w:customStyle="1" w:styleId="TitleTitle">
    <w:name w:val="Title Title"/>
    <w:basedOn w:val="TitleLogo"/>
    <w:rsid w:val="00C41C82"/>
    <w:pPr>
      <w:pBdr>
        <w:top w:val="single" w:sz="6" w:space="30" w:color="auto"/>
      </w:pBdr>
      <w:spacing w:after="0"/>
      <w:ind w:left="2410"/>
    </w:pPr>
    <w:rPr>
      <w:rFonts w:ascii="Helvetica" w:hAnsi="Helvetica"/>
      <w:b/>
      <w:i/>
      <w:caps/>
      <w:color w:val="00257E"/>
      <w:sz w:val="28"/>
    </w:rPr>
  </w:style>
  <w:style w:type="paragraph" w:customStyle="1" w:styleId="TitleSubTitle">
    <w:name w:val="Title Sub Title"/>
    <w:basedOn w:val="TitleTitle"/>
    <w:rsid w:val="00C41C82"/>
    <w:pPr>
      <w:pBdr>
        <w:top w:val="none" w:sz="0" w:space="0" w:color="auto"/>
        <w:bottom w:val="single" w:sz="6" w:space="31" w:color="auto"/>
      </w:pBdr>
      <w:spacing w:before="240"/>
    </w:pPr>
    <w:rPr>
      <w:i w:val="0"/>
      <w:caps w:val="0"/>
      <w:color w:val="auto"/>
      <w:sz w:val="24"/>
    </w:rPr>
  </w:style>
  <w:style w:type="paragraph" w:customStyle="1" w:styleId="TitlePreparedBy">
    <w:name w:val="Title Prepared By"/>
    <w:basedOn w:val="Normal"/>
    <w:rsid w:val="00C41C82"/>
    <w:pPr>
      <w:spacing w:before="600"/>
      <w:ind w:left="2880"/>
    </w:pPr>
    <w:rPr>
      <w:rFonts w:ascii="Garamond" w:hAnsi="Garamond"/>
      <w:b/>
      <w:sz w:val="22"/>
      <w:szCs w:val="20"/>
      <w:lang w:eastAsia="en-US"/>
    </w:rPr>
  </w:style>
  <w:style w:type="paragraph" w:customStyle="1" w:styleId="TitleAlsoPreparedBy">
    <w:name w:val="Title Also Prepared By"/>
    <w:basedOn w:val="TitlePreparedBy"/>
    <w:rsid w:val="00C41C82"/>
  </w:style>
  <w:style w:type="paragraph" w:customStyle="1" w:styleId="ByLine">
    <w:name w:val="ByLine"/>
    <w:basedOn w:val="TitleAlsoPreparedBy"/>
    <w:rsid w:val="00C41C82"/>
  </w:style>
  <w:style w:type="paragraph" w:customStyle="1" w:styleId="BodyHeader">
    <w:name w:val="Body Header"/>
    <w:basedOn w:val="Header"/>
    <w:rsid w:val="00C41C82"/>
  </w:style>
  <w:style w:type="paragraph" w:styleId="TOC1">
    <w:name w:val="toc 1"/>
    <w:basedOn w:val="Normal"/>
    <w:next w:val="Normal"/>
    <w:uiPriority w:val="39"/>
    <w:rsid w:val="00C41C82"/>
    <w:pPr>
      <w:tabs>
        <w:tab w:val="right" w:pos="8648"/>
      </w:tabs>
      <w:spacing w:before="360"/>
    </w:pPr>
    <w:rPr>
      <w:rFonts w:ascii="Arial" w:hAnsi="Arial"/>
      <w:b/>
      <w:caps/>
      <w:sz w:val="22"/>
      <w:szCs w:val="20"/>
      <w:lang w:eastAsia="en-US"/>
    </w:rPr>
  </w:style>
  <w:style w:type="paragraph" w:styleId="TOC2">
    <w:name w:val="toc 2"/>
    <w:basedOn w:val="Normal"/>
    <w:next w:val="Normal"/>
    <w:uiPriority w:val="39"/>
    <w:rsid w:val="00C41C82"/>
    <w:pPr>
      <w:tabs>
        <w:tab w:val="right" w:pos="8648"/>
      </w:tabs>
      <w:spacing w:before="240"/>
    </w:pPr>
    <w:rPr>
      <w:b/>
      <w:sz w:val="20"/>
      <w:szCs w:val="20"/>
      <w:lang w:eastAsia="en-US"/>
    </w:rPr>
  </w:style>
  <w:style w:type="paragraph" w:customStyle="1" w:styleId="body">
    <w:name w:val="body"/>
    <w:basedOn w:val="Normal"/>
    <w:rsid w:val="00C41C82"/>
    <w:pPr>
      <w:spacing w:after="240"/>
      <w:ind w:left="720" w:hanging="720"/>
    </w:pPr>
    <w:rPr>
      <w:rFonts w:ascii="Garamond" w:hAnsi="Garamond"/>
      <w:szCs w:val="20"/>
      <w:lang w:eastAsia="en-US"/>
    </w:rPr>
  </w:style>
  <w:style w:type="paragraph" w:styleId="TOC3">
    <w:name w:val="toc 3"/>
    <w:basedOn w:val="Normal"/>
    <w:next w:val="Normal"/>
    <w:uiPriority w:val="39"/>
    <w:rsid w:val="00C41C82"/>
    <w:pPr>
      <w:tabs>
        <w:tab w:val="right" w:pos="8648"/>
      </w:tabs>
      <w:ind w:left="200"/>
    </w:pPr>
    <w:rPr>
      <w:sz w:val="20"/>
      <w:szCs w:val="20"/>
      <w:lang w:eastAsia="en-US"/>
    </w:rPr>
  </w:style>
  <w:style w:type="paragraph" w:styleId="TOC4">
    <w:name w:val="toc 4"/>
    <w:basedOn w:val="Normal"/>
    <w:next w:val="Normal"/>
    <w:rsid w:val="00C41C82"/>
    <w:pPr>
      <w:tabs>
        <w:tab w:val="right" w:pos="8648"/>
      </w:tabs>
      <w:ind w:left="400"/>
    </w:pPr>
    <w:rPr>
      <w:sz w:val="20"/>
      <w:szCs w:val="20"/>
      <w:lang w:eastAsia="en-US"/>
    </w:rPr>
  </w:style>
  <w:style w:type="paragraph" w:styleId="TOC5">
    <w:name w:val="toc 5"/>
    <w:basedOn w:val="Normal"/>
    <w:next w:val="Normal"/>
    <w:semiHidden/>
    <w:rsid w:val="00C41C82"/>
    <w:pPr>
      <w:tabs>
        <w:tab w:val="right" w:pos="8648"/>
      </w:tabs>
      <w:ind w:left="600"/>
    </w:pPr>
    <w:rPr>
      <w:sz w:val="20"/>
      <w:szCs w:val="20"/>
      <w:lang w:eastAsia="en-US"/>
    </w:rPr>
  </w:style>
  <w:style w:type="paragraph" w:styleId="TOC6">
    <w:name w:val="toc 6"/>
    <w:basedOn w:val="Normal"/>
    <w:next w:val="Normal"/>
    <w:semiHidden/>
    <w:rsid w:val="00C41C82"/>
    <w:pPr>
      <w:tabs>
        <w:tab w:val="right" w:pos="8648"/>
      </w:tabs>
      <w:ind w:left="800"/>
    </w:pPr>
    <w:rPr>
      <w:sz w:val="20"/>
      <w:szCs w:val="20"/>
      <w:lang w:eastAsia="en-US"/>
    </w:rPr>
  </w:style>
  <w:style w:type="paragraph" w:styleId="TOC7">
    <w:name w:val="toc 7"/>
    <w:basedOn w:val="Normal"/>
    <w:next w:val="Normal"/>
    <w:semiHidden/>
    <w:rsid w:val="00C41C82"/>
    <w:pPr>
      <w:tabs>
        <w:tab w:val="right" w:pos="8648"/>
      </w:tabs>
      <w:ind w:left="1000"/>
    </w:pPr>
    <w:rPr>
      <w:sz w:val="20"/>
      <w:szCs w:val="20"/>
      <w:lang w:eastAsia="en-US"/>
    </w:rPr>
  </w:style>
  <w:style w:type="paragraph" w:styleId="TOC8">
    <w:name w:val="toc 8"/>
    <w:basedOn w:val="Normal"/>
    <w:next w:val="Normal"/>
    <w:semiHidden/>
    <w:rsid w:val="00C41C82"/>
    <w:pPr>
      <w:tabs>
        <w:tab w:val="right" w:pos="8648"/>
      </w:tabs>
      <w:ind w:left="1200"/>
    </w:pPr>
    <w:rPr>
      <w:sz w:val="20"/>
      <w:szCs w:val="20"/>
      <w:lang w:eastAsia="en-US"/>
    </w:rPr>
  </w:style>
  <w:style w:type="paragraph" w:styleId="TOC9">
    <w:name w:val="toc 9"/>
    <w:basedOn w:val="Normal"/>
    <w:next w:val="Normal"/>
    <w:semiHidden/>
    <w:rsid w:val="00C41C82"/>
    <w:pPr>
      <w:tabs>
        <w:tab w:val="right" w:pos="8648"/>
      </w:tabs>
      <w:ind w:left="1400"/>
    </w:pPr>
    <w:rPr>
      <w:sz w:val="20"/>
      <w:szCs w:val="20"/>
      <w:lang w:eastAsia="en-US"/>
    </w:rPr>
  </w:style>
  <w:style w:type="paragraph" w:customStyle="1" w:styleId="Gap">
    <w:name w:val="Gap"/>
    <w:basedOn w:val="BodyHeader"/>
    <w:rsid w:val="00C41C82"/>
  </w:style>
  <w:style w:type="paragraph" w:customStyle="1" w:styleId="Appendix">
    <w:name w:val="Appendix"/>
    <w:basedOn w:val="Heading2"/>
    <w:rsid w:val="00C41C82"/>
    <w:pPr>
      <w:keepNext w:val="0"/>
      <w:numPr>
        <w:numId w:val="0"/>
      </w:numPr>
      <w:spacing w:before="240" w:after="240"/>
      <w:jc w:val="center"/>
      <w:outlineLvl w:val="9"/>
    </w:pPr>
    <w:rPr>
      <w:rFonts w:ascii="Garamond" w:hAnsi="Garamond"/>
      <w:sz w:val="32"/>
    </w:rPr>
  </w:style>
  <w:style w:type="paragraph" w:customStyle="1" w:styleId="AppendixNormal">
    <w:name w:val="AppendixNormal"/>
    <w:basedOn w:val="BodyText"/>
    <w:rsid w:val="00C41C82"/>
    <w:pPr>
      <w:spacing w:after="240"/>
      <w:jc w:val="both"/>
    </w:pPr>
    <w:rPr>
      <w:rFonts w:ascii="Garamond" w:hAnsi="Garamond"/>
    </w:rPr>
  </w:style>
  <w:style w:type="paragraph" w:customStyle="1" w:styleId="MainHeadingChar">
    <w:name w:val="MainHeading Char"/>
    <w:basedOn w:val="Heading1"/>
    <w:next w:val="BodyText"/>
    <w:link w:val="MainHeadingCharChar"/>
    <w:rsid w:val="00C41C82"/>
    <w:pPr>
      <w:keepNext w:val="0"/>
      <w:pBdr>
        <w:left w:val="single" w:sz="6" w:space="1" w:color="00257E"/>
        <w:bottom w:val="single" w:sz="6" w:space="1" w:color="00257E"/>
      </w:pBdr>
      <w:spacing w:before="0" w:after="480"/>
      <w:outlineLvl w:val="9"/>
    </w:pPr>
    <w:rPr>
      <w:rFonts w:ascii="Arial" w:hAnsi="Arial"/>
      <w:bCs w:val="0"/>
      <w:kern w:val="28"/>
      <w:sz w:val="28"/>
      <w:szCs w:val="20"/>
    </w:rPr>
  </w:style>
  <w:style w:type="paragraph" w:customStyle="1" w:styleId="HR3">
    <w:name w:val="HR3"/>
    <w:basedOn w:val="Heading4"/>
    <w:next w:val="Heading2"/>
    <w:rsid w:val="00C41C82"/>
    <w:pPr>
      <w:keepLines w:val="0"/>
      <w:spacing w:before="240" w:after="60" w:line="240" w:lineRule="auto"/>
      <w:ind w:left="720"/>
      <w:outlineLvl w:val="9"/>
    </w:pPr>
    <w:rPr>
      <w:rFonts w:ascii="Garamond" w:eastAsia="Times New Roman" w:hAnsi="Garamond" w:cs="Times New Roman"/>
      <w:bCs w:val="0"/>
      <w:iCs w:val="0"/>
      <w:color w:val="00257E"/>
      <w:szCs w:val="20"/>
    </w:rPr>
  </w:style>
  <w:style w:type="paragraph" w:customStyle="1" w:styleId="HRsub2">
    <w:name w:val="HRsub2"/>
    <w:basedOn w:val="HR3"/>
    <w:next w:val="BodyText"/>
    <w:rsid w:val="00C41C82"/>
  </w:style>
  <w:style w:type="paragraph" w:customStyle="1" w:styleId="HRtable">
    <w:name w:val="HRtable"/>
    <w:basedOn w:val="Heading3"/>
    <w:rsid w:val="00C41C82"/>
    <w:pPr>
      <w:keepNext w:val="0"/>
      <w:keepLines w:val="0"/>
      <w:spacing w:before="0"/>
      <w:outlineLvl w:val="9"/>
    </w:pPr>
    <w:rPr>
      <w:rFonts w:ascii="Arial" w:hAnsi="Arial"/>
      <w:b w:val="0"/>
      <w:bCs w:val="0"/>
      <w:color w:val="000000"/>
      <w:sz w:val="22"/>
      <w:szCs w:val="20"/>
      <w:lang w:eastAsia="en-US"/>
    </w:rPr>
  </w:style>
  <w:style w:type="paragraph" w:customStyle="1" w:styleId="TableSpacer">
    <w:name w:val="TableSpacer"/>
    <w:basedOn w:val="Normal"/>
    <w:next w:val="Heading2"/>
    <w:rsid w:val="00C41C82"/>
    <w:pPr>
      <w:spacing w:before="240"/>
    </w:pPr>
    <w:rPr>
      <w:rFonts w:ascii="Arial" w:hAnsi="Arial"/>
      <w:b/>
      <w:color w:val="FFFFFF"/>
      <w:sz w:val="28"/>
      <w:szCs w:val="20"/>
      <w:lang w:eastAsia="en-US"/>
    </w:rPr>
  </w:style>
  <w:style w:type="paragraph" w:customStyle="1" w:styleId="HRnum">
    <w:name w:val="HRnum"/>
    <w:basedOn w:val="HRbullet"/>
    <w:rsid w:val="00C41C82"/>
    <w:pPr>
      <w:numPr>
        <w:numId w:val="0"/>
      </w:numPr>
      <w:tabs>
        <w:tab w:val="num" w:pos="720"/>
      </w:tabs>
      <w:ind w:left="1440" w:hanging="720"/>
    </w:pPr>
  </w:style>
  <w:style w:type="character" w:customStyle="1" w:styleId="BodyTextChar1">
    <w:name w:val="Body Text Char1"/>
    <w:aliases w:val="Body Text Char Char"/>
    <w:basedOn w:val="DefaultParagraphFont"/>
    <w:rsid w:val="00C41C82"/>
    <w:rPr>
      <w:rFonts w:ascii="Garamond" w:hAnsi="Garamond"/>
      <w:sz w:val="24"/>
      <w:lang w:val="en-GB" w:eastAsia="en-US" w:bidi="ar-SA"/>
    </w:rPr>
  </w:style>
  <w:style w:type="character" w:customStyle="1" w:styleId="Heading1Char1">
    <w:name w:val="Heading 1 Char1"/>
    <w:aliases w:val="Heading 1 Char Char,HR1 Char Char"/>
    <w:basedOn w:val="DefaultParagraphFont"/>
    <w:rsid w:val="00C41C82"/>
    <w:rPr>
      <w:rFonts w:ascii="Arial" w:hAnsi="Arial"/>
      <w:b/>
      <w:kern w:val="28"/>
      <w:sz w:val="28"/>
      <w:lang w:val="en-GB" w:eastAsia="en-US" w:bidi="ar-SA"/>
    </w:rPr>
  </w:style>
  <w:style w:type="character" w:customStyle="1" w:styleId="MainHeadingCharChar">
    <w:name w:val="MainHeading Char Char"/>
    <w:basedOn w:val="Heading1Char1"/>
    <w:link w:val="MainHeadingChar"/>
    <w:rsid w:val="00C41C82"/>
    <w:rPr>
      <w:rFonts w:ascii="Arial" w:eastAsia="Times New Roman" w:hAnsi="Arial" w:cs="Times New Roman"/>
      <w:b/>
      <w:kern w:val="28"/>
      <w:sz w:val="28"/>
      <w:szCs w:val="20"/>
      <w:lang w:val="en-GB" w:eastAsia="en-US" w:bidi="ar-SA"/>
    </w:rPr>
  </w:style>
  <w:style w:type="character" w:customStyle="1" w:styleId="BulletHymansChar">
    <w:name w:val="Bullet Hymans Char"/>
    <w:basedOn w:val="DefaultParagraphFont"/>
    <w:link w:val="BulletHymans"/>
    <w:uiPriority w:val="2"/>
    <w:rsid w:val="00C41C82"/>
    <w:rPr>
      <w:rFonts w:ascii="Arial" w:eastAsia="Times New Roman" w:hAnsi="Arial" w:cs="Arial"/>
      <w:iCs/>
      <w:color w:val="4B4B4B"/>
      <w:sz w:val="20"/>
      <w:szCs w:val="20"/>
      <w:lang w:val="en-GB"/>
    </w:rPr>
  </w:style>
  <w:style w:type="numbering" w:customStyle="1" w:styleId="HRNumber">
    <w:name w:val="HR Number"/>
    <w:uiPriority w:val="99"/>
    <w:rsid w:val="00C41C82"/>
    <w:pPr>
      <w:numPr>
        <w:numId w:val="40"/>
      </w:numPr>
    </w:pPr>
  </w:style>
  <w:style w:type="paragraph" w:customStyle="1" w:styleId="NumberHymans">
    <w:name w:val="Number Hymans"/>
    <w:uiPriority w:val="2"/>
    <w:qFormat/>
    <w:rsid w:val="00C41C82"/>
    <w:pPr>
      <w:numPr>
        <w:numId w:val="41"/>
      </w:numPr>
      <w:spacing w:after="140" w:line="280" w:lineRule="exact"/>
    </w:pPr>
    <w:rPr>
      <w:rFonts w:ascii="Arial" w:eastAsia="Times New Roman" w:hAnsi="Arial" w:cs="Arial"/>
      <w:iCs/>
      <w:color w:val="4B4B4B"/>
      <w:sz w:val="20"/>
      <w:szCs w:val="20"/>
      <w:lang w:val="en-GB"/>
    </w:rPr>
  </w:style>
  <w:style w:type="numbering" w:customStyle="1" w:styleId="NoList1">
    <w:name w:val="No List1"/>
    <w:next w:val="NoList"/>
    <w:uiPriority w:val="99"/>
    <w:semiHidden/>
    <w:unhideWhenUsed/>
    <w:rsid w:val="00C41C82"/>
  </w:style>
  <w:style w:type="table" w:customStyle="1" w:styleId="TableGrid1">
    <w:name w:val="Table Grid1"/>
    <w:basedOn w:val="TableNormal"/>
    <w:next w:val="TableGrid"/>
    <w:uiPriority w:val="99"/>
    <w:rsid w:val="00C41C8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Num">
    <w:name w:val="Body Text Num"/>
    <w:basedOn w:val="BodyText"/>
    <w:rsid w:val="00C41C82"/>
    <w:pPr>
      <w:spacing w:before="20" w:after="200" w:line="280" w:lineRule="atLeast"/>
    </w:pPr>
    <w:rPr>
      <w:rFonts w:ascii="Arial" w:hAnsi="Arial" w:cs="Arial"/>
      <w:iCs/>
      <w:color w:val="4B4B4B"/>
      <w:sz w:val="20"/>
    </w:rPr>
  </w:style>
  <w:style w:type="paragraph" w:customStyle="1" w:styleId="NumberedParagraph">
    <w:name w:val="Numbered Paragraph"/>
    <w:basedOn w:val="Heading2"/>
    <w:rsid w:val="00427FA7"/>
    <w:pPr>
      <w:numPr>
        <w:numId w:val="0"/>
      </w:numPr>
      <w:tabs>
        <w:tab w:val="num" w:pos="720"/>
      </w:tabs>
    </w:pPr>
    <w:rPr>
      <w:rFonts w:ascii="Arial" w:hAnsi="Arial" w:cs="Arial"/>
      <w:b w:val="0"/>
      <w:szCs w:val="24"/>
    </w:rPr>
  </w:style>
  <w:style w:type="paragraph" w:customStyle="1" w:styleId="text">
    <w:name w:val="text"/>
    <w:basedOn w:val="Normal"/>
    <w:rsid w:val="00427FA7"/>
    <w:pPr>
      <w:spacing w:before="100" w:beforeAutospacing="1" w:after="100" w:afterAutospacing="1"/>
    </w:pPr>
    <w:rPr>
      <w:rFonts w:ascii="Arial" w:hAnsi="Arial" w:cs="Arial"/>
      <w:color w:val="666666"/>
      <w:sz w:val="20"/>
      <w:szCs w:val="20"/>
    </w:rPr>
  </w:style>
  <w:style w:type="paragraph" w:customStyle="1" w:styleId="hBullet2">
    <w:name w:val="hBullet2"/>
    <w:basedOn w:val="BodyText"/>
    <w:rsid w:val="009A2BC1"/>
    <w:pPr>
      <w:widowControl w:val="0"/>
      <w:numPr>
        <w:numId w:val="51"/>
      </w:numPr>
      <w:tabs>
        <w:tab w:val="clear" w:pos="1418"/>
        <w:tab w:val="num" w:pos="360"/>
      </w:tabs>
      <w:spacing w:before="120" w:line="280" w:lineRule="atLeast"/>
      <w:ind w:left="0" w:firstLine="0"/>
    </w:pPr>
    <w:rPr>
      <w:rFonts w:ascii="Arial" w:hAnsi="Arial"/>
      <w:color w:val="4B4B4B"/>
      <w:sz w:val="20"/>
      <w:szCs w:val="24"/>
    </w:rPr>
  </w:style>
  <w:style w:type="paragraph" w:customStyle="1" w:styleId="hBullet1">
    <w:name w:val="hBullet1"/>
    <w:basedOn w:val="BodyText"/>
    <w:rsid w:val="00965ADA"/>
    <w:pPr>
      <w:widowControl w:val="0"/>
      <w:numPr>
        <w:numId w:val="57"/>
      </w:numPr>
      <w:tabs>
        <w:tab w:val="clear" w:pos="851"/>
        <w:tab w:val="num" w:pos="360"/>
      </w:tabs>
      <w:spacing w:before="120" w:line="280" w:lineRule="atLeast"/>
      <w:ind w:left="0" w:firstLine="0"/>
    </w:pPr>
    <w:rPr>
      <w:rFonts w:ascii="Arial" w:hAnsi="Arial"/>
      <w:color w:val="4B4B4B"/>
      <w:sz w:val="20"/>
      <w:szCs w:val="24"/>
    </w:rPr>
  </w:style>
  <w:style w:type="character" w:customStyle="1" w:styleId="Mention1">
    <w:name w:val="Mention1"/>
    <w:basedOn w:val="DefaultParagraphFont"/>
    <w:uiPriority w:val="99"/>
    <w:semiHidden/>
    <w:unhideWhenUsed/>
    <w:rsid w:val="00CF4A1C"/>
    <w:rPr>
      <w:color w:val="2B579A"/>
      <w:shd w:val="clear" w:color="auto" w:fill="E6E6E6"/>
    </w:rPr>
  </w:style>
  <w:style w:type="paragraph" w:customStyle="1" w:styleId="Appendix2">
    <w:name w:val="Appendix 2"/>
    <w:basedOn w:val="Heading2"/>
    <w:next w:val="BodyTextGrey"/>
    <w:uiPriority w:val="3"/>
    <w:qFormat/>
    <w:rsid w:val="00CE7E8A"/>
    <w:pPr>
      <w:keepLines/>
      <w:numPr>
        <w:numId w:val="0"/>
      </w:numPr>
      <w:spacing w:line="280" w:lineRule="atLeast"/>
    </w:pPr>
    <w:rPr>
      <w:rFonts w:ascii="Arial" w:hAnsi="Arial" w:cs="Arial"/>
      <w:iCs/>
      <w:color w:val="4472C4" w:themeColor="accent1"/>
      <w:sz w:val="20"/>
      <w:szCs w:val="22"/>
    </w:rPr>
  </w:style>
  <w:style w:type="paragraph" w:customStyle="1" w:styleId="Appendix3">
    <w:name w:val="Appendix 3"/>
    <w:basedOn w:val="Heading3"/>
    <w:next w:val="BodyTextGrey"/>
    <w:uiPriority w:val="3"/>
    <w:qFormat/>
    <w:rsid w:val="00CE7E8A"/>
    <w:pPr>
      <w:spacing w:before="20" w:after="20" w:line="280" w:lineRule="atLeast"/>
    </w:pPr>
    <w:rPr>
      <w:rFonts w:ascii="Arial" w:hAnsi="Arial" w:cs="Arial"/>
      <w:bCs w:val="0"/>
      <w:iCs/>
      <w:color w:val="000000" w:themeColor="text1"/>
      <w:sz w:val="20"/>
      <w:szCs w:val="20"/>
      <w:lang w:eastAsia="en-US"/>
    </w:rPr>
  </w:style>
  <w:style w:type="paragraph" w:customStyle="1" w:styleId="FooterText">
    <w:name w:val="Footer Text"/>
    <w:basedOn w:val="Normal"/>
    <w:uiPriority w:val="4"/>
    <w:rsid w:val="00CE7E8A"/>
    <w:pPr>
      <w:keepLines/>
      <w:pBdr>
        <w:top w:val="single" w:sz="2" w:space="4" w:color="646464"/>
      </w:pBdr>
      <w:spacing w:before="20" w:line="280" w:lineRule="atLeast"/>
      <w:ind w:left="-425"/>
    </w:pPr>
    <w:rPr>
      <w:rFonts w:ascii="Arial" w:hAnsi="Arial" w:cs="Arial"/>
      <w:iCs/>
      <w:color w:val="4B4B4B"/>
      <w:sz w:val="20"/>
      <w:szCs w:val="20"/>
    </w:rPr>
  </w:style>
  <w:style w:type="paragraph" w:customStyle="1" w:styleId="FreedomHeading">
    <w:name w:val="Freedom Heading"/>
    <w:basedOn w:val="Heading1"/>
    <w:next w:val="Normal"/>
    <w:uiPriority w:val="4"/>
    <w:rsid w:val="00CE7E8A"/>
    <w:pPr>
      <w:keepLines/>
      <w:spacing w:before="140" w:after="140" w:line="360" w:lineRule="atLeast"/>
    </w:pPr>
    <w:rPr>
      <w:rFonts w:ascii="Arial" w:hAnsi="Arial"/>
      <w:b w:val="0"/>
      <w:bCs w:val="0"/>
      <w:caps/>
      <w:color w:val="40A6CC"/>
      <w:kern w:val="28"/>
      <w:sz w:val="36"/>
      <w:szCs w:val="20"/>
    </w:rPr>
  </w:style>
  <w:style w:type="paragraph" w:customStyle="1" w:styleId="hBullets">
    <w:name w:val="hBullets"/>
    <w:uiPriority w:val="3"/>
    <w:rsid w:val="00CE7E8A"/>
    <w:pPr>
      <w:numPr>
        <w:numId w:val="78"/>
      </w:numPr>
      <w:spacing w:before="20" w:after="20" w:line="280" w:lineRule="atLeast"/>
    </w:pPr>
    <w:rPr>
      <w:rFonts w:ascii="Arial" w:eastAsia="Times New Roman" w:hAnsi="Arial" w:cs="Times New Roman"/>
      <w:color w:val="4B4B4B"/>
      <w:sz w:val="20"/>
      <w:szCs w:val="24"/>
      <w:lang w:val="en-GB" w:eastAsia="en-GB"/>
    </w:rPr>
  </w:style>
  <w:style w:type="paragraph" w:customStyle="1" w:styleId="Heading1Num">
    <w:name w:val="Heading 1 Num"/>
    <w:basedOn w:val="Heading1"/>
    <w:next w:val="BodyTextGrey"/>
    <w:uiPriority w:val="1"/>
    <w:qFormat/>
    <w:rsid w:val="00CE7E8A"/>
    <w:pPr>
      <w:keepLines/>
      <w:numPr>
        <w:numId w:val="81"/>
      </w:numPr>
      <w:spacing w:before="140" w:after="140" w:line="360" w:lineRule="atLeast"/>
    </w:pPr>
    <w:rPr>
      <w:rFonts w:ascii="Arial" w:hAnsi="Arial"/>
      <w:b w:val="0"/>
      <w:bCs w:val="0"/>
      <w:color w:val="3FA6CC"/>
      <w:kern w:val="28"/>
      <w:sz w:val="36"/>
      <w:szCs w:val="20"/>
    </w:rPr>
  </w:style>
  <w:style w:type="paragraph" w:customStyle="1" w:styleId="Heading2Num">
    <w:name w:val="Heading 2 Num"/>
    <w:basedOn w:val="Heading2"/>
    <w:next w:val="BodyTextGrey"/>
    <w:link w:val="Heading2NumChar"/>
    <w:uiPriority w:val="1"/>
    <w:qFormat/>
    <w:rsid w:val="00CE7E8A"/>
    <w:pPr>
      <w:keepLines/>
      <w:numPr>
        <w:ilvl w:val="1"/>
        <w:numId w:val="81"/>
      </w:numPr>
      <w:spacing w:line="280" w:lineRule="atLeast"/>
    </w:pPr>
    <w:rPr>
      <w:rFonts w:ascii="Arial" w:hAnsi="Arial" w:cs="Arial"/>
      <w:iCs/>
      <w:color w:val="4472C4" w:themeColor="accent1"/>
      <w:sz w:val="20"/>
    </w:rPr>
  </w:style>
  <w:style w:type="paragraph" w:customStyle="1" w:styleId="Heading3Num">
    <w:name w:val="Heading 3 Num"/>
    <w:basedOn w:val="Heading3"/>
    <w:next w:val="BodyTextGrey"/>
    <w:uiPriority w:val="1"/>
    <w:qFormat/>
    <w:rsid w:val="00CE7E8A"/>
    <w:pPr>
      <w:numPr>
        <w:ilvl w:val="2"/>
        <w:numId w:val="81"/>
      </w:numPr>
      <w:spacing w:before="20" w:after="20" w:line="280" w:lineRule="atLeast"/>
    </w:pPr>
    <w:rPr>
      <w:rFonts w:ascii="Arial" w:hAnsi="Arial" w:cs="Arial"/>
      <w:bCs w:val="0"/>
      <w:iCs/>
      <w:color w:val="000000" w:themeColor="text1"/>
      <w:sz w:val="20"/>
      <w:szCs w:val="20"/>
      <w:lang w:eastAsia="en-US"/>
    </w:rPr>
  </w:style>
  <w:style w:type="paragraph" w:customStyle="1" w:styleId="hNumber1">
    <w:name w:val="hNumber1"/>
    <w:rsid w:val="00CE7E8A"/>
    <w:pPr>
      <w:widowControl w:val="0"/>
      <w:numPr>
        <w:numId w:val="79"/>
      </w:numPr>
      <w:spacing w:before="20" w:after="20" w:line="280" w:lineRule="atLeast"/>
    </w:pPr>
    <w:rPr>
      <w:rFonts w:ascii="Arial" w:eastAsia="Times New Roman" w:hAnsi="Arial" w:cs="Times New Roman"/>
      <w:color w:val="4B4B4B"/>
      <w:sz w:val="20"/>
      <w:szCs w:val="24"/>
      <w:lang w:val="en-GB" w:eastAsia="en-GB"/>
    </w:rPr>
  </w:style>
  <w:style w:type="paragraph" w:customStyle="1" w:styleId="HymanHeader">
    <w:name w:val="HymanHeader"/>
    <w:basedOn w:val="Normal"/>
    <w:uiPriority w:val="3"/>
    <w:rsid w:val="00CE7E8A"/>
    <w:pPr>
      <w:pBdr>
        <w:top w:val="single" w:sz="2" w:space="4" w:color="646464"/>
      </w:pBdr>
      <w:spacing w:before="20" w:after="200" w:line="280" w:lineRule="atLeast"/>
      <w:ind w:left="-425"/>
    </w:pPr>
    <w:rPr>
      <w:rFonts w:ascii="Arial" w:hAnsi="Arial" w:cs="Arial"/>
      <w:iCs/>
      <w:color w:val="4B4B4B"/>
      <w:sz w:val="20"/>
      <w:szCs w:val="20"/>
      <w:lang w:val="fr-FR"/>
    </w:rPr>
  </w:style>
  <w:style w:type="paragraph" w:customStyle="1" w:styleId="LetterDate">
    <w:name w:val="Letter Date"/>
    <w:basedOn w:val="Normal"/>
    <w:uiPriority w:val="3"/>
    <w:rsid w:val="00CE7E8A"/>
    <w:pPr>
      <w:spacing w:before="480" w:after="480" w:line="280" w:lineRule="atLeast"/>
    </w:pPr>
    <w:rPr>
      <w:rFonts w:ascii="Arial" w:hAnsi="Arial"/>
      <w:iCs/>
      <w:color w:val="646464"/>
      <w:sz w:val="20"/>
      <w:szCs w:val="28"/>
    </w:rPr>
  </w:style>
  <w:style w:type="paragraph" w:customStyle="1" w:styleId="ListBullet-Hymans">
    <w:name w:val="List Bullet - Hymans"/>
    <w:basedOn w:val="Normal"/>
    <w:uiPriority w:val="3"/>
    <w:rsid w:val="00CE7E8A"/>
    <w:pPr>
      <w:tabs>
        <w:tab w:val="num" w:pos="360"/>
      </w:tabs>
      <w:spacing w:before="20" w:line="280" w:lineRule="atLeast"/>
      <w:ind w:left="360" w:hanging="360"/>
      <w:jc w:val="both"/>
    </w:pPr>
    <w:rPr>
      <w:rFonts w:ascii="Arial" w:hAnsi="Arial" w:cs="Arial"/>
      <w:iCs/>
      <w:color w:val="000000" w:themeColor="text1"/>
      <w:sz w:val="20"/>
      <w:szCs w:val="20"/>
    </w:rPr>
  </w:style>
  <w:style w:type="paragraph" w:customStyle="1" w:styleId="NormalLeft">
    <w:name w:val="Normal Left"/>
    <w:basedOn w:val="Normal"/>
    <w:uiPriority w:val="3"/>
    <w:rsid w:val="00CE7E8A"/>
    <w:pPr>
      <w:spacing w:before="20" w:line="280" w:lineRule="atLeast"/>
      <w:ind w:left="-400"/>
      <w:jc w:val="both"/>
    </w:pPr>
    <w:rPr>
      <w:rFonts w:ascii="Arial" w:hAnsi="Arial"/>
      <w:iCs/>
      <w:color w:val="000000" w:themeColor="text1"/>
      <w:sz w:val="20"/>
      <w:szCs w:val="20"/>
    </w:rPr>
  </w:style>
  <w:style w:type="paragraph" w:customStyle="1" w:styleId="Signatory">
    <w:name w:val="Signatory"/>
    <w:basedOn w:val="Normal"/>
    <w:uiPriority w:val="3"/>
    <w:rsid w:val="00CE7E8A"/>
    <w:pPr>
      <w:spacing w:before="20" w:after="200" w:line="280" w:lineRule="atLeast"/>
    </w:pPr>
    <w:rPr>
      <w:rFonts w:ascii="Arial" w:hAnsi="Arial" w:cs="Arial"/>
      <w:iCs/>
      <w:sz w:val="16"/>
      <w:szCs w:val="20"/>
    </w:rPr>
  </w:style>
  <w:style w:type="paragraph" w:customStyle="1" w:styleId="StyleLeft45cm">
    <w:name w:val="Style Left:  4.5 cm"/>
    <w:basedOn w:val="Normal"/>
    <w:uiPriority w:val="3"/>
    <w:rsid w:val="00CE7E8A"/>
    <w:pPr>
      <w:spacing w:before="20" w:line="280" w:lineRule="atLeast"/>
      <w:ind w:left="2552"/>
      <w:jc w:val="both"/>
    </w:pPr>
    <w:rPr>
      <w:rFonts w:ascii="Arial" w:hAnsi="Arial"/>
      <w:iCs/>
      <w:color w:val="000000" w:themeColor="text1"/>
      <w:sz w:val="20"/>
      <w:szCs w:val="20"/>
    </w:rPr>
  </w:style>
  <w:style w:type="paragraph" w:customStyle="1" w:styleId="StyleTenderVerticalSmallLeftBefore1ptAfter1pt">
    <w:name w:val="Style Tender Vertical Small + Left Before:  1 pt After:  1 pt"/>
    <w:basedOn w:val="TenderVerticalSmall"/>
    <w:uiPriority w:val="3"/>
    <w:rsid w:val="00CE7E8A"/>
    <w:pPr>
      <w:spacing w:after="20"/>
      <w:jc w:val="left"/>
    </w:pPr>
    <w:rPr>
      <w:rFonts w:cs="Times New Roman"/>
      <w:iCs w:val="0"/>
      <w:szCs w:val="20"/>
    </w:rPr>
  </w:style>
  <w:style w:type="paragraph" w:customStyle="1" w:styleId="TableColumn1">
    <w:name w:val="Table Column1"/>
    <w:basedOn w:val="TableHeader"/>
    <w:autoRedefine/>
    <w:uiPriority w:val="3"/>
    <w:rsid w:val="00CE7E8A"/>
  </w:style>
  <w:style w:type="paragraph" w:customStyle="1" w:styleId="TableHeader">
    <w:name w:val="Table Header"/>
    <w:basedOn w:val="TableText0"/>
    <w:uiPriority w:val="3"/>
    <w:rsid w:val="00CE7E8A"/>
    <w:pPr>
      <w:spacing w:after="20"/>
    </w:pPr>
    <w:rPr>
      <w:color w:val="FFFFFF"/>
    </w:rPr>
  </w:style>
  <w:style w:type="paragraph" w:customStyle="1" w:styleId="TableText0">
    <w:name w:val="Table Text"/>
    <w:basedOn w:val="Normal"/>
    <w:uiPriority w:val="3"/>
    <w:rsid w:val="00CE7E8A"/>
    <w:pPr>
      <w:spacing w:before="20" w:after="200" w:line="280" w:lineRule="atLeast"/>
    </w:pPr>
    <w:rPr>
      <w:rFonts w:ascii="Arial" w:hAnsi="Arial" w:cs="Arial"/>
      <w:iCs/>
      <w:sz w:val="20"/>
      <w:szCs w:val="20"/>
    </w:rPr>
  </w:style>
  <w:style w:type="paragraph" w:customStyle="1" w:styleId="TableHeaderText-Hymans">
    <w:name w:val="TableHeaderText - Hymans"/>
    <w:basedOn w:val="Normal"/>
    <w:uiPriority w:val="3"/>
    <w:rsid w:val="00CE7E8A"/>
    <w:pPr>
      <w:spacing w:before="20" w:line="280" w:lineRule="atLeast"/>
      <w:jc w:val="both"/>
    </w:pPr>
    <w:rPr>
      <w:iCs/>
      <w:color w:val="000000" w:themeColor="text1"/>
    </w:rPr>
  </w:style>
  <w:style w:type="paragraph" w:customStyle="1" w:styleId="TableText-Hymans">
    <w:name w:val="TableText - Hymans"/>
    <w:basedOn w:val="Normal"/>
    <w:uiPriority w:val="3"/>
    <w:rsid w:val="00CE7E8A"/>
    <w:pPr>
      <w:spacing w:before="20" w:line="280" w:lineRule="atLeast"/>
      <w:jc w:val="both"/>
    </w:pPr>
    <w:rPr>
      <w:iCs/>
      <w:color w:val="000000" w:themeColor="text1"/>
    </w:rPr>
  </w:style>
  <w:style w:type="paragraph" w:customStyle="1" w:styleId="TenderAppendix">
    <w:name w:val="Tender Appendix"/>
    <w:next w:val="Normal"/>
    <w:uiPriority w:val="3"/>
    <w:rsid w:val="00CE7E8A"/>
    <w:pPr>
      <w:keepNext/>
      <w:keepLines/>
      <w:spacing w:before="20" w:after="0" w:line="240" w:lineRule="auto"/>
    </w:pPr>
    <w:rPr>
      <w:rFonts w:ascii="Arial" w:eastAsia="Times New Roman" w:hAnsi="Arial" w:cs="Times New Roman"/>
      <w:caps/>
      <w:color w:val="40A6CC"/>
      <w:sz w:val="36"/>
      <w:szCs w:val="20"/>
      <w:lang w:val="en-GB" w:eastAsia="en-GB"/>
    </w:rPr>
  </w:style>
  <w:style w:type="paragraph" w:customStyle="1" w:styleId="TenderBluetext">
    <w:name w:val="Tender Blue text"/>
    <w:basedOn w:val="Normal"/>
    <w:rsid w:val="00CE7E8A"/>
    <w:pPr>
      <w:tabs>
        <w:tab w:val="right" w:pos="6271"/>
      </w:tabs>
      <w:spacing w:before="120" w:line="280" w:lineRule="atLeast"/>
    </w:pPr>
    <w:rPr>
      <w:rFonts w:ascii="Arial" w:hAnsi="Arial"/>
      <w:color w:val="3FA6CC"/>
      <w:sz w:val="20"/>
      <w:szCs w:val="20"/>
    </w:rPr>
  </w:style>
  <w:style w:type="paragraph" w:customStyle="1" w:styleId="TenderBullet">
    <w:name w:val="Tender Bullet"/>
    <w:basedOn w:val="Normal"/>
    <w:uiPriority w:val="3"/>
    <w:rsid w:val="00CE7E8A"/>
    <w:pPr>
      <w:tabs>
        <w:tab w:val="num" w:pos="360"/>
      </w:tabs>
      <w:spacing w:before="20" w:after="240" w:line="280" w:lineRule="atLeast"/>
      <w:ind w:left="360" w:right="-3" w:hanging="360"/>
      <w:jc w:val="both"/>
    </w:pPr>
    <w:rPr>
      <w:rFonts w:ascii="Arial" w:hAnsi="Arial" w:cs="Arial"/>
      <w:b/>
      <w:iCs/>
      <w:color w:val="000000" w:themeColor="text1"/>
      <w:sz w:val="20"/>
      <w:szCs w:val="20"/>
    </w:rPr>
  </w:style>
  <w:style w:type="paragraph" w:customStyle="1" w:styleId="TenderH1">
    <w:name w:val="Tender H1"/>
    <w:next w:val="Normal"/>
    <w:uiPriority w:val="3"/>
    <w:rsid w:val="00CE7E8A"/>
    <w:pPr>
      <w:keepNext/>
      <w:keepLines/>
      <w:tabs>
        <w:tab w:val="num" w:pos="0"/>
      </w:tabs>
      <w:spacing w:before="20" w:after="360" w:line="240" w:lineRule="auto"/>
      <w:ind w:hanging="403"/>
    </w:pPr>
    <w:rPr>
      <w:rFonts w:ascii="Arial" w:eastAsia="Times New Roman" w:hAnsi="Arial" w:cs="Times New Roman"/>
      <w:caps/>
      <w:color w:val="40A6CC"/>
      <w:sz w:val="36"/>
      <w:szCs w:val="20"/>
      <w:lang w:val="en-GB" w:eastAsia="en-GB"/>
    </w:rPr>
  </w:style>
  <w:style w:type="paragraph" w:customStyle="1" w:styleId="TenderH2">
    <w:name w:val="Tender H2"/>
    <w:basedOn w:val="Normal"/>
    <w:next w:val="Normal"/>
    <w:uiPriority w:val="3"/>
    <w:rsid w:val="00CE7E8A"/>
    <w:pPr>
      <w:keepNext/>
      <w:keepLines/>
      <w:tabs>
        <w:tab w:val="num" w:pos="0"/>
      </w:tabs>
      <w:spacing w:before="20" w:line="280" w:lineRule="atLeast"/>
      <w:jc w:val="both"/>
    </w:pPr>
    <w:rPr>
      <w:rFonts w:ascii="Arial" w:hAnsi="Arial" w:cs="Arial"/>
      <w:iCs/>
      <w:caps/>
      <w:color w:val="F06A00"/>
      <w:sz w:val="20"/>
      <w:szCs w:val="20"/>
    </w:rPr>
  </w:style>
  <w:style w:type="paragraph" w:customStyle="1" w:styleId="TenderIntro">
    <w:name w:val="Tender Intro"/>
    <w:uiPriority w:val="3"/>
    <w:rsid w:val="00CE7E8A"/>
    <w:pPr>
      <w:spacing w:before="20" w:after="360" w:line="240" w:lineRule="auto"/>
      <w:ind w:left="-403"/>
    </w:pPr>
    <w:rPr>
      <w:rFonts w:ascii="Arial" w:eastAsia="Times New Roman" w:hAnsi="Arial" w:cs="Times New Roman"/>
      <w:caps/>
      <w:color w:val="40A6CC"/>
      <w:sz w:val="36"/>
      <w:szCs w:val="20"/>
      <w:lang w:val="en-GB" w:eastAsia="en-GB"/>
    </w:rPr>
  </w:style>
  <w:style w:type="paragraph" w:customStyle="1" w:styleId="TenderQuestion">
    <w:name w:val="Tender Question"/>
    <w:next w:val="BodyTextGrey"/>
    <w:qFormat/>
    <w:rsid w:val="00CE7E8A"/>
    <w:pPr>
      <w:numPr>
        <w:numId w:val="80"/>
      </w:numPr>
      <w:tabs>
        <w:tab w:val="left" w:pos="567"/>
      </w:tabs>
      <w:spacing w:before="20" w:after="20" w:line="240" w:lineRule="auto"/>
    </w:pPr>
    <w:rPr>
      <w:rFonts w:ascii="Arial" w:eastAsia="Times New Roman" w:hAnsi="Arial" w:cs="Arial"/>
      <w:iCs/>
      <w:color w:val="3FA6CC"/>
      <w:sz w:val="20"/>
      <w:szCs w:val="20"/>
      <w:lang w:val="en-GB"/>
    </w:rPr>
  </w:style>
  <w:style w:type="paragraph" w:customStyle="1" w:styleId="TenderTableHeader">
    <w:name w:val="Tender Table Header"/>
    <w:basedOn w:val="Normal"/>
    <w:uiPriority w:val="3"/>
    <w:rsid w:val="00CE7E8A"/>
    <w:pPr>
      <w:spacing w:before="20" w:line="280" w:lineRule="atLeast"/>
      <w:jc w:val="both"/>
    </w:pPr>
    <w:rPr>
      <w:rFonts w:ascii="Arial" w:hAnsi="Arial" w:cs="Arial"/>
      <w:iCs/>
      <w:color w:val="FFFFFF"/>
      <w:sz w:val="20"/>
      <w:szCs w:val="20"/>
    </w:rPr>
  </w:style>
  <w:style w:type="paragraph" w:customStyle="1" w:styleId="TenderVerticalBigBlue">
    <w:name w:val="Tender Vertical Big Blue"/>
    <w:uiPriority w:val="3"/>
    <w:rsid w:val="00CE7E8A"/>
    <w:pPr>
      <w:tabs>
        <w:tab w:val="right" w:pos="9180"/>
      </w:tabs>
      <w:spacing w:before="20" w:after="0" w:line="280" w:lineRule="atLeast"/>
    </w:pPr>
    <w:rPr>
      <w:rFonts w:ascii="Arial" w:eastAsia="Times New Roman" w:hAnsi="Arial" w:cs="Arial"/>
      <w:iCs/>
      <w:caps/>
      <w:color w:val="40A6CC"/>
      <w:sz w:val="112"/>
      <w:szCs w:val="112"/>
      <w:lang w:val="en-GB" w:eastAsia="en-GB"/>
    </w:rPr>
  </w:style>
  <w:style w:type="paragraph" w:customStyle="1" w:styleId="TenderVerticalSmall">
    <w:name w:val="Tender Vertical Small"/>
    <w:basedOn w:val="Normal"/>
    <w:uiPriority w:val="3"/>
    <w:rsid w:val="00CE7E8A"/>
    <w:pPr>
      <w:tabs>
        <w:tab w:val="right" w:pos="9180"/>
      </w:tabs>
      <w:spacing w:before="20" w:line="280" w:lineRule="atLeast"/>
      <w:jc w:val="both"/>
    </w:pPr>
    <w:rPr>
      <w:rFonts w:ascii="Arial" w:hAnsi="Arial" w:cs="Arial"/>
      <w:iCs/>
      <w:caps/>
      <w:color w:val="646464"/>
      <w:sz w:val="36"/>
      <w:szCs w:val="36"/>
    </w:rPr>
  </w:style>
  <w:style w:type="paragraph" w:customStyle="1" w:styleId="Action">
    <w:name w:val="Action"/>
    <w:basedOn w:val="Normal"/>
    <w:link w:val="ActionChar"/>
    <w:uiPriority w:val="3"/>
    <w:rsid w:val="00CE7E8A"/>
    <w:pPr>
      <w:spacing w:before="20" w:after="200" w:line="280" w:lineRule="atLeast"/>
    </w:pPr>
    <w:rPr>
      <w:rFonts w:ascii="Arial" w:hAnsi="Arial" w:cs="Arial"/>
      <w:iCs/>
      <w:color w:val="3FA6CC"/>
      <w:sz w:val="20"/>
      <w:szCs w:val="20"/>
    </w:rPr>
  </w:style>
  <w:style w:type="character" w:customStyle="1" w:styleId="ActionChar">
    <w:name w:val="Action Char"/>
    <w:basedOn w:val="DefaultParagraphFont"/>
    <w:link w:val="Action"/>
    <w:uiPriority w:val="3"/>
    <w:rsid w:val="00CE7E8A"/>
    <w:rPr>
      <w:rFonts w:ascii="Arial" w:eastAsia="Times New Roman" w:hAnsi="Arial" w:cs="Arial"/>
      <w:iCs/>
      <w:color w:val="3FA6CC"/>
      <w:sz w:val="20"/>
      <w:szCs w:val="20"/>
      <w:lang w:val="en-GB" w:eastAsia="en-GB"/>
    </w:rPr>
  </w:style>
  <w:style w:type="table" w:customStyle="1" w:styleId="LightShading-Accent11">
    <w:name w:val="Light Shading - Accent 11"/>
    <w:aliases w:val="serena"/>
    <w:basedOn w:val="TableNormal"/>
    <w:uiPriority w:val="60"/>
    <w:rsid w:val="00CE7E8A"/>
    <w:pPr>
      <w:spacing w:before="20" w:after="0" w:line="240" w:lineRule="auto"/>
    </w:pPr>
    <w:rPr>
      <w:rFonts w:ascii="Times New Roman" w:eastAsia="Times New Roman" w:hAnsi="Times New Roman" w:cs="Times New Roman"/>
      <w:color w:val="2F5496" w:themeColor="accent1" w:themeShade="BF"/>
      <w:sz w:val="20"/>
      <w:szCs w:val="20"/>
      <w:lang w:val="en-GB" w:eastAsia="en-GB"/>
    </w:rPr>
    <w:tblPr>
      <w:tblStyleRowBandSize w:val="1"/>
      <w:tblStyleColBandSize w:val="1"/>
      <w:tblBorders>
        <w:top w:val="single" w:sz="8" w:space="0" w:color="4472C4" w:themeColor="accent1"/>
        <w:bottom w:val="single" w:sz="8" w:space="0" w:color="4472C4" w:themeColor="accent1"/>
      </w:tblBorders>
    </w:tblPr>
    <w:tcPr>
      <w:shd w:val="clear" w:color="auto" w:fill="auto"/>
    </w:tcPr>
    <w:tblStylePr w:type="firstRow">
      <w:pPr>
        <w:spacing w:before="0" w:after="0" w:line="240" w:lineRule="auto"/>
      </w:pPr>
      <w:rPr>
        <w:b/>
        <w:bCs/>
        <w:color w:val="auto"/>
      </w:rPr>
      <w:tblPr/>
      <w:tcPr>
        <w:shd w:val="clear" w:color="auto" w:fill="222A35" w:themeFill="text2" w:themeFillShade="80"/>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5">
    <w:name w:val="Light Shading Accent 5"/>
    <w:basedOn w:val="TableNormal"/>
    <w:uiPriority w:val="60"/>
    <w:rsid w:val="00CE7E8A"/>
    <w:pPr>
      <w:spacing w:before="20" w:after="0" w:line="240" w:lineRule="auto"/>
    </w:pPr>
    <w:rPr>
      <w:rFonts w:ascii="Times New Roman" w:eastAsia="Times New Roman" w:hAnsi="Times New Roman" w:cs="Times New Roman"/>
      <w:color w:val="2E74B5" w:themeColor="accent5" w:themeShade="BF"/>
      <w:sz w:val="20"/>
      <w:szCs w:val="20"/>
      <w:lang w:val="en-GB" w:eastAsia="en-GB"/>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paragraph" w:styleId="Caption">
    <w:name w:val="caption"/>
    <w:basedOn w:val="Normal"/>
    <w:next w:val="Normal"/>
    <w:uiPriority w:val="4"/>
    <w:rsid w:val="00CE7E8A"/>
    <w:pPr>
      <w:spacing w:before="120" w:after="120" w:line="280" w:lineRule="atLeast"/>
      <w:jc w:val="both"/>
    </w:pPr>
    <w:rPr>
      <w:rFonts w:ascii="Arial" w:hAnsi="Arial" w:cs="Arial"/>
      <w:bCs/>
      <w:iCs/>
      <w:color w:val="000000" w:themeColor="text1"/>
      <w:sz w:val="20"/>
      <w:szCs w:val="20"/>
    </w:rPr>
  </w:style>
  <w:style w:type="paragraph" w:customStyle="1" w:styleId="OrangeTitle">
    <w:name w:val="OrangeTitle"/>
    <w:basedOn w:val="Normal"/>
    <w:uiPriority w:val="3"/>
    <w:rsid w:val="00CE7E8A"/>
    <w:pPr>
      <w:spacing w:before="20" w:after="60" w:line="280" w:lineRule="atLeast"/>
    </w:pPr>
    <w:rPr>
      <w:rFonts w:ascii="Arial" w:hAnsi="Arial" w:cs="Arial"/>
      <w:iCs/>
      <w:caps/>
      <w:color w:val="F06A00"/>
      <w:sz w:val="20"/>
      <w:szCs w:val="20"/>
    </w:rPr>
  </w:style>
  <w:style w:type="paragraph" w:customStyle="1" w:styleId="ReportDate">
    <w:name w:val="ReportDate"/>
    <w:basedOn w:val="Normal"/>
    <w:next w:val="Normal"/>
    <w:uiPriority w:val="3"/>
    <w:rsid w:val="00CE7E8A"/>
    <w:pPr>
      <w:framePr w:w="2030" w:hSpace="187" w:wrap="auto" w:vAnchor="page" w:hAnchor="page" w:x="8699" w:y="13249" w:anchorLock="1"/>
      <w:spacing w:before="20"/>
      <w:jc w:val="right"/>
    </w:pPr>
    <w:rPr>
      <w:rFonts w:ascii="Arial" w:hAnsi="Arial" w:cs="Arial"/>
      <w:b/>
      <w:noProof/>
      <w:sz w:val="18"/>
      <w:szCs w:val="20"/>
    </w:rPr>
  </w:style>
  <w:style w:type="paragraph" w:styleId="TableofFigures">
    <w:name w:val="table of figures"/>
    <w:basedOn w:val="Normal"/>
    <w:next w:val="Normal"/>
    <w:semiHidden/>
    <w:rsid w:val="00CE7E8A"/>
    <w:pPr>
      <w:spacing w:before="20" w:line="280" w:lineRule="atLeast"/>
      <w:jc w:val="both"/>
    </w:pPr>
    <w:rPr>
      <w:rFonts w:ascii="Arial" w:hAnsi="Arial" w:cs="Arial"/>
      <w:iCs/>
      <w:color w:val="000000" w:themeColor="text1"/>
      <w:sz w:val="20"/>
      <w:szCs w:val="20"/>
    </w:rPr>
  </w:style>
  <w:style w:type="paragraph" w:styleId="NoSpacing">
    <w:name w:val="No Spacing"/>
    <w:link w:val="NoSpacingChar"/>
    <w:qFormat/>
    <w:rsid w:val="00CE7E8A"/>
    <w:pPr>
      <w:spacing w:before="20" w:after="0" w:line="240" w:lineRule="auto"/>
      <w:jc w:val="both"/>
    </w:pPr>
    <w:rPr>
      <w:rFonts w:ascii="Arial" w:eastAsia="Times New Roman" w:hAnsi="Arial" w:cs="Arial"/>
      <w:iCs/>
      <w:color w:val="4B4B4B"/>
      <w:sz w:val="20"/>
      <w:szCs w:val="20"/>
      <w:lang w:val="en-GB" w:eastAsia="en-GB"/>
    </w:rPr>
  </w:style>
  <w:style w:type="table" w:styleId="MediumGrid3-Accent2">
    <w:name w:val="Medium Grid 3 Accent 2"/>
    <w:basedOn w:val="TableNormal"/>
    <w:uiPriority w:val="69"/>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Shading1-Accent4">
    <w:name w:val="Medium Shading 1 Accent 4"/>
    <w:basedOn w:val="TableNormal"/>
    <w:uiPriority w:val="63"/>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rFonts w:ascii="Arial" w:hAnsi="Arial"/>
        <w:b/>
        <w:bCs/>
        <w:i w:val="0"/>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2-Accent6">
    <w:name w:val="Medium Shading 2 Accent 6"/>
    <w:basedOn w:val="TableNormal"/>
    <w:uiPriority w:val="64"/>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DarkList-Accent3">
    <w:name w:val="Dark List Accent 3"/>
    <w:basedOn w:val="TableNormal"/>
    <w:uiPriority w:val="70"/>
    <w:rsid w:val="00CE7E8A"/>
    <w:pPr>
      <w:spacing w:before="20" w:after="0" w:line="240" w:lineRule="auto"/>
    </w:pPr>
    <w:rPr>
      <w:rFonts w:ascii="Times New Roman" w:eastAsia="Times New Roman" w:hAnsi="Times New Roman" w:cs="Times New Roman"/>
      <w:color w:val="FFFFFF" w:themeColor="background1"/>
      <w:sz w:val="20"/>
      <w:szCs w:val="20"/>
      <w:lang w:val="en-GB" w:eastAsia="en-GB"/>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LightList-Accent11">
    <w:name w:val="Light List - Accent 11"/>
    <w:basedOn w:val="TableNormal"/>
    <w:uiPriority w:val="61"/>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LightList1">
    <w:name w:val="Light List1"/>
    <w:basedOn w:val="TableNormal"/>
    <w:uiPriority w:val="61"/>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val="0"/>
        <w:bCs/>
        <w:color w:val="FFFFFF" w:themeColor="background1"/>
      </w:rPr>
      <w:tblPr/>
      <w:tcPr>
        <w:shd w:val="clear" w:color="auto" w:fill="D5DCE4" w:themeFill="text2" w:themeFillTint="33"/>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val="0"/>
        <w:bCs/>
        <w:i w:val="0"/>
      </w:rPr>
    </w:tblStylePr>
    <w:tblStylePr w:type="lastCol">
      <w:rPr>
        <w:b w:val="0"/>
        <w:bCs/>
        <w:i w:val="0"/>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color w:val="000000" w:themeColor="text1"/>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color w:val="000000" w:themeColor="text1"/>
      </w:rPr>
    </w:tblStylePr>
  </w:style>
  <w:style w:type="table" w:customStyle="1" w:styleId="LightShading1">
    <w:name w:val="Light Shading1"/>
    <w:basedOn w:val="TableNormal"/>
    <w:uiPriority w:val="60"/>
    <w:rsid w:val="00CE7E8A"/>
    <w:pPr>
      <w:spacing w:before="20" w:after="0" w:line="240" w:lineRule="auto"/>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2">
    <w:name w:val="Light Shading - Accent 12"/>
    <w:basedOn w:val="TableNormal"/>
    <w:uiPriority w:val="60"/>
    <w:rsid w:val="00CE7E8A"/>
    <w:pPr>
      <w:spacing w:before="20" w:after="0" w:line="240" w:lineRule="auto"/>
    </w:pPr>
    <w:rPr>
      <w:rFonts w:ascii="Times New Roman" w:eastAsia="Times New Roman" w:hAnsi="Times New Roman" w:cs="Times New Roman"/>
      <w:color w:val="2F5496" w:themeColor="accent1" w:themeShade="BF"/>
      <w:sz w:val="20"/>
      <w:szCs w:val="20"/>
      <w:lang w:val="en-GB"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CE7E8A"/>
    <w:pPr>
      <w:spacing w:before="20" w:after="0" w:line="240" w:lineRule="auto"/>
    </w:pPr>
    <w:rPr>
      <w:rFonts w:ascii="Times New Roman" w:eastAsia="Times New Roman" w:hAnsi="Times New Roman" w:cs="Times New Roman"/>
      <w:color w:val="C45911" w:themeColor="accent2" w:themeShade="BF"/>
      <w:sz w:val="20"/>
      <w:szCs w:val="20"/>
      <w:lang w:val="en-GB" w:eastAsia="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E7E8A"/>
    <w:pPr>
      <w:spacing w:before="20" w:after="0" w:line="240" w:lineRule="auto"/>
    </w:pPr>
    <w:rPr>
      <w:rFonts w:ascii="Times New Roman" w:eastAsia="Times New Roman" w:hAnsi="Times New Roman" w:cs="Times New Roman"/>
      <w:color w:val="7B7B7B" w:themeColor="accent3" w:themeShade="BF"/>
      <w:sz w:val="20"/>
      <w:szCs w:val="20"/>
      <w:lang w:val="en-GB"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List-Accent2">
    <w:name w:val="Light List Accent 2"/>
    <w:basedOn w:val="TableNormal"/>
    <w:uiPriority w:val="61"/>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MediumShading1-Accent11">
    <w:name w:val="Medium Shading 1 - Accent 11"/>
    <w:basedOn w:val="TableNormal"/>
    <w:uiPriority w:val="63"/>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White">
    <w:name w:val="White"/>
    <w:basedOn w:val="BodyText"/>
    <w:next w:val="BodyTextGrey"/>
    <w:uiPriority w:val="2"/>
    <w:qFormat/>
    <w:rsid w:val="00CE7E8A"/>
    <w:pPr>
      <w:spacing w:before="20" w:after="200" w:line="280" w:lineRule="atLeast"/>
    </w:pPr>
    <w:rPr>
      <w:rFonts w:ascii="Arial" w:hAnsi="Arial" w:cs="Arial"/>
      <w:iCs/>
      <w:color w:val="FFFFFF" w:themeColor="background1"/>
      <w:sz w:val="20"/>
    </w:rPr>
  </w:style>
  <w:style w:type="paragraph" w:customStyle="1" w:styleId="Orange">
    <w:name w:val="Orange"/>
    <w:basedOn w:val="Normal"/>
    <w:next w:val="BodyTextGrey"/>
    <w:uiPriority w:val="2"/>
    <w:qFormat/>
    <w:rsid w:val="00CE7E8A"/>
    <w:pPr>
      <w:spacing w:before="20" w:after="200" w:line="280" w:lineRule="atLeast"/>
    </w:pPr>
    <w:rPr>
      <w:rFonts w:ascii="Arial" w:hAnsi="Arial" w:cs="Arial"/>
      <w:iCs/>
      <w:color w:val="4472C4" w:themeColor="accent1"/>
      <w:sz w:val="20"/>
      <w:szCs w:val="20"/>
      <w:lang w:eastAsia="en-US"/>
    </w:rPr>
  </w:style>
  <w:style w:type="paragraph" w:customStyle="1" w:styleId="Blue">
    <w:name w:val="Blue"/>
    <w:basedOn w:val="BodyText"/>
    <w:next w:val="BodyTextGrey"/>
    <w:uiPriority w:val="2"/>
    <w:qFormat/>
    <w:rsid w:val="00CE7E8A"/>
    <w:pPr>
      <w:spacing w:before="20" w:after="200" w:line="280" w:lineRule="atLeast"/>
    </w:pPr>
    <w:rPr>
      <w:rFonts w:ascii="Arial" w:hAnsi="Arial" w:cs="Arial"/>
      <w:iCs/>
      <w:color w:val="000000" w:themeColor="text1"/>
      <w:sz w:val="20"/>
    </w:rPr>
  </w:style>
  <w:style w:type="paragraph" w:customStyle="1" w:styleId="HRTest18">
    <w:name w:val="HRTest18"/>
    <w:basedOn w:val="Normal"/>
    <w:uiPriority w:val="3"/>
    <w:rsid w:val="00CE7E8A"/>
    <w:pPr>
      <w:spacing w:before="20" w:after="20" w:line="280" w:lineRule="atLeast"/>
      <w:ind w:left="200"/>
      <w:jc w:val="both"/>
    </w:pPr>
    <w:rPr>
      <w:rFonts w:ascii="Arial" w:hAnsi="Arial" w:cs="Arial"/>
      <w:iCs/>
      <w:caps/>
      <w:color w:val="FF9900"/>
      <w:sz w:val="20"/>
      <w:szCs w:val="20"/>
    </w:rPr>
  </w:style>
  <w:style w:type="table" w:styleId="LightList-Accent4">
    <w:name w:val="Light List Accent 4"/>
    <w:basedOn w:val="TableNormal"/>
    <w:uiPriority w:val="61"/>
    <w:rsid w:val="00CE7E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MeetingHeader">
    <w:name w:val="MeetingHeader"/>
    <w:basedOn w:val="Normal"/>
    <w:uiPriority w:val="3"/>
    <w:rsid w:val="00CE7E8A"/>
    <w:pPr>
      <w:spacing w:before="20" w:after="20" w:line="280" w:lineRule="atLeast"/>
      <w:jc w:val="both"/>
    </w:pPr>
    <w:rPr>
      <w:rFonts w:ascii="Arial" w:hAnsi="Arial" w:cs="Arial"/>
      <w:color w:val="4B4B4B"/>
      <w:sz w:val="20"/>
      <w:szCs w:val="20"/>
    </w:rPr>
  </w:style>
  <w:style w:type="paragraph" w:customStyle="1" w:styleId="MeetingHeaderCaps">
    <w:name w:val="MeetingHeaderCaps"/>
    <w:basedOn w:val="Normal"/>
    <w:uiPriority w:val="3"/>
    <w:rsid w:val="00CE7E8A"/>
    <w:pPr>
      <w:spacing w:before="20" w:after="20" w:line="280" w:lineRule="atLeast"/>
      <w:jc w:val="both"/>
    </w:pPr>
    <w:rPr>
      <w:rFonts w:ascii="Arial" w:hAnsi="Arial" w:cs="Arial"/>
      <w:caps/>
      <w:color w:val="4B4B4B"/>
      <w:sz w:val="20"/>
      <w:szCs w:val="20"/>
    </w:rPr>
  </w:style>
  <w:style w:type="paragraph" w:customStyle="1" w:styleId="MeetingTitle">
    <w:name w:val="MeetingTitle"/>
    <w:basedOn w:val="MeetingHeaderCaps"/>
    <w:next w:val="MeetingHeaderCaps"/>
    <w:uiPriority w:val="3"/>
    <w:rsid w:val="00CE7E8A"/>
  </w:style>
  <w:style w:type="character" w:customStyle="1" w:styleId="Style1">
    <w:name w:val="Style1"/>
    <w:uiPriority w:val="1"/>
    <w:rsid w:val="00CE7E8A"/>
  </w:style>
  <w:style w:type="character" w:styleId="SubtleEmphasis">
    <w:name w:val="Subtle Emphasis"/>
    <w:basedOn w:val="DefaultParagraphFont"/>
    <w:uiPriority w:val="19"/>
    <w:rsid w:val="00CE7E8A"/>
    <w:rPr>
      <w:i/>
      <w:iCs/>
      <w:color w:val="808080" w:themeColor="text1" w:themeTint="7F"/>
    </w:rPr>
  </w:style>
  <w:style w:type="paragraph" w:styleId="Title">
    <w:name w:val="Title"/>
    <w:basedOn w:val="Normal"/>
    <w:link w:val="TitleChar"/>
    <w:uiPriority w:val="2"/>
    <w:qFormat/>
    <w:rsid w:val="00CE7E8A"/>
    <w:pPr>
      <w:spacing w:before="240" w:after="60" w:line="280" w:lineRule="exact"/>
      <w:outlineLvl w:val="0"/>
    </w:pPr>
    <w:rPr>
      <w:rFonts w:ascii="Arial" w:hAnsi="Arial" w:cs="Arial"/>
      <w:bCs/>
      <w:iCs/>
      <w:caps/>
      <w:color w:val="3FA6CC"/>
      <w:kern w:val="28"/>
      <w:sz w:val="36"/>
      <w:szCs w:val="36"/>
    </w:rPr>
  </w:style>
  <w:style w:type="character" w:customStyle="1" w:styleId="TitleChar">
    <w:name w:val="Title Char"/>
    <w:basedOn w:val="DefaultParagraphFont"/>
    <w:link w:val="Title"/>
    <w:uiPriority w:val="2"/>
    <w:rsid w:val="00CE7E8A"/>
    <w:rPr>
      <w:rFonts w:ascii="Arial" w:eastAsia="Times New Roman" w:hAnsi="Arial" w:cs="Arial"/>
      <w:bCs/>
      <w:iCs/>
      <w:caps/>
      <w:color w:val="3FA6CC"/>
      <w:kern w:val="28"/>
      <w:sz w:val="36"/>
      <w:szCs w:val="36"/>
      <w:lang w:val="en-GB" w:eastAsia="en-GB"/>
    </w:rPr>
  </w:style>
  <w:style w:type="paragraph" w:customStyle="1" w:styleId="StyleTenderVerticalBigBlue48ptLeft02cmRight02">
    <w:name w:val="Style Tender Vertical Big Blue + 48 pt Left:  0.2 cm Right:  0.2 ..."/>
    <w:basedOn w:val="TenderVerticalBigBlue"/>
    <w:rsid w:val="00CE7E8A"/>
    <w:pPr>
      <w:spacing w:after="20"/>
      <w:ind w:left="113" w:right="113"/>
    </w:pPr>
    <w:rPr>
      <w:rFonts w:cs="Times New Roman"/>
      <w:iCs w:val="0"/>
      <w:caps w:val="0"/>
    </w:rPr>
  </w:style>
  <w:style w:type="paragraph" w:customStyle="1" w:styleId="StyleTenderBluetextBefore1pt">
    <w:name w:val="Style Tender Blue text + Before:  1 pt"/>
    <w:basedOn w:val="TenderBluetext"/>
    <w:rsid w:val="00CE7E8A"/>
    <w:pPr>
      <w:spacing w:before="20"/>
    </w:pPr>
    <w:rPr>
      <w:caps/>
    </w:rPr>
  </w:style>
  <w:style w:type="paragraph" w:customStyle="1" w:styleId="Filepath">
    <w:name w:val="Filepath"/>
    <w:uiPriority w:val="3"/>
    <w:rsid w:val="00CE7E8A"/>
    <w:pPr>
      <w:spacing w:before="20" w:after="20" w:line="280" w:lineRule="atLeast"/>
      <w:ind w:left="-425"/>
    </w:pPr>
    <w:rPr>
      <w:rFonts w:ascii="Arial" w:eastAsia="Times New Roman" w:hAnsi="Arial" w:cs="Arial"/>
      <w:color w:val="4B4B4B"/>
      <w:sz w:val="14"/>
      <w:szCs w:val="20"/>
      <w:lang w:val="en-GB" w:eastAsia="en-GB"/>
    </w:rPr>
  </w:style>
  <w:style w:type="character" w:styleId="UnresolvedMention">
    <w:name w:val="Unresolved Mention"/>
    <w:basedOn w:val="DefaultParagraphFont"/>
    <w:uiPriority w:val="99"/>
    <w:semiHidden/>
    <w:unhideWhenUsed/>
    <w:rsid w:val="003A5753"/>
    <w:rPr>
      <w:color w:val="808080"/>
      <w:shd w:val="clear" w:color="auto" w:fill="E6E6E6"/>
    </w:rPr>
  </w:style>
  <w:style w:type="table" w:customStyle="1" w:styleId="serena1">
    <w:name w:val="serena1"/>
    <w:basedOn w:val="TableNormal"/>
    <w:uiPriority w:val="60"/>
    <w:rsid w:val="00E40D8A"/>
    <w:pPr>
      <w:spacing w:before="20" w:after="0" w:line="240" w:lineRule="auto"/>
    </w:pPr>
    <w:rPr>
      <w:rFonts w:ascii="Times New Roman" w:eastAsia="Times New Roman" w:hAnsi="Times New Roman" w:cs="Times New Roman"/>
      <w:color w:val="2F5496"/>
      <w:sz w:val="20"/>
      <w:szCs w:val="20"/>
      <w:lang w:val="en-GB" w:eastAsia="en-GB"/>
    </w:rPr>
    <w:tblPr>
      <w:tblStyleRowBandSize w:val="1"/>
      <w:tblStyleColBandSize w:val="1"/>
      <w:tblBorders>
        <w:top w:val="single" w:sz="8" w:space="0" w:color="4472C4"/>
        <w:bottom w:val="single" w:sz="8" w:space="0" w:color="4472C4"/>
      </w:tblBorders>
    </w:tblPr>
    <w:tcPr>
      <w:shd w:val="clear" w:color="auto" w:fill="auto"/>
    </w:tcPr>
    <w:tblStylePr w:type="firstRow">
      <w:pPr>
        <w:spacing w:before="0" w:after="0" w:line="240" w:lineRule="auto"/>
      </w:pPr>
      <w:rPr>
        <w:b/>
        <w:bCs/>
        <w:color w:val="auto"/>
      </w:rPr>
      <w:tblPr/>
      <w:tcPr>
        <w:shd w:val="clear" w:color="auto" w:fill="222A35"/>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51">
    <w:name w:val="Light Shading - Accent 51"/>
    <w:basedOn w:val="TableNormal"/>
    <w:next w:val="LightShading-Accent5"/>
    <w:uiPriority w:val="60"/>
    <w:rsid w:val="00E40D8A"/>
    <w:pPr>
      <w:spacing w:before="20" w:after="0" w:line="240" w:lineRule="auto"/>
    </w:pPr>
    <w:rPr>
      <w:rFonts w:ascii="Times New Roman" w:eastAsia="Times New Roman" w:hAnsi="Times New Roman" w:cs="Times New Roman"/>
      <w:color w:val="2E74B5"/>
      <w:sz w:val="20"/>
      <w:szCs w:val="20"/>
      <w:lang w:val="en-GB" w:eastAsia="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21">
    <w:name w:val="Medium Grid 3 - Accent 21"/>
    <w:basedOn w:val="TableNormal"/>
    <w:next w:val="MediumGrid3-Accent2"/>
    <w:uiPriority w:val="69"/>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MediumShading1-Accent41">
    <w:name w:val="Medium Shading 1 - Accent 41"/>
    <w:basedOn w:val="TableNormal"/>
    <w:next w:val="MediumShading1-Accent4"/>
    <w:uiPriority w:val="63"/>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rFonts w:ascii="Arial" w:hAnsi="Arial"/>
        <w:b/>
        <w:bCs/>
        <w:i w:val="0"/>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MediumShading2-Accent61">
    <w:name w:val="Medium Shading 2 - Accent 61"/>
    <w:basedOn w:val="TableNormal"/>
    <w:next w:val="MediumShading2-Accent6"/>
    <w:uiPriority w:val="64"/>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DarkList-Accent31">
    <w:name w:val="Dark List - Accent 31"/>
    <w:basedOn w:val="TableNormal"/>
    <w:next w:val="DarkList-Accent3"/>
    <w:uiPriority w:val="70"/>
    <w:rsid w:val="00E40D8A"/>
    <w:pPr>
      <w:spacing w:before="20" w:after="0" w:line="240" w:lineRule="auto"/>
    </w:pPr>
    <w:rPr>
      <w:rFonts w:ascii="Times New Roman" w:eastAsia="Times New Roman" w:hAnsi="Times New Roman" w:cs="Times New Roman"/>
      <w:color w:val="FFFFFF"/>
      <w:sz w:val="20"/>
      <w:szCs w:val="20"/>
      <w:lang w:val="en-GB" w:eastAsia="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LightList-Accent111">
    <w:name w:val="Light List - Accent 111"/>
    <w:basedOn w:val="TableNormal"/>
    <w:uiPriority w:val="61"/>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LightList11">
    <w:name w:val="Light List11"/>
    <w:basedOn w:val="TableNormal"/>
    <w:uiPriority w:val="61"/>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val="0"/>
        <w:bCs/>
        <w:color w:val="FFFFFF"/>
      </w:rPr>
      <w:tblPr/>
      <w:tcPr>
        <w:shd w:val="clear" w:color="auto" w:fill="D5DCE4"/>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val="0"/>
        <w:bCs/>
        <w:i w:val="0"/>
      </w:rPr>
    </w:tblStylePr>
    <w:tblStylePr w:type="lastCol">
      <w:rPr>
        <w:b w:val="0"/>
        <w:bCs/>
        <w:i w:val="0"/>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rPr>
        <w:color w:val="000000"/>
      </w:rPr>
      <w:tblPr/>
      <w:tcPr>
        <w:tcBorders>
          <w:top w:val="single" w:sz="8" w:space="0" w:color="000000"/>
          <w:left w:val="single" w:sz="8" w:space="0" w:color="000000"/>
          <w:bottom w:val="single" w:sz="8" w:space="0" w:color="000000"/>
          <w:right w:val="single" w:sz="8" w:space="0" w:color="000000"/>
        </w:tcBorders>
      </w:tcPr>
    </w:tblStylePr>
    <w:tblStylePr w:type="band2Horz">
      <w:rPr>
        <w:color w:val="000000"/>
      </w:rPr>
    </w:tblStylePr>
  </w:style>
  <w:style w:type="table" w:customStyle="1" w:styleId="LightShading11">
    <w:name w:val="Light Shading11"/>
    <w:basedOn w:val="TableNormal"/>
    <w:uiPriority w:val="60"/>
    <w:rsid w:val="00E40D8A"/>
    <w:pPr>
      <w:spacing w:before="20" w:after="0" w:line="240" w:lineRule="auto"/>
    </w:pPr>
    <w:rPr>
      <w:rFonts w:ascii="Times New Roman" w:eastAsia="Times New Roman" w:hAnsi="Times New Roman" w:cs="Times New Roman"/>
      <w:color w:val="000000"/>
      <w:sz w:val="20"/>
      <w:szCs w:val="2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1">
    <w:name w:val="Light Shading - Accent 121"/>
    <w:basedOn w:val="TableNormal"/>
    <w:uiPriority w:val="60"/>
    <w:rsid w:val="00E40D8A"/>
    <w:pPr>
      <w:spacing w:before="20" w:after="0" w:line="240" w:lineRule="auto"/>
    </w:pPr>
    <w:rPr>
      <w:rFonts w:ascii="Times New Roman" w:eastAsia="Times New Roman" w:hAnsi="Times New Roman" w:cs="Times New Roman"/>
      <w:color w:val="2F5496"/>
      <w:sz w:val="20"/>
      <w:szCs w:val="20"/>
      <w:lang w:val="en-GB" w:eastAsia="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21">
    <w:name w:val="Light Shading - Accent 21"/>
    <w:basedOn w:val="TableNormal"/>
    <w:next w:val="LightShading-Accent2"/>
    <w:uiPriority w:val="60"/>
    <w:rsid w:val="00E40D8A"/>
    <w:pPr>
      <w:spacing w:before="20" w:after="0" w:line="240" w:lineRule="auto"/>
    </w:pPr>
    <w:rPr>
      <w:rFonts w:ascii="Times New Roman" w:eastAsia="Times New Roman" w:hAnsi="Times New Roman" w:cs="Times New Roman"/>
      <w:color w:val="C45911"/>
      <w:sz w:val="20"/>
      <w:szCs w:val="20"/>
      <w:lang w:val="en-GB" w:eastAsia="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LightShading-Accent31">
    <w:name w:val="Light Shading - Accent 31"/>
    <w:basedOn w:val="TableNormal"/>
    <w:next w:val="LightShading-Accent3"/>
    <w:uiPriority w:val="60"/>
    <w:rsid w:val="00E40D8A"/>
    <w:pPr>
      <w:spacing w:before="20" w:after="0" w:line="240" w:lineRule="auto"/>
    </w:pPr>
    <w:rPr>
      <w:rFonts w:ascii="Times New Roman" w:eastAsia="Times New Roman" w:hAnsi="Times New Roman" w:cs="Times New Roman"/>
      <w:color w:val="7B7B7B"/>
      <w:sz w:val="20"/>
      <w:szCs w:val="20"/>
      <w:lang w:val="en-GB" w:eastAsia="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List-Accent21">
    <w:name w:val="Light List - Accent 21"/>
    <w:basedOn w:val="TableNormal"/>
    <w:next w:val="LightList-Accent2"/>
    <w:uiPriority w:val="61"/>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LightList-Accent31">
    <w:name w:val="Light List - Accent 31"/>
    <w:basedOn w:val="TableNormal"/>
    <w:next w:val="LightList-Accent3"/>
    <w:uiPriority w:val="61"/>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MediumShading1-Accent111">
    <w:name w:val="Medium Shading 1 - Accent 111"/>
    <w:basedOn w:val="TableNormal"/>
    <w:uiPriority w:val="63"/>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LightList-Accent41">
    <w:name w:val="Light List - Accent 41"/>
    <w:basedOn w:val="TableNormal"/>
    <w:next w:val="LightList-Accent4"/>
    <w:uiPriority w:val="61"/>
    <w:rsid w:val="00E40D8A"/>
    <w:pPr>
      <w:spacing w:before="20"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character" w:customStyle="1" w:styleId="Heading2NumChar">
    <w:name w:val="Heading 2 Num Char"/>
    <w:basedOn w:val="Heading2Char"/>
    <w:link w:val="Heading2Num"/>
    <w:uiPriority w:val="1"/>
    <w:rsid w:val="00BB3415"/>
    <w:rPr>
      <w:rFonts w:ascii="Arial" w:eastAsia="Times New Roman" w:hAnsi="Arial" w:cs="Arial"/>
      <w:b/>
      <w:iCs/>
      <w:color w:val="4472C4" w:themeColor="accent1"/>
      <w:sz w:val="20"/>
      <w:szCs w:val="20"/>
      <w:lang w:val="en-GB"/>
    </w:rPr>
  </w:style>
  <w:style w:type="paragraph" w:styleId="ListNumber">
    <w:name w:val="List Number"/>
    <w:basedOn w:val="Normal"/>
    <w:uiPriority w:val="1"/>
    <w:semiHidden/>
    <w:qFormat/>
    <w:rsid w:val="00BB3415"/>
    <w:pPr>
      <w:numPr>
        <w:numId w:val="98"/>
      </w:numPr>
      <w:spacing w:after="240" w:line="276" w:lineRule="auto"/>
      <w:ind w:left="2268" w:hanging="2268"/>
      <w:contextualSpacing/>
    </w:pPr>
    <w:rPr>
      <w:rFonts w:ascii="Segoe UI" w:eastAsiaTheme="minorHAnsi" w:hAnsi="Segoe UI"/>
      <w:sz w:val="20"/>
      <w:szCs w:val="20"/>
      <w:lang w:eastAsia="en-US"/>
    </w:rPr>
  </w:style>
  <w:style w:type="paragraph" w:styleId="List">
    <w:name w:val="List"/>
    <w:basedOn w:val="Normal"/>
    <w:link w:val="ListChar"/>
    <w:unhideWhenUsed/>
    <w:qFormat/>
    <w:rsid w:val="00B42248"/>
    <w:pPr>
      <w:spacing w:before="20" w:line="280" w:lineRule="atLeast"/>
      <w:ind w:left="283" w:hanging="283"/>
      <w:contextualSpacing/>
      <w:jc w:val="both"/>
    </w:pPr>
    <w:rPr>
      <w:rFonts w:ascii="Arial" w:hAnsi="Arial" w:cs="Arial"/>
      <w:iCs/>
      <w:color w:val="000000" w:themeColor="text1"/>
      <w:sz w:val="20"/>
      <w:szCs w:val="20"/>
    </w:rPr>
  </w:style>
  <w:style w:type="table" w:customStyle="1" w:styleId="TableGrid0">
    <w:name w:val="TableGrid"/>
    <w:rsid w:val="0056040B"/>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bwFrontPageScheme">
    <w:name w:val="bwFrontPageScheme"/>
    <w:basedOn w:val="Normal"/>
    <w:uiPriority w:val="4"/>
    <w:rsid w:val="00E629FB"/>
    <w:pPr>
      <w:jc w:val="right"/>
    </w:pPr>
    <w:rPr>
      <w:rFonts w:ascii="Segoe UI" w:eastAsiaTheme="minorHAnsi" w:hAnsi="Segoe UI"/>
      <w:b/>
      <w:color w:val="00446A"/>
      <w:sz w:val="64"/>
      <w:lang w:val="en-US" w:eastAsia="en-US" w:bidi="en-US"/>
    </w:rPr>
  </w:style>
  <w:style w:type="paragraph" w:customStyle="1" w:styleId="bwFrontPageJob">
    <w:name w:val="bwFrontPageJob"/>
    <w:basedOn w:val="Normal"/>
    <w:uiPriority w:val="4"/>
    <w:rsid w:val="00E629FB"/>
    <w:pPr>
      <w:jc w:val="right"/>
    </w:pPr>
    <w:rPr>
      <w:rFonts w:ascii="Segoe UI" w:eastAsiaTheme="minorHAnsi" w:hAnsi="Segoe UI"/>
      <w:color w:val="00446A"/>
      <w:sz w:val="36"/>
      <w:lang w:val="en-US" w:eastAsia="en-US" w:bidi="en-US"/>
    </w:rPr>
  </w:style>
  <w:style w:type="paragraph" w:customStyle="1" w:styleId="bwFrontPageDetails">
    <w:name w:val="bwFrontPageDetails"/>
    <w:basedOn w:val="Normal"/>
    <w:uiPriority w:val="4"/>
    <w:rsid w:val="00E629FB"/>
    <w:pPr>
      <w:spacing w:before="60"/>
      <w:jc w:val="right"/>
    </w:pPr>
    <w:rPr>
      <w:rFonts w:ascii="Segoe UI" w:eastAsiaTheme="minorHAnsi" w:hAnsi="Segoe UI"/>
      <w:color w:val="00446A"/>
      <w:sz w:val="28"/>
      <w:lang w:val="en-US" w:eastAsia="en-US" w:bidi="en-US"/>
    </w:rPr>
  </w:style>
  <w:style w:type="paragraph" w:customStyle="1" w:styleId="bwFrontPageDate">
    <w:name w:val="bwFrontPageDate"/>
    <w:basedOn w:val="Normal"/>
    <w:uiPriority w:val="4"/>
    <w:rsid w:val="00E629FB"/>
    <w:pPr>
      <w:spacing w:before="240"/>
      <w:jc w:val="right"/>
    </w:pPr>
    <w:rPr>
      <w:rFonts w:ascii="Segoe UI" w:eastAsiaTheme="minorHAnsi" w:hAnsi="Segoe UI"/>
      <w:color w:val="00446A"/>
      <w:sz w:val="20"/>
      <w:lang w:val="en-US" w:eastAsia="en-US" w:bidi="en-US"/>
    </w:rPr>
  </w:style>
  <w:style w:type="paragraph" w:customStyle="1" w:styleId="AppendixHeading">
    <w:name w:val="Appendix Heading"/>
    <w:basedOn w:val="Normal"/>
    <w:next w:val="AppendixBodyText"/>
    <w:uiPriority w:val="2"/>
    <w:rsid w:val="00E629FB"/>
    <w:pPr>
      <w:pageBreakBefore/>
      <w:numPr>
        <w:numId w:val="105"/>
      </w:numPr>
      <w:spacing w:before="240" w:after="240"/>
    </w:pPr>
    <w:rPr>
      <w:rFonts w:ascii="Segoe UI" w:eastAsiaTheme="minorHAnsi" w:hAnsi="Segoe UI"/>
      <w:b/>
      <w:color w:val="E7E6E6" w:themeColor="background2"/>
      <w:sz w:val="36"/>
      <w:lang w:val="en-US" w:eastAsia="en-US" w:bidi="en-US"/>
    </w:rPr>
  </w:style>
  <w:style w:type="paragraph" w:customStyle="1" w:styleId="bwFooterLeft">
    <w:name w:val="bwFooterLeft"/>
    <w:basedOn w:val="bwFooterRight"/>
    <w:uiPriority w:val="3"/>
    <w:rsid w:val="00E629FB"/>
    <w:pPr>
      <w:jc w:val="left"/>
    </w:pPr>
  </w:style>
  <w:style w:type="paragraph" w:customStyle="1" w:styleId="bwFooterRight">
    <w:name w:val="bwFooterRight"/>
    <w:basedOn w:val="Normal"/>
    <w:uiPriority w:val="3"/>
    <w:rsid w:val="00E629FB"/>
    <w:pPr>
      <w:jc w:val="right"/>
    </w:pPr>
    <w:rPr>
      <w:rFonts w:ascii="Segoe UI" w:eastAsiaTheme="minorHAnsi" w:hAnsi="Segoe UI"/>
      <w:color w:val="797979"/>
      <w:sz w:val="13"/>
      <w:szCs w:val="22"/>
      <w:lang w:val="en-US" w:eastAsia="en-US" w:bidi="en-US"/>
    </w:rPr>
  </w:style>
  <w:style w:type="paragraph" w:customStyle="1" w:styleId="AppendixBodyText">
    <w:name w:val="Appendix Body Text"/>
    <w:basedOn w:val="Normal"/>
    <w:link w:val="AppendixBodyTextChar"/>
    <w:uiPriority w:val="2"/>
    <w:rsid w:val="00E629FB"/>
    <w:pPr>
      <w:spacing w:after="200"/>
      <w:jc w:val="both"/>
    </w:pPr>
    <w:rPr>
      <w:rFonts w:ascii="Segoe UI" w:eastAsiaTheme="minorHAnsi" w:hAnsi="Segoe UI"/>
      <w:sz w:val="20"/>
      <w:lang w:val="en-US" w:eastAsia="en-US" w:bidi="en-US"/>
    </w:rPr>
  </w:style>
  <w:style w:type="character" w:customStyle="1" w:styleId="AppendixBodyTextChar">
    <w:name w:val="Appendix Body Text Char"/>
    <w:basedOn w:val="DefaultParagraphFont"/>
    <w:link w:val="AppendixBodyText"/>
    <w:uiPriority w:val="2"/>
    <w:rsid w:val="00E629FB"/>
    <w:rPr>
      <w:rFonts w:ascii="Segoe UI" w:hAnsi="Segoe UI" w:cs="Times New Roman"/>
      <w:sz w:val="20"/>
      <w:szCs w:val="24"/>
      <w:lang w:bidi="en-US"/>
    </w:rPr>
  </w:style>
  <w:style w:type="paragraph" w:customStyle="1" w:styleId="Subject">
    <w:name w:val="Subject"/>
    <w:basedOn w:val="Normal"/>
    <w:next w:val="BodyText"/>
    <w:link w:val="SubjectChar"/>
    <w:rsid w:val="00E629FB"/>
    <w:pPr>
      <w:spacing w:after="300"/>
      <w:contextualSpacing/>
    </w:pPr>
    <w:rPr>
      <w:rFonts w:ascii="Segoe UI" w:eastAsiaTheme="minorHAnsi" w:hAnsi="Segoe UI" w:cstheme="minorBidi"/>
      <w:color w:val="009FE3"/>
      <w:sz w:val="22"/>
      <w:szCs w:val="22"/>
      <w:lang w:eastAsia="en-US"/>
    </w:rPr>
  </w:style>
  <w:style w:type="character" w:customStyle="1" w:styleId="SubjectChar">
    <w:name w:val="Subject Char"/>
    <w:basedOn w:val="DefaultParagraphFont"/>
    <w:link w:val="Subject"/>
    <w:rsid w:val="00E629FB"/>
    <w:rPr>
      <w:rFonts w:ascii="Segoe UI" w:hAnsi="Segoe UI"/>
      <w:color w:val="009FE3"/>
      <w:lang w:val="en-GB"/>
    </w:rPr>
  </w:style>
  <w:style w:type="paragraph" w:customStyle="1" w:styleId="AppendixListBullet">
    <w:name w:val="Appendix List Bullet"/>
    <w:basedOn w:val="ListBullet"/>
    <w:uiPriority w:val="2"/>
    <w:semiHidden/>
    <w:qFormat/>
    <w:rsid w:val="00E629FB"/>
    <w:pPr>
      <w:numPr>
        <w:numId w:val="0"/>
      </w:numPr>
      <w:spacing w:after="240" w:line="276" w:lineRule="auto"/>
      <w:contextualSpacing/>
    </w:pPr>
    <w:rPr>
      <w:rFonts w:ascii="Segoe UI" w:eastAsiaTheme="minorHAnsi" w:hAnsi="Segoe UI"/>
      <w:b w:val="0"/>
    </w:rPr>
  </w:style>
  <w:style w:type="paragraph" w:customStyle="1" w:styleId="AppendixListNumber">
    <w:name w:val="Appendix List Number"/>
    <w:basedOn w:val="ListNumber"/>
    <w:uiPriority w:val="2"/>
    <w:semiHidden/>
    <w:qFormat/>
    <w:rsid w:val="00E629FB"/>
    <w:pPr>
      <w:numPr>
        <w:numId w:val="0"/>
      </w:numPr>
    </w:pPr>
  </w:style>
  <w:style w:type="paragraph" w:customStyle="1" w:styleId="AppendixSubheading">
    <w:name w:val="Appendix Subheading"/>
    <w:basedOn w:val="Normal"/>
    <w:next w:val="AppendixBodyText"/>
    <w:uiPriority w:val="2"/>
    <w:rsid w:val="00E629FB"/>
    <w:pPr>
      <w:spacing w:before="240" w:after="120"/>
    </w:pPr>
    <w:rPr>
      <w:rFonts w:ascii="Segoe UI" w:eastAsiaTheme="minorHAnsi" w:hAnsi="Segoe UI"/>
      <w:b/>
      <w:color w:val="E7E6E6" w:themeColor="background2"/>
      <w:sz w:val="28"/>
      <w:lang w:val="en-US" w:eastAsia="en-US" w:bidi="en-US"/>
    </w:rPr>
  </w:style>
  <w:style w:type="paragraph" w:customStyle="1" w:styleId="LetterSubheading">
    <w:name w:val="Letter Subheading"/>
    <w:basedOn w:val="Subject"/>
    <w:next w:val="BodyText"/>
    <w:link w:val="LetterSubheadingChar"/>
    <w:uiPriority w:val="1"/>
    <w:qFormat/>
    <w:rsid w:val="00E629FB"/>
    <w:pPr>
      <w:spacing w:after="120"/>
    </w:pPr>
  </w:style>
  <w:style w:type="character" w:customStyle="1" w:styleId="LetterSubheadingChar">
    <w:name w:val="Letter Subheading Char"/>
    <w:basedOn w:val="SubjectChar"/>
    <w:link w:val="LetterSubheading"/>
    <w:uiPriority w:val="1"/>
    <w:rsid w:val="00E629FB"/>
    <w:rPr>
      <w:rFonts w:ascii="Segoe UI" w:hAnsi="Segoe UI"/>
      <w:color w:val="009FE3"/>
      <w:lang w:val="en-GB"/>
    </w:rPr>
  </w:style>
  <w:style w:type="paragraph" w:customStyle="1" w:styleId="bwTableText">
    <w:name w:val="bwTableText"/>
    <w:basedOn w:val="NoSpacing"/>
    <w:qFormat/>
    <w:rsid w:val="00E629FB"/>
    <w:pPr>
      <w:keepNext/>
      <w:spacing w:before="0"/>
      <w:jc w:val="left"/>
    </w:pPr>
    <w:rPr>
      <w:rFonts w:ascii="Segoe UI" w:eastAsiaTheme="minorHAnsi" w:hAnsi="Segoe UI" w:cs="Times New Roman"/>
      <w:iCs w:val="0"/>
      <w:color w:val="auto"/>
      <w:szCs w:val="32"/>
      <w:lang w:eastAsia="en-US"/>
    </w:rPr>
  </w:style>
  <w:style w:type="paragraph" w:styleId="Closing">
    <w:name w:val="Closing"/>
    <w:basedOn w:val="Normal"/>
    <w:link w:val="ClosingChar"/>
    <w:uiPriority w:val="1"/>
    <w:qFormat/>
    <w:rsid w:val="00E629FB"/>
    <w:pPr>
      <w:spacing w:before="360" w:after="840"/>
    </w:pPr>
    <w:rPr>
      <w:rFonts w:ascii="Segoe UI" w:eastAsiaTheme="minorHAnsi" w:hAnsi="Segoe UI"/>
      <w:sz w:val="20"/>
      <w:szCs w:val="20"/>
      <w:lang w:eastAsia="en-US"/>
    </w:rPr>
  </w:style>
  <w:style w:type="character" w:customStyle="1" w:styleId="ClosingChar">
    <w:name w:val="Closing Char"/>
    <w:basedOn w:val="DefaultParagraphFont"/>
    <w:link w:val="Closing"/>
    <w:uiPriority w:val="1"/>
    <w:rsid w:val="00E629FB"/>
    <w:rPr>
      <w:rFonts w:ascii="Segoe UI" w:hAnsi="Segoe UI" w:cs="Times New Roman"/>
      <w:sz w:val="20"/>
      <w:szCs w:val="20"/>
      <w:lang w:val="en-GB"/>
    </w:rPr>
  </w:style>
  <w:style w:type="paragraph" w:styleId="Signature">
    <w:name w:val="Signature"/>
    <w:basedOn w:val="Normal"/>
    <w:link w:val="SignatureChar"/>
    <w:qFormat/>
    <w:rsid w:val="00E629FB"/>
    <w:rPr>
      <w:rFonts w:ascii="Segoe UI" w:eastAsiaTheme="minorHAnsi" w:hAnsi="Segoe UI" w:cstheme="minorBidi"/>
      <w:b/>
      <w:sz w:val="20"/>
      <w:szCs w:val="22"/>
      <w:lang w:eastAsia="en-US"/>
    </w:rPr>
  </w:style>
  <w:style w:type="character" w:customStyle="1" w:styleId="SignatureChar">
    <w:name w:val="Signature Char"/>
    <w:basedOn w:val="DefaultParagraphFont"/>
    <w:link w:val="Signature"/>
    <w:rsid w:val="00E629FB"/>
    <w:rPr>
      <w:rFonts w:ascii="Segoe UI" w:hAnsi="Segoe UI"/>
      <w:b/>
      <w:sz w:val="20"/>
      <w:lang w:val="en-GB"/>
    </w:rPr>
  </w:style>
  <w:style w:type="paragraph" w:styleId="Salutation">
    <w:name w:val="Salutation"/>
    <w:basedOn w:val="Normal"/>
    <w:next w:val="Normal"/>
    <w:link w:val="SalutationChar"/>
    <w:uiPriority w:val="1"/>
    <w:rsid w:val="00E629FB"/>
    <w:pPr>
      <w:spacing w:after="240"/>
    </w:pPr>
    <w:rPr>
      <w:rFonts w:ascii="Segoe UI" w:eastAsiaTheme="minorHAnsi" w:hAnsi="Segoe UI"/>
      <w:sz w:val="20"/>
      <w:lang w:val="en-US" w:eastAsia="en-US" w:bidi="en-US"/>
    </w:rPr>
  </w:style>
  <w:style w:type="character" w:customStyle="1" w:styleId="SalutationChar">
    <w:name w:val="Salutation Char"/>
    <w:basedOn w:val="DefaultParagraphFont"/>
    <w:link w:val="Salutation"/>
    <w:uiPriority w:val="1"/>
    <w:rsid w:val="00E629FB"/>
    <w:rPr>
      <w:rFonts w:ascii="Segoe UI" w:hAnsi="Segoe UI" w:cs="Times New Roman"/>
      <w:sz w:val="20"/>
      <w:szCs w:val="24"/>
      <w:lang w:bidi="en-US"/>
    </w:rPr>
  </w:style>
  <w:style w:type="paragraph" w:styleId="Date">
    <w:name w:val="Date"/>
    <w:basedOn w:val="Normal"/>
    <w:next w:val="Normal"/>
    <w:link w:val="DateChar"/>
    <w:uiPriority w:val="1"/>
    <w:qFormat/>
    <w:rsid w:val="00E629FB"/>
    <w:pPr>
      <w:jc w:val="right"/>
    </w:pPr>
    <w:rPr>
      <w:rFonts w:ascii="Segoe UI" w:eastAsiaTheme="minorHAnsi" w:hAnsi="Segoe UI"/>
      <w:sz w:val="22"/>
      <w:szCs w:val="20"/>
      <w:lang w:eastAsia="en-US"/>
    </w:rPr>
  </w:style>
  <w:style w:type="character" w:customStyle="1" w:styleId="DateChar">
    <w:name w:val="Date Char"/>
    <w:basedOn w:val="DefaultParagraphFont"/>
    <w:link w:val="Date"/>
    <w:uiPriority w:val="1"/>
    <w:rsid w:val="00E629FB"/>
    <w:rPr>
      <w:rFonts w:ascii="Segoe UI" w:hAnsi="Segoe UI" w:cs="Times New Roman"/>
      <w:szCs w:val="20"/>
      <w:lang w:val="en-GB"/>
    </w:rPr>
  </w:style>
  <w:style w:type="character" w:customStyle="1" w:styleId="NoSpacingChar">
    <w:name w:val="No Spacing Char"/>
    <w:basedOn w:val="DefaultParagraphFont"/>
    <w:link w:val="NoSpacing"/>
    <w:rsid w:val="00E629FB"/>
    <w:rPr>
      <w:rFonts w:ascii="Arial" w:eastAsia="Times New Roman" w:hAnsi="Arial" w:cs="Arial"/>
      <w:iCs/>
      <w:color w:val="4B4B4B"/>
      <w:sz w:val="20"/>
      <w:szCs w:val="20"/>
      <w:lang w:val="en-GB" w:eastAsia="en-GB"/>
    </w:rPr>
  </w:style>
  <w:style w:type="paragraph" w:styleId="TOCHeading">
    <w:name w:val="TOC Heading"/>
    <w:next w:val="Normal"/>
    <w:uiPriority w:val="5"/>
    <w:rsid w:val="00E629FB"/>
    <w:pPr>
      <w:keepNext/>
      <w:spacing w:before="200"/>
    </w:pPr>
    <w:rPr>
      <w:rFonts w:ascii="Segoe UI" w:eastAsiaTheme="majorEastAsia" w:hAnsi="Segoe UI" w:cs="Times New Roman"/>
      <w:b/>
      <w:bCs/>
      <w:color w:val="E7E6E6" w:themeColor="background2"/>
      <w:kern w:val="32"/>
      <w:sz w:val="36"/>
      <w:szCs w:val="32"/>
      <w:lang w:val="en-GB"/>
    </w:rPr>
  </w:style>
  <w:style w:type="paragraph" w:customStyle="1" w:styleId="NumberedList">
    <w:name w:val="Numbered List"/>
    <w:basedOn w:val="List"/>
    <w:link w:val="NumberedListChar"/>
    <w:qFormat/>
    <w:rsid w:val="00E629FB"/>
    <w:pPr>
      <w:numPr>
        <w:numId w:val="106"/>
      </w:numPr>
      <w:spacing w:before="0" w:after="200" w:line="276" w:lineRule="auto"/>
      <w:jc w:val="left"/>
    </w:pPr>
    <w:rPr>
      <w:rFonts w:cs="Times New Roman"/>
    </w:rPr>
  </w:style>
  <w:style w:type="paragraph" w:customStyle="1" w:styleId="Frontpageheader1">
    <w:name w:val="Front page header 1"/>
    <w:basedOn w:val="Heading1"/>
    <w:link w:val="Frontpageheader1Char"/>
    <w:qFormat/>
    <w:rsid w:val="00E629FB"/>
    <w:pPr>
      <w:pageBreakBefore/>
      <w:spacing w:after="240"/>
    </w:pPr>
    <w:rPr>
      <w:rFonts w:ascii="Segoe UI Semibold" w:eastAsiaTheme="majorEastAsia" w:hAnsi="Segoe UI Semibold"/>
      <w:b w:val="0"/>
      <w:color w:val="0069B4"/>
      <w:sz w:val="56"/>
      <w:szCs w:val="56"/>
    </w:rPr>
  </w:style>
  <w:style w:type="character" w:customStyle="1" w:styleId="ListChar">
    <w:name w:val="List Char"/>
    <w:basedOn w:val="DefaultParagraphFont"/>
    <w:link w:val="List"/>
    <w:rsid w:val="00E629FB"/>
    <w:rPr>
      <w:rFonts w:ascii="Arial" w:eastAsia="Times New Roman" w:hAnsi="Arial" w:cs="Arial"/>
      <w:iCs/>
      <w:color w:val="000000" w:themeColor="text1"/>
      <w:sz w:val="20"/>
      <w:szCs w:val="20"/>
      <w:lang w:val="en-GB" w:eastAsia="en-GB"/>
    </w:rPr>
  </w:style>
  <w:style w:type="character" w:customStyle="1" w:styleId="NumberedListChar">
    <w:name w:val="Numbered List Char"/>
    <w:basedOn w:val="ListChar"/>
    <w:link w:val="NumberedList"/>
    <w:rsid w:val="00E629FB"/>
    <w:rPr>
      <w:rFonts w:ascii="Arial" w:eastAsia="Times New Roman" w:hAnsi="Arial" w:cs="Times New Roman"/>
      <w:iCs/>
      <w:color w:val="000000" w:themeColor="text1"/>
      <w:sz w:val="20"/>
      <w:szCs w:val="20"/>
      <w:lang w:val="en-GB" w:eastAsia="en-GB"/>
    </w:rPr>
  </w:style>
  <w:style w:type="paragraph" w:customStyle="1" w:styleId="Frontpagedetails">
    <w:name w:val="Front page details"/>
    <w:basedOn w:val="Frontpageheader1"/>
    <w:link w:val="FrontpagedetailsChar"/>
    <w:qFormat/>
    <w:rsid w:val="00E629FB"/>
    <w:rPr>
      <w:color w:val="797979"/>
      <w:sz w:val="24"/>
      <w:szCs w:val="36"/>
    </w:rPr>
  </w:style>
  <w:style w:type="character" w:customStyle="1" w:styleId="Frontpageheader1Char">
    <w:name w:val="Front page header 1 Char"/>
    <w:basedOn w:val="Heading1Char"/>
    <w:link w:val="Frontpageheader1"/>
    <w:rsid w:val="00E629FB"/>
    <w:rPr>
      <w:rFonts w:ascii="Segoe UI Semibold" w:eastAsiaTheme="majorEastAsia" w:hAnsi="Segoe UI Semibold" w:cs="Times New Roman"/>
      <w:b w:val="0"/>
      <w:bCs/>
      <w:color w:val="0069B4"/>
      <w:kern w:val="32"/>
      <w:sz w:val="56"/>
      <w:szCs w:val="56"/>
      <w:lang w:val="en-GB"/>
    </w:rPr>
  </w:style>
  <w:style w:type="paragraph" w:customStyle="1" w:styleId="Frontpagedate">
    <w:name w:val="Front page date"/>
    <w:basedOn w:val="Frontpagedetails"/>
    <w:link w:val="FrontpagedateChar"/>
    <w:qFormat/>
    <w:rsid w:val="00E629FB"/>
    <w:rPr>
      <w:sz w:val="16"/>
    </w:rPr>
  </w:style>
  <w:style w:type="character" w:customStyle="1" w:styleId="FrontpagedetailsChar">
    <w:name w:val="Front page details Char"/>
    <w:basedOn w:val="Frontpageheader1Char"/>
    <w:link w:val="Frontpagedetails"/>
    <w:rsid w:val="00E629FB"/>
    <w:rPr>
      <w:rFonts w:ascii="Segoe UI Semibold" w:eastAsiaTheme="majorEastAsia" w:hAnsi="Segoe UI Semibold" w:cs="Times New Roman"/>
      <w:b w:val="0"/>
      <w:bCs/>
      <w:color w:val="797979"/>
      <w:kern w:val="32"/>
      <w:sz w:val="24"/>
      <w:szCs w:val="36"/>
      <w:lang w:val="en-GB"/>
    </w:rPr>
  </w:style>
  <w:style w:type="table" w:customStyle="1" w:styleId="bwTable">
    <w:name w:val="bwTable"/>
    <w:basedOn w:val="TableNormal"/>
    <w:uiPriority w:val="99"/>
    <w:qFormat/>
    <w:rsid w:val="00E629FB"/>
    <w:pPr>
      <w:spacing w:after="0" w:line="240" w:lineRule="auto"/>
    </w:pPr>
    <w:rPr>
      <w:rFonts w:ascii="Arial" w:hAnsi="Arial" w:cs="Times New Roman"/>
      <w:sz w:val="20"/>
      <w:szCs w:val="20"/>
      <w:lang w:bidi="en-US"/>
    </w:rPr>
    <w:tblPr>
      <w:tblStyleRowBandSize w:val="1"/>
      <w:tblStyleCol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CellMar>
        <w:top w:w="108" w:type="dxa"/>
        <w:bottom w:w="108" w:type="dxa"/>
      </w:tblCellMar>
    </w:tblPr>
    <w:tcPr>
      <w:vAlign w:val="center"/>
    </w:tcPr>
    <w:tblStylePr w:type="firstRow">
      <w:rPr>
        <w:b w:val="0"/>
        <w:color w:val="4472C4" w:themeColor="accent1"/>
      </w:rPr>
      <w:tblPr/>
      <w:tcPr>
        <w:tcBorders>
          <w:top w:val="single" w:sz="4" w:space="0" w:color="4472C4" w:themeColor="accent1"/>
          <w:left w:val="nil"/>
          <w:bottom w:val="single" w:sz="4" w:space="0" w:color="4472C4" w:themeColor="accent1"/>
          <w:right w:val="nil"/>
          <w:insideH w:val="nil"/>
          <w:insideV w:val="nil"/>
          <w:tl2br w:val="nil"/>
          <w:tr2bl w:val="nil"/>
        </w:tcBorders>
      </w:tcPr>
    </w:tblStylePr>
    <w:tblStylePr w:type="lastRow">
      <w:tblPr/>
      <w:tcPr>
        <w:tcBorders>
          <w:top w:val="single" w:sz="4" w:space="0" w:color="BFBFBF" w:themeColor="background1" w:themeShade="BF"/>
          <w:left w:val="nil"/>
          <w:bottom w:val="nil"/>
          <w:right w:val="nil"/>
          <w:insideH w:val="nil"/>
          <w:insideV w:val="nil"/>
          <w:tl2br w:val="nil"/>
          <w:tr2bl w:val="nil"/>
        </w:tcBorders>
      </w:tcPr>
    </w:tblStylePr>
    <w:tblStylePr w:type="band1Horz">
      <w:tblPr/>
      <w:tcPr>
        <w:tcBorders>
          <w:top w:val="single" w:sz="4" w:space="0" w:color="BFBFBF" w:themeColor="background1" w:themeShade="BF"/>
          <w:left w:val="nil"/>
          <w:bottom w:val="nil"/>
          <w:right w:val="nil"/>
          <w:insideH w:val="nil"/>
          <w:insideV w:val="nil"/>
          <w:tl2br w:val="nil"/>
          <w:tr2bl w:val="nil"/>
        </w:tcBorders>
      </w:tcPr>
    </w:tblStylePr>
    <w:tblStylePr w:type="band2Horz">
      <w:tblPr/>
      <w:tcPr>
        <w:tcBorders>
          <w:top w:val="single" w:sz="4" w:space="0" w:color="BFBFBF" w:themeColor="background1" w:themeShade="BF"/>
          <w:left w:val="nil"/>
          <w:bottom w:val="nil"/>
          <w:right w:val="nil"/>
          <w:insideH w:val="nil"/>
          <w:insideV w:val="nil"/>
          <w:tl2br w:val="nil"/>
          <w:tr2bl w:val="nil"/>
        </w:tcBorders>
      </w:tcPr>
    </w:tblStylePr>
  </w:style>
  <w:style w:type="character" w:customStyle="1" w:styleId="FrontpagedateChar">
    <w:name w:val="Front page date Char"/>
    <w:basedOn w:val="FrontpagedetailsChar"/>
    <w:link w:val="Frontpagedate"/>
    <w:rsid w:val="00E629FB"/>
    <w:rPr>
      <w:rFonts w:ascii="Segoe UI Semibold" w:eastAsiaTheme="majorEastAsia" w:hAnsi="Segoe UI Semibold" w:cs="Times New Roman"/>
      <w:b w:val="0"/>
      <w:bCs/>
      <w:color w:val="797979"/>
      <w:kern w:val="32"/>
      <w:sz w:val="16"/>
      <w:szCs w:val="36"/>
      <w:lang w:val="en-GB"/>
    </w:rPr>
  </w:style>
  <w:style w:type="character" w:styleId="PlaceholderText">
    <w:name w:val="Placeholder Text"/>
    <w:basedOn w:val="DefaultParagraphFont"/>
    <w:uiPriority w:val="99"/>
    <w:semiHidden/>
    <w:rsid w:val="00E629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1795">
      <w:bodyDiv w:val="1"/>
      <w:marLeft w:val="0"/>
      <w:marRight w:val="0"/>
      <w:marTop w:val="0"/>
      <w:marBottom w:val="0"/>
      <w:divBdr>
        <w:top w:val="none" w:sz="0" w:space="0" w:color="auto"/>
        <w:left w:val="none" w:sz="0" w:space="0" w:color="auto"/>
        <w:bottom w:val="none" w:sz="0" w:space="0" w:color="auto"/>
        <w:right w:val="none" w:sz="0" w:space="0" w:color="auto"/>
      </w:divBdr>
    </w:div>
    <w:div w:id="11304036">
      <w:bodyDiv w:val="1"/>
      <w:marLeft w:val="0"/>
      <w:marRight w:val="0"/>
      <w:marTop w:val="0"/>
      <w:marBottom w:val="0"/>
      <w:divBdr>
        <w:top w:val="none" w:sz="0" w:space="0" w:color="auto"/>
        <w:left w:val="none" w:sz="0" w:space="0" w:color="auto"/>
        <w:bottom w:val="none" w:sz="0" w:space="0" w:color="auto"/>
        <w:right w:val="none" w:sz="0" w:space="0" w:color="auto"/>
      </w:divBdr>
    </w:div>
    <w:div w:id="56175900">
      <w:bodyDiv w:val="1"/>
      <w:marLeft w:val="0"/>
      <w:marRight w:val="0"/>
      <w:marTop w:val="0"/>
      <w:marBottom w:val="0"/>
      <w:divBdr>
        <w:top w:val="none" w:sz="0" w:space="0" w:color="auto"/>
        <w:left w:val="none" w:sz="0" w:space="0" w:color="auto"/>
        <w:bottom w:val="none" w:sz="0" w:space="0" w:color="auto"/>
        <w:right w:val="none" w:sz="0" w:space="0" w:color="auto"/>
      </w:divBdr>
      <w:divsChild>
        <w:div w:id="1988045543">
          <w:marLeft w:val="0"/>
          <w:marRight w:val="0"/>
          <w:marTop w:val="0"/>
          <w:marBottom w:val="0"/>
          <w:divBdr>
            <w:top w:val="none" w:sz="0" w:space="0" w:color="auto"/>
            <w:left w:val="none" w:sz="0" w:space="0" w:color="auto"/>
            <w:bottom w:val="none" w:sz="0" w:space="0" w:color="auto"/>
            <w:right w:val="none" w:sz="0" w:space="0" w:color="auto"/>
          </w:divBdr>
          <w:divsChild>
            <w:div w:id="1220019136">
              <w:marLeft w:val="0"/>
              <w:marRight w:val="0"/>
              <w:marTop w:val="0"/>
              <w:marBottom w:val="0"/>
              <w:divBdr>
                <w:top w:val="none" w:sz="0" w:space="0" w:color="auto"/>
                <w:left w:val="none" w:sz="0" w:space="0" w:color="auto"/>
                <w:bottom w:val="none" w:sz="0" w:space="0" w:color="auto"/>
                <w:right w:val="none" w:sz="0" w:space="0" w:color="auto"/>
              </w:divBdr>
              <w:divsChild>
                <w:div w:id="1941327252">
                  <w:marLeft w:val="0"/>
                  <w:marRight w:val="0"/>
                  <w:marTop w:val="0"/>
                  <w:marBottom w:val="0"/>
                  <w:divBdr>
                    <w:top w:val="none" w:sz="0" w:space="0" w:color="auto"/>
                    <w:left w:val="none" w:sz="0" w:space="0" w:color="auto"/>
                    <w:bottom w:val="none" w:sz="0" w:space="0" w:color="auto"/>
                    <w:right w:val="none" w:sz="0" w:space="0" w:color="auto"/>
                  </w:divBdr>
                  <w:divsChild>
                    <w:div w:id="167407538">
                      <w:marLeft w:val="0"/>
                      <w:marRight w:val="0"/>
                      <w:marTop w:val="0"/>
                      <w:marBottom w:val="0"/>
                      <w:divBdr>
                        <w:top w:val="none" w:sz="0" w:space="0" w:color="auto"/>
                        <w:left w:val="none" w:sz="0" w:space="0" w:color="auto"/>
                        <w:bottom w:val="none" w:sz="0" w:space="0" w:color="auto"/>
                        <w:right w:val="none" w:sz="0" w:space="0" w:color="auto"/>
                      </w:divBdr>
                    </w:div>
                    <w:div w:id="382873978">
                      <w:marLeft w:val="0"/>
                      <w:marRight w:val="0"/>
                      <w:marTop w:val="0"/>
                      <w:marBottom w:val="0"/>
                      <w:divBdr>
                        <w:top w:val="none" w:sz="0" w:space="0" w:color="auto"/>
                        <w:left w:val="none" w:sz="0" w:space="0" w:color="auto"/>
                        <w:bottom w:val="none" w:sz="0" w:space="0" w:color="auto"/>
                        <w:right w:val="none" w:sz="0" w:space="0" w:color="auto"/>
                      </w:divBdr>
                    </w:div>
                    <w:div w:id="1042748723">
                      <w:marLeft w:val="0"/>
                      <w:marRight w:val="0"/>
                      <w:marTop w:val="0"/>
                      <w:marBottom w:val="0"/>
                      <w:divBdr>
                        <w:top w:val="none" w:sz="0" w:space="0" w:color="auto"/>
                        <w:left w:val="none" w:sz="0" w:space="0" w:color="auto"/>
                        <w:bottom w:val="none" w:sz="0" w:space="0" w:color="auto"/>
                        <w:right w:val="none" w:sz="0" w:space="0" w:color="auto"/>
                      </w:divBdr>
                    </w:div>
                    <w:div w:id="1084570410">
                      <w:marLeft w:val="0"/>
                      <w:marRight w:val="0"/>
                      <w:marTop w:val="0"/>
                      <w:marBottom w:val="0"/>
                      <w:divBdr>
                        <w:top w:val="none" w:sz="0" w:space="0" w:color="auto"/>
                        <w:left w:val="none" w:sz="0" w:space="0" w:color="auto"/>
                        <w:bottom w:val="none" w:sz="0" w:space="0" w:color="auto"/>
                        <w:right w:val="none" w:sz="0" w:space="0" w:color="auto"/>
                      </w:divBdr>
                    </w:div>
                    <w:div w:id="1291017541">
                      <w:marLeft w:val="0"/>
                      <w:marRight w:val="0"/>
                      <w:marTop w:val="0"/>
                      <w:marBottom w:val="0"/>
                      <w:divBdr>
                        <w:top w:val="none" w:sz="0" w:space="0" w:color="auto"/>
                        <w:left w:val="none" w:sz="0" w:space="0" w:color="auto"/>
                        <w:bottom w:val="none" w:sz="0" w:space="0" w:color="auto"/>
                        <w:right w:val="none" w:sz="0" w:space="0" w:color="auto"/>
                      </w:divBdr>
                    </w:div>
                    <w:div w:id="1101872790">
                      <w:marLeft w:val="0"/>
                      <w:marRight w:val="0"/>
                      <w:marTop w:val="0"/>
                      <w:marBottom w:val="0"/>
                      <w:divBdr>
                        <w:top w:val="none" w:sz="0" w:space="0" w:color="auto"/>
                        <w:left w:val="none" w:sz="0" w:space="0" w:color="auto"/>
                        <w:bottom w:val="none" w:sz="0" w:space="0" w:color="auto"/>
                        <w:right w:val="none" w:sz="0" w:space="0" w:color="auto"/>
                      </w:divBdr>
                    </w:div>
                    <w:div w:id="388699223">
                      <w:marLeft w:val="0"/>
                      <w:marRight w:val="0"/>
                      <w:marTop w:val="0"/>
                      <w:marBottom w:val="0"/>
                      <w:divBdr>
                        <w:top w:val="none" w:sz="0" w:space="0" w:color="auto"/>
                        <w:left w:val="none" w:sz="0" w:space="0" w:color="auto"/>
                        <w:bottom w:val="none" w:sz="0" w:space="0" w:color="auto"/>
                        <w:right w:val="none" w:sz="0" w:space="0" w:color="auto"/>
                      </w:divBdr>
                    </w:div>
                    <w:div w:id="2055882904">
                      <w:marLeft w:val="0"/>
                      <w:marRight w:val="0"/>
                      <w:marTop w:val="0"/>
                      <w:marBottom w:val="0"/>
                      <w:divBdr>
                        <w:top w:val="none" w:sz="0" w:space="0" w:color="auto"/>
                        <w:left w:val="none" w:sz="0" w:space="0" w:color="auto"/>
                        <w:bottom w:val="none" w:sz="0" w:space="0" w:color="auto"/>
                        <w:right w:val="none" w:sz="0" w:space="0" w:color="auto"/>
                      </w:divBdr>
                    </w:div>
                    <w:div w:id="2046129482">
                      <w:marLeft w:val="0"/>
                      <w:marRight w:val="0"/>
                      <w:marTop w:val="0"/>
                      <w:marBottom w:val="0"/>
                      <w:divBdr>
                        <w:top w:val="none" w:sz="0" w:space="0" w:color="auto"/>
                        <w:left w:val="none" w:sz="0" w:space="0" w:color="auto"/>
                        <w:bottom w:val="none" w:sz="0" w:space="0" w:color="auto"/>
                        <w:right w:val="none" w:sz="0" w:space="0" w:color="auto"/>
                      </w:divBdr>
                    </w:div>
                    <w:div w:id="1040590894">
                      <w:marLeft w:val="0"/>
                      <w:marRight w:val="0"/>
                      <w:marTop w:val="0"/>
                      <w:marBottom w:val="0"/>
                      <w:divBdr>
                        <w:top w:val="none" w:sz="0" w:space="0" w:color="auto"/>
                        <w:left w:val="none" w:sz="0" w:space="0" w:color="auto"/>
                        <w:bottom w:val="none" w:sz="0" w:space="0" w:color="auto"/>
                        <w:right w:val="none" w:sz="0" w:space="0" w:color="auto"/>
                      </w:divBdr>
                    </w:div>
                    <w:div w:id="1975214441">
                      <w:marLeft w:val="0"/>
                      <w:marRight w:val="0"/>
                      <w:marTop w:val="0"/>
                      <w:marBottom w:val="0"/>
                      <w:divBdr>
                        <w:top w:val="none" w:sz="0" w:space="0" w:color="auto"/>
                        <w:left w:val="none" w:sz="0" w:space="0" w:color="auto"/>
                        <w:bottom w:val="none" w:sz="0" w:space="0" w:color="auto"/>
                        <w:right w:val="none" w:sz="0" w:space="0" w:color="auto"/>
                      </w:divBdr>
                    </w:div>
                    <w:div w:id="711223271">
                      <w:marLeft w:val="0"/>
                      <w:marRight w:val="0"/>
                      <w:marTop w:val="0"/>
                      <w:marBottom w:val="0"/>
                      <w:divBdr>
                        <w:top w:val="none" w:sz="0" w:space="0" w:color="auto"/>
                        <w:left w:val="none" w:sz="0" w:space="0" w:color="auto"/>
                        <w:bottom w:val="none" w:sz="0" w:space="0" w:color="auto"/>
                        <w:right w:val="none" w:sz="0" w:space="0" w:color="auto"/>
                      </w:divBdr>
                    </w:div>
                    <w:div w:id="670377378">
                      <w:marLeft w:val="0"/>
                      <w:marRight w:val="0"/>
                      <w:marTop w:val="0"/>
                      <w:marBottom w:val="0"/>
                      <w:divBdr>
                        <w:top w:val="none" w:sz="0" w:space="0" w:color="auto"/>
                        <w:left w:val="none" w:sz="0" w:space="0" w:color="auto"/>
                        <w:bottom w:val="none" w:sz="0" w:space="0" w:color="auto"/>
                        <w:right w:val="none" w:sz="0" w:space="0" w:color="auto"/>
                      </w:divBdr>
                    </w:div>
                    <w:div w:id="1098646046">
                      <w:marLeft w:val="0"/>
                      <w:marRight w:val="0"/>
                      <w:marTop w:val="0"/>
                      <w:marBottom w:val="0"/>
                      <w:divBdr>
                        <w:top w:val="none" w:sz="0" w:space="0" w:color="auto"/>
                        <w:left w:val="none" w:sz="0" w:space="0" w:color="auto"/>
                        <w:bottom w:val="none" w:sz="0" w:space="0" w:color="auto"/>
                        <w:right w:val="none" w:sz="0" w:space="0" w:color="auto"/>
                      </w:divBdr>
                    </w:div>
                    <w:div w:id="153691602">
                      <w:marLeft w:val="0"/>
                      <w:marRight w:val="0"/>
                      <w:marTop w:val="0"/>
                      <w:marBottom w:val="0"/>
                      <w:divBdr>
                        <w:top w:val="none" w:sz="0" w:space="0" w:color="auto"/>
                        <w:left w:val="none" w:sz="0" w:space="0" w:color="auto"/>
                        <w:bottom w:val="none" w:sz="0" w:space="0" w:color="auto"/>
                        <w:right w:val="none" w:sz="0" w:space="0" w:color="auto"/>
                      </w:divBdr>
                    </w:div>
                    <w:div w:id="29112233">
                      <w:marLeft w:val="0"/>
                      <w:marRight w:val="0"/>
                      <w:marTop w:val="0"/>
                      <w:marBottom w:val="0"/>
                      <w:divBdr>
                        <w:top w:val="none" w:sz="0" w:space="0" w:color="auto"/>
                        <w:left w:val="none" w:sz="0" w:space="0" w:color="auto"/>
                        <w:bottom w:val="none" w:sz="0" w:space="0" w:color="auto"/>
                        <w:right w:val="none" w:sz="0" w:space="0" w:color="auto"/>
                      </w:divBdr>
                    </w:div>
                    <w:div w:id="1999336634">
                      <w:marLeft w:val="0"/>
                      <w:marRight w:val="0"/>
                      <w:marTop w:val="0"/>
                      <w:marBottom w:val="0"/>
                      <w:divBdr>
                        <w:top w:val="none" w:sz="0" w:space="0" w:color="auto"/>
                        <w:left w:val="none" w:sz="0" w:space="0" w:color="auto"/>
                        <w:bottom w:val="none" w:sz="0" w:space="0" w:color="auto"/>
                        <w:right w:val="none" w:sz="0" w:space="0" w:color="auto"/>
                      </w:divBdr>
                    </w:div>
                    <w:div w:id="757679902">
                      <w:marLeft w:val="0"/>
                      <w:marRight w:val="0"/>
                      <w:marTop w:val="0"/>
                      <w:marBottom w:val="0"/>
                      <w:divBdr>
                        <w:top w:val="none" w:sz="0" w:space="0" w:color="auto"/>
                        <w:left w:val="none" w:sz="0" w:space="0" w:color="auto"/>
                        <w:bottom w:val="none" w:sz="0" w:space="0" w:color="auto"/>
                        <w:right w:val="none" w:sz="0" w:space="0" w:color="auto"/>
                      </w:divBdr>
                    </w:div>
                    <w:div w:id="1938976960">
                      <w:marLeft w:val="0"/>
                      <w:marRight w:val="0"/>
                      <w:marTop w:val="0"/>
                      <w:marBottom w:val="0"/>
                      <w:divBdr>
                        <w:top w:val="none" w:sz="0" w:space="0" w:color="auto"/>
                        <w:left w:val="none" w:sz="0" w:space="0" w:color="auto"/>
                        <w:bottom w:val="none" w:sz="0" w:space="0" w:color="auto"/>
                        <w:right w:val="none" w:sz="0" w:space="0" w:color="auto"/>
                      </w:divBdr>
                    </w:div>
                    <w:div w:id="464012725">
                      <w:marLeft w:val="0"/>
                      <w:marRight w:val="0"/>
                      <w:marTop w:val="0"/>
                      <w:marBottom w:val="0"/>
                      <w:divBdr>
                        <w:top w:val="none" w:sz="0" w:space="0" w:color="auto"/>
                        <w:left w:val="none" w:sz="0" w:space="0" w:color="auto"/>
                        <w:bottom w:val="none" w:sz="0" w:space="0" w:color="auto"/>
                        <w:right w:val="none" w:sz="0" w:space="0" w:color="auto"/>
                      </w:divBdr>
                    </w:div>
                    <w:div w:id="1094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2485">
      <w:bodyDiv w:val="1"/>
      <w:marLeft w:val="0"/>
      <w:marRight w:val="0"/>
      <w:marTop w:val="0"/>
      <w:marBottom w:val="0"/>
      <w:divBdr>
        <w:top w:val="none" w:sz="0" w:space="0" w:color="auto"/>
        <w:left w:val="none" w:sz="0" w:space="0" w:color="auto"/>
        <w:bottom w:val="none" w:sz="0" w:space="0" w:color="auto"/>
        <w:right w:val="none" w:sz="0" w:space="0" w:color="auto"/>
      </w:divBdr>
    </w:div>
    <w:div w:id="106123483">
      <w:bodyDiv w:val="1"/>
      <w:marLeft w:val="0"/>
      <w:marRight w:val="0"/>
      <w:marTop w:val="0"/>
      <w:marBottom w:val="0"/>
      <w:divBdr>
        <w:top w:val="none" w:sz="0" w:space="0" w:color="auto"/>
        <w:left w:val="none" w:sz="0" w:space="0" w:color="auto"/>
        <w:bottom w:val="none" w:sz="0" w:space="0" w:color="auto"/>
        <w:right w:val="none" w:sz="0" w:space="0" w:color="auto"/>
      </w:divBdr>
    </w:div>
    <w:div w:id="124468958">
      <w:bodyDiv w:val="1"/>
      <w:marLeft w:val="0"/>
      <w:marRight w:val="0"/>
      <w:marTop w:val="0"/>
      <w:marBottom w:val="0"/>
      <w:divBdr>
        <w:top w:val="none" w:sz="0" w:space="0" w:color="auto"/>
        <w:left w:val="none" w:sz="0" w:space="0" w:color="auto"/>
        <w:bottom w:val="none" w:sz="0" w:space="0" w:color="auto"/>
        <w:right w:val="none" w:sz="0" w:space="0" w:color="auto"/>
      </w:divBdr>
    </w:div>
    <w:div w:id="200947209">
      <w:bodyDiv w:val="1"/>
      <w:marLeft w:val="0"/>
      <w:marRight w:val="0"/>
      <w:marTop w:val="0"/>
      <w:marBottom w:val="0"/>
      <w:divBdr>
        <w:top w:val="none" w:sz="0" w:space="0" w:color="auto"/>
        <w:left w:val="none" w:sz="0" w:space="0" w:color="auto"/>
        <w:bottom w:val="none" w:sz="0" w:space="0" w:color="auto"/>
        <w:right w:val="none" w:sz="0" w:space="0" w:color="auto"/>
      </w:divBdr>
    </w:div>
    <w:div w:id="290981501">
      <w:bodyDiv w:val="1"/>
      <w:marLeft w:val="0"/>
      <w:marRight w:val="0"/>
      <w:marTop w:val="0"/>
      <w:marBottom w:val="0"/>
      <w:divBdr>
        <w:top w:val="none" w:sz="0" w:space="0" w:color="auto"/>
        <w:left w:val="none" w:sz="0" w:space="0" w:color="auto"/>
        <w:bottom w:val="none" w:sz="0" w:space="0" w:color="auto"/>
        <w:right w:val="none" w:sz="0" w:space="0" w:color="auto"/>
      </w:divBdr>
    </w:div>
    <w:div w:id="329990508">
      <w:bodyDiv w:val="1"/>
      <w:marLeft w:val="0"/>
      <w:marRight w:val="0"/>
      <w:marTop w:val="0"/>
      <w:marBottom w:val="0"/>
      <w:divBdr>
        <w:top w:val="none" w:sz="0" w:space="0" w:color="auto"/>
        <w:left w:val="none" w:sz="0" w:space="0" w:color="auto"/>
        <w:bottom w:val="none" w:sz="0" w:space="0" w:color="auto"/>
        <w:right w:val="none" w:sz="0" w:space="0" w:color="auto"/>
      </w:divBdr>
    </w:div>
    <w:div w:id="351305205">
      <w:bodyDiv w:val="1"/>
      <w:marLeft w:val="0"/>
      <w:marRight w:val="0"/>
      <w:marTop w:val="0"/>
      <w:marBottom w:val="0"/>
      <w:divBdr>
        <w:top w:val="none" w:sz="0" w:space="0" w:color="auto"/>
        <w:left w:val="none" w:sz="0" w:space="0" w:color="auto"/>
        <w:bottom w:val="none" w:sz="0" w:space="0" w:color="auto"/>
        <w:right w:val="none" w:sz="0" w:space="0" w:color="auto"/>
      </w:divBdr>
    </w:div>
    <w:div w:id="357196912">
      <w:bodyDiv w:val="1"/>
      <w:marLeft w:val="0"/>
      <w:marRight w:val="0"/>
      <w:marTop w:val="0"/>
      <w:marBottom w:val="0"/>
      <w:divBdr>
        <w:top w:val="none" w:sz="0" w:space="0" w:color="auto"/>
        <w:left w:val="none" w:sz="0" w:space="0" w:color="auto"/>
        <w:bottom w:val="none" w:sz="0" w:space="0" w:color="auto"/>
        <w:right w:val="none" w:sz="0" w:space="0" w:color="auto"/>
      </w:divBdr>
    </w:div>
    <w:div w:id="485753639">
      <w:bodyDiv w:val="1"/>
      <w:marLeft w:val="0"/>
      <w:marRight w:val="0"/>
      <w:marTop w:val="0"/>
      <w:marBottom w:val="0"/>
      <w:divBdr>
        <w:top w:val="none" w:sz="0" w:space="0" w:color="auto"/>
        <w:left w:val="none" w:sz="0" w:space="0" w:color="auto"/>
        <w:bottom w:val="none" w:sz="0" w:space="0" w:color="auto"/>
        <w:right w:val="none" w:sz="0" w:space="0" w:color="auto"/>
      </w:divBdr>
    </w:div>
    <w:div w:id="517891354">
      <w:bodyDiv w:val="1"/>
      <w:marLeft w:val="0"/>
      <w:marRight w:val="0"/>
      <w:marTop w:val="0"/>
      <w:marBottom w:val="0"/>
      <w:divBdr>
        <w:top w:val="none" w:sz="0" w:space="0" w:color="auto"/>
        <w:left w:val="none" w:sz="0" w:space="0" w:color="auto"/>
        <w:bottom w:val="none" w:sz="0" w:space="0" w:color="auto"/>
        <w:right w:val="none" w:sz="0" w:space="0" w:color="auto"/>
      </w:divBdr>
    </w:div>
    <w:div w:id="522942005">
      <w:bodyDiv w:val="1"/>
      <w:marLeft w:val="0"/>
      <w:marRight w:val="0"/>
      <w:marTop w:val="0"/>
      <w:marBottom w:val="0"/>
      <w:divBdr>
        <w:top w:val="none" w:sz="0" w:space="0" w:color="auto"/>
        <w:left w:val="none" w:sz="0" w:space="0" w:color="auto"/>
        <w:bottom w:val="none" w:sz="0" w:space="0" w:color="auto"/>
        <w:right w:val="none" w:sz="0" w:space="0" w:color="auto"/>
      </w:divBdr>
    </w:div>
    <w:div w:id="539099989">
      <w:bodyDiv w:val="1"/>
      <w:marLeft w:val="0"/>
      <w:marRight w:val="0"/>
      <w:marTop w:val="0"/>
      <w:marBottom w:val="0"/>
      <w:divBdr>
        <w:top w:val="none" w:sz="0" w:space="0" w:color="auto"/>
        <w:left w:val="none" w:sz="0" w:space="0" w:color="auto"/>
        <w:bottom w:val="none" w:sz="0" w:space="0" w:color="auto"/>
        <w:right w:val="none" w:sz="0" w:space="0" w:color="auto"/>
      </w:divBdr>
    </w:div>
    <w:div w:id="544567416">
      <w:bodyDiv w:val="1"/>
      <w:marLeft w:val="0"/>
      <w:marRight w:val="0"/>
      <w:marTop w:val="0"/>
      <w:marBottom w:val="0"/>
      <w:divBdr>
        <w:top w:val="none" w:sz="0" w:space="0" w:color="auto"/>
        <w:left w:val="none" w:sz="0" w:space="0" w:color="auto"/>
        <w:bottom w:val="none" w:sz="0" w:space="0" w:color="auto"/>
        <w:right w:val="none" w:sz="0" w:space="0" w:color="auto"/>
      </w:divBdr>
    </w:div>
    <w:div w:id="604844181">
      <w:bodyDiv w:val="1"/>
      <w:marLeft w:val="0"/>
      <w:marRight w:val="0"/>
      <w:marTop w:val="0"/>
      <w:marBottom w:val="0"/>
      <w:divBdr>
        <w:top w:val="none" w:sz="0" w:space="0" w:color="auto"/>
        <w:left w:val="none" w:sz="0" w:space="0" w:color="auto"/>
        <w:bottom w:val="none" w:sz="0" w:space="0" w:color="auto"/>
        <w:right w:val="none" w:sz="0" w:space="0" w:color="auto"/>
      </w:divBdr>
    </w:div>
    <w:div w:id="631516925">
      <w:bodyDiv w:val="1"/>
      <w:marLeft w:val="0"/>
      <w:marRight w:val="0"/>
      <w:marTop w:val="0"/>
      <w:marBottom w:val="0"/>
      <w:divBdr>
        <w:top w:val="none" w:sz="0" w:space="0" w:color="auto"/>
        <w:left w:val="none" w:sz="0" w:space="0" w:color="auto"/>
        <w:bottom w:val="none" w:sz="0" w:space="0" w:color="auto"/>
        <w:right w:val="none" w:sz="0" w:space="0" w:color="auto"/>
      </w:divBdr>
    </w:div>
    <w:div w:id="660474626">
      <w:bodyDiv w:val="1"/>
      <w:marLeft w:val="0"/>
      <w:marRight w:val="0"/>
      <w:marTop w:val="0"/>
      <w:marBottom w:val="0"/>
      <w:divBdr>
        <w:top w:val="none" w:sz="0" w:space="0" w:color="auto"/>
        <w:left w:val="none" w:sz="0" w:space="0" w:color="auto"/>
        <w:bottom w:val="none" w:sz="0" w:space="0" w:color="auto"/>
        <w:right w:val="none" w:sz="0" w:space="0" w:color="auto"/>
      </w:divBdr>
    </w:div>
    <w:div w:id="665863803">
      <w:bodyDiv w:val="1"/>
      <w:marLeft w:val="0"/>
      <w:marRight w:val="0"/>
      <w:marTop w:val="0"/>
      <w:marBottom w:val="0"/>
      <w:divBdr>
        <w:top w:val="none" w:sz="0" w:space="0" w:color="auto"/>
        <w:left w:val="none" w:sz="0" w:space="0" w:color="auto"/>
        <w:bottom w:val="none" w:sz="0" w:space="0" w:color="auto"/>
        <w:right w:val="none" w:sz="0" w:space="0" w:color="auto"/>
      </w:divBdr>
    </w:div>
    <w:div w:id="738013712">
      <w:bodyDiv w:val="1"/>
      <w:marLeft w:val="0"/>
      <w:marRight w:val="0"/>
      <w:marTop w:val="0"/>
      <w:marBottom w:val="0"/>
      <w:divBdr>
        <w:top w:val="none" w:sz="0" w:space="0" w:color="auto"/>
        <w:left w:val="none" w:sz="0" w:space="0" w:color="auto"/>
        <w:bottom w:val="none" w:sz="0" w:space="0" w:color="auto"/>
        <w:right w:val="none" w:sz="0" w:space="0" w:color="auto"/>
      </w:divBdr>
    </w:div>
    <w:div w:id="776946374">
      <w:bodyDiv w:val="1"/>
      <w:marLeft w:val="0"/>
      <w:marRight w:val="0"/>
      <w:marTop w:val="0"/>
      <w:marBottom w:val="0"/>
      <w:divBdr>
        <w:top w:val="none" w:sz="0" w:space="0" w:color="auto"/>
        <w:left w:val="none" w:sz="0" w:space="0" w:color="auto"/>
        <w:bottom w:val="none" w:sz="0" w:space="0" w:color="auto"/>
        <w:right w:val="none" w:sz="0" w:space="0" w:color="auto"/>
      </w:divBdr>
    </w:div>
    <w:div w:id="801575437">
      <w:bodyDiv w:val="1"/>
      <w:marLeft w:val="0"/>
      <w:marRight w:val="0"/>
      <w:marTop w:val="0"/>
      <w:marBottom w:val="0"/>
      <w:divBdr>
        <w:top w:val="none" w:sz="0" w:space="0" w:color="auto"/>
        <w:left w:val="none" w:sz="0" w:space="0" w:color="auto"/>
        <w:bottom w:val="none" w:sz="0" w:space="0" w:color="auto"/>
        <w:right w:val="none" w:sz="0" w:space="0" w:color="auto"/>
      </w:divBdr>
    </w:div>
    <w:div w:id="823090048">
      <w:bodyDiv w:val="1"/>
      <w:marLeft w:val="0"/>
      <w:marRight w:val="0"/>
      <w:marTop w:val="0"/>
      <w:marBottom w:val="0"/>
      <w:divBdr>
        <w:top w:val="none" w:sz="0" w:space="0" w:color="auto"/>
        <w:left w:val="none" w:sz="0" w:space="0" w:color="auto"/>
        <w:bottom w:val="none" w:sz="0" w:space="0" w:color="auto"/>
        <w:right w:val="none" w:sz="0" w:space="0" w:color="auto"/>
      </w:divBdr>
    </w:div>
    <w:div w:id="834030456">
      <w:bodyDiv w:val="1"/>
      <w:marLeft w:val="0"/>
      <w:marRight w:val="0"/>
      <w:marTop w:val="0"/>
      <w:marBottom w:val="0"/>
      <w:divBdr>
        <w:top w:val="none" w:sz="0" w:space="0" w:color="auto"/>
        <w:left w:val="none" w:sz="0" w:space="0" w:color="auto"/>
        <w:bottom w:val="none" w:sz="0" w:space="0" w:color="auto"/>
        <w:right w:val="none" w:sz="0" w:space="0" w:color="auto"/>
      </w:divBdr>
    </w:div>
    <w:div w:id="865363584">
      <w:bodyDiv w:val="1"/>
      <w:marLeft w:val="0"/>
      <w:marRight w:val="0"/>
      <w:marTop w:val="0"/>
      <w:marBottom w:val="0"/>
      <w:divBdr>
        <w:top w:val="none" w:sz="0" w:space="0" w:color="auto"/>
        <w:left w:val="none" w:sz="0" w:space="0" w:color="auto"/>
        <w:bottom w:val="none" w:sz="0" w:space="0" w:color="auto"/>
        <w:right w:val="none" w:sz="0" w:space="0" w:color="auto"/>
      </w:divBdr>
    </w:div>
    <w:div w:id="878472056">
      <w:bodyDiv w:val="1"/>
      <w:marLeft w:val="0"/>
      <w:marRight w:val="0"/>
      <w:marTop w:val="0"/>
      <w:marBottom w:val="0"/>
      <w:divBdr>
        <w:top w:val="none" w:sz="0" w:space="0" w:color="auto"/>
        <w:left w:val="none" w:sz="0" w:space="0" w:color="auto"/>
        <w:bottom w:val="none" w:sz="0" w:space="0" w:color="auto"/>
        <w:right w:val="none" w:sz="0" w:space="0" w:color="auto"/>
      </w:divBdr>
    </w:div>
    <w:div w:id="985090131">
      <w:bodyDiv w:val="1"/>
      <w:marLeft w:val="0"/>
      <w:marRight w:val="0"/>
      <w:marTop w:val="0"/>
      <w:marBottom w:val="0"/>
      <w:divBdr>
        <w:top w:val="none" w:sz="0" w:space="0" w:color="auto"/>
        <w:left w:val="none" w:sz="0" w:space="0" w:color="auto"/>
        <w:bottom w:val="none" w:sz="0" w:space="0" w:color="auto"/>
        <w:right w:val="none" w:sz="0" w:space="0" w:color="auto"/>
      </w:divBdr>
      <w:divsChild>
        <w:div w:id="1888297491">
          <w:marLeft w:val="0"/>
          <w:marRight w:val="0"/>
          <w:marTop w:val="0"/>
          <w:marBottom w:val="0"/>
          <w:divBdr>
            <w:top w:val="none" w:sz="0" w:space="0" w:color="auto"/>
            <w:left w:val="none" w:sz="0" w:space="0" w:color="auto"/>
            <w:bottom w:val="none" w:sz="0" w:space="0" w:color="auto"/>
            <w:right w:val="none" w:sz="0" w:space="0" w:color="auto"/>
          </w:divBdr>
          <w:divsChild>
            <w:div w:id="1966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3193">
      <w:bodyDiv w:val="1"/>
      <w:marLeft w:val="0"/>
      <w:marRight w:val="0"/>
      <w:marTop w:val="0"/>
      <w:marBottom w:val="0"/>
      <w:divBdr>
        <w:top w:val="none" w:sz="0" w:space="0" w:color="auto"/>
        <w:left w:val="none" w:sz="0" w:space="0" w:color="auto"/>
        <w:bottom w:val="none" w:sz="0" w:space="0" w:color="auto"/>
        <w:right w:val="none" w:sz="0" w:space="0" w:color="auto"/>
      </w:divBdr>
    </w:div>
    <w:div w:id="1256327941">
      <w:bodyDiv w:val="1"/>
      <w:marLeft w:val="0"/>
      <w:marRight w:val="0"/>
      <w:marTop w:val="0"/>
      <w:marBottom w:val="0"/>
      <w:divBdr>
        <w:top w:val="none" w:sz="0" w:space="0" w:color="auto"/>
        <w:left w:val="none" w:sz="0" w:space="0" w:color="auto"/>
        <w:bottom w:val="none" w:sz="0" w:space="0" w:color="auto"/>
        <w:right w:val="none" w:sz="0" w:space="0" w:color="auto"/>
      </w:divBdr>
    </w:div>
    <w:div w:id="1394499246">
      <w:bodyDiv w:val="1"/>
      <w:marLeft w:val="0"/>
      <w:marRight w:val="0"/>
      <w:marTop w:val="0"/>
      <w:marBottom w:val="0"/>
      <w:divBdr>
        <w:top w:val="none" w:sz="0" w:space="0" w:color="auto"/>
        <w:left w:val="none" w:sz="0" w:space="0" w:color="auto"/>
        <w:bottom w:val="none" w:sz="0" w:space="0" w:color="auto"/>
        <w:right w:val="none" w:sz="0" w:space="0" w:color="auto"/>
      </w:divBdr>
    </w:div>
    <w:div w:id="1445877913">
      <w:bodyDiv w:val="1"/>
      <w:marLeft w:val="0"/>
      <w:marRight w:val="0"/>
      <w:marTop w:val="0"/>
      <w:marBottom w:val="0"/>
      <w:divBdr>
        <w:top w:val="none" w:sz="0" w:space="0" w:color="auto"/>
        <w:left w:val="none" w:sz="0" w:space="0" w:color="auto"/>
        <w:bottom w:val="none" w:sz="0" w:space="0" w:color="auto"/>
        <w:right w:val="none" w:sz="0" w:space="0" w:color="auto"/>
      </w:divBdr>
    </w:div>
    <w:div w:id="1446926482">
      <w:bodyDiv w:val="1"/>
      <w:marLeft w:val="0"/>
      <w:marRight w:val="0"/>
      <w:marTop w:val="0"/>
      <w:marBottom w:val="0"/>
      <w:divBdr>
        <w:top w:val="none" w:sz="0" w:space="0" w:color="auto"/>
        <w:left w:val="none" w:sz="0" w:space="0" w:color="auto"/>
        <w:bottom w:val="none" w:sz="0" w:space="0" w:color="auto"/>
        <w:right w:val="none" w:sz="0" w:space="0" w:color="auto"/>
      </w:divBdr>
    </w:div>
    <w:div w:id="1460536040">
      <w:bodyDiv w:val="1"/>
      <w:marLeft w:val="0"/>
      <w:marRight w:val="0"/>
      <w:marTop w:val="0"/>
      <w:marBottom w:val="0"/>
      <w:divBdr>
        <w:top w:val="none" w:sz="0" w:space="0" w:color="auto"/>
        <w:left w:val="none" w:sz="0" w:space="0" w:color="auto"/>
        <w:bottom w:val="none" w:sz="0" w:space="0" w:color="auto"/>
        <w:right w:val="none" w:sz="0" w:space="0" w:color="auto"/>
      </w:divBdr>
    </w:div>
    <w:div w:id="1462186961">
      <w:bodyDiv w:val="1"/>
      <w:marLeft w:val="0"/>
      <w:marRight w:val="0"/>
      <w:marTop w:val="0"/>
      <w:marBottom w:val="0"/>
      <w:divBdr>
        <w:top w:val="none" w:sz="0" w:space="0" w:color="auto"/>
        <w:left w:val="none" w:sz="0" w:space="0" w:color="auto"/>
        <w:bottom w:val="none" w:sz="0" w:space="0" w:color="auto"/>
        <w:right w:val="none" w:sz="0" w:space="0" w:color="auto"/>
      </w:divBdr>
    </w:div>
    <w:div w:id="1479153794">
      <w:bodyDiv w:val="1"/>
      <w:marLeft w:val="0"/>
      <w:marRight w:val="0"/>
      <w:marTop w:val="0"/>
      <w:marBottom w:val="0"/>
      <w:divBdr>
        <w:top w:val="none" w:sz="0" w:space="0" w:color="auto"/>
        <w:left w:val="none" w:sz="0" w:space="0" w:color="auto"/>
        <w:bottom w:val="none" w:sz="0" w:space="0" w:color="auto"/>
        <w:right w:val="none" w:sz="0" w:space="0" w:color="auto"/>
      </w:divBdr>
    </w:div>
    <w:div w:id="1484658706">
      <w:bodyDiv w:val="1"/>
      <w:marLeft w:val="0"/>
      <w:marRight w:val="0"/>
      <w:marTop w:val="0"/>
      <w:marBottom w:val="0"/>
      <w:divBdr>
        <w:top w:val="none" w:sz="0" w:space="0" w:color="auto"/>
        <w:left w:val="none" w:sz="0" w:space="0" w:color="auto"/>
        <w:bottom w:val="none" w:sz="0" w:space="0" w:color="auto"/>
        <w:right w:val="none" w:sz="0" w:space="0" w:color="auto"/>
      </w:divBdr>
    </w:div>
    <w:div w:id="1493063443">
      <w:bodyDiv w:val="1"/>
      <w:marLeft w:val="0"/>
      <w:marRight w:val="0"/>
      <w:marTop w:val="0"/>
      <w:marBottom w:val="0"/>
      <w:divBdr>
        <w:top w:val="none" w:sz="0" w:space="0" w:color="auto"/>
        <w:left w:val="none" w:sz="0" w:space="0" w:color="auto"/>
        <w:bottom w:val="none" w:sz="0" w:space="0" w:color="auto"/>
        <w:right w:val="none" w:sz="0" w:space="0" w:color="auto"/>
      </w:divBdr>
    </w:div>
    <w:div w:id="1508981783">
      <w:bodyDiv w:val="1"/>
      <w:marLeft w:val="0"/>
      <w:marRight w:val="0"/>
      <w:marTop w:val="0"/>
      <w:marBottom w:val="0"/>
      <w:divBdr>
        <w:top w:val="none" w:sz="0" w:space="0" w:color="auto"/>
        <w:left w:val="none" w:sz="0" w:space="0" w:color="auto"/>
        <w:bottom w:val="none" w:sz="0" w:space="0" w:color="auto"/>
        <w:right w:val="none" w:sz="0" w:space="0" w:color="auto"/>
      </w:divBdr>
    </w:div>
    <w:div w:id="1588539441">
      <w:bodyDiv w:val="1"/>
      <w:marLeft w:val="0"/>
      <w:marRight w:val="0"/>
      <w:marTop w:val="0"/>
      <w:marBottom w:val="0"/>
      <w:divBdr>
        <w:top w:val="none" w:sz="0" w:space="0" w:color="auto"/>
        <w:left w:val="none" w:sz="0" w:space="0" w:color="auto"/>
        <w:bottom w:val="none" w:sz="0" w:space="0" w:color="auto"/>
        <w:right w:val="none" w:sz="0" w:space="0" w:color="auto"/>
      </w:divBdr>
    </w:div>
    <w:div w:id="1680307190">
      <w:bodyDiv w:val="1"/>
      <w:marLeft w:val="0"/>
      <w:marRight w:val="0"/>
      <w:marTop w:val="0"/>
      <w:marBottom w:val="0"/>
      <w:divBdr>
        <w:top w:val="none" w:sz="0" w:space="0" w:color="auto"/>
        <w:left w:val="none" w:sz="0" w:space="0" w:color="auto"/>
        <w:bottom w:val="none" w:sz="0" w:space="0" w:color="auto"/>
        <w:right w:val="none" w:sz="0" w:space="0" w:color="auto"/>
      </w:divBdr>
    </w:div>
    <w:div w:id="1690181373">
      <w:bodyDiv w:val="1"/>
      <w:marLeft w:val="0"/>
      <w:marRight w:val="0"/>
      <w:marTop w:val="0"/>
      <w:marBottom w:val="0"/>
      <w:divBdr>
        <w:top w:val="none" w:sz="0" w:space="0" w:color="auto"/>
        <w:left w:val="none" w:sz="0" w:space="0" w:color="auto"/>
        <w:bottom w:val="none" w:sz="0" w:space="0" w:color="auto"/>
        <w:right w:val="none" w:sz="0" w:space="0" w:color="auto"/>
      </w:divBdr>
    </w:div>
    <w:div w:id="1777485528">
      <w:bodyDiv w:val="1"/>
      <w:marLeft w:val="0"/>
      <w:marRight w:val="0"/>
      <w:marTop w:val="0"/>
      <w:marBottom w:val="0"/>
      <w:divBdr>
        <w:top w:val="none" w:sz="0" w:space="0" w:color="auto"/>
        <w:left w:val="none" w:sz="0" w:space="0" w:color="auto"/>
        <w:bottom w:val="none" w:sz="0" w:space="0" w:color="auto"/>
        <w:right w:val="none" w:sz="0" w:space="0" w:color="auto"/>
      </w:divBdr>
      <w:divsChild>
        <w:div w:id="1842424334">
          <w:marLeft w:val="0"/>
          <w:marRight w:val="0"/>
          <w:marTop w:val="0"/>
          <w:marBottom w:val="0"/>
          <w:divBdr>
            <w:top w:val="none" w:sz="0" w:space="0" w:color="auto"/>
            <w:left w:val="none" w:sz="0" w:space="0" w:color="auto"/>
            <w:bottom w:val="none" w:sz="0" w:space="0" w:color="auto"/>
            <w:right w:val="none" w:sz="0" w:space="0" w:color="auto"/>
          </w:divBdr>
          <w:divsChild>
            <w:div w:id="623195423">
              <w:marLeft w:val="0"/>
              <w:marRight w:val="0"/>
              <w:marTop w:val="0"/>
              <w:marBottom w:val="0"/>
              <w:divBdr>
                <w:top w:val="none" w:sz="0" w:space="0" w:color="auto"/>
                <w:left w:val="none" w:sz="0" w:space="0" w:color="auto"/>
                <w:bottom w:val="none" w:sz="0" w:space="0" w:color="auto"/>
                <w:right w:val="none" w:sz="0" w:space="0" w:color="auto"/>
              </w:divBdr>
              <w:divsChild>
                <w:div w:id="1626814402">
                  <w:marLeft w:val="0"/>
                  <w:marRight w:val="0"/>
                  <w:marTop w:val="0"/>
                  <w:marBottom w:val="0"/>
                  <w:divBdr>
                    <w:top w:val="none" w:sz="0" w:space="0" w:color="auto"/>
                    <w:left w:val="none" w:sz="0" w:space="0" w:color="auto"/>
                    <w:bottom w:val="none" w:sz="0" w:space="0" w:color="auto"/>
                    <w:right w:val="none" w:sz="0" w:space="0" w:color="auto"/>
                  </w:divBdr>
                  <w:divsChild>
                    <w:div w:id="1337031862">
                      <w:marLeft w:val="0"/>
                      <w:marRight w:val="0"/>
                      <w:marTop w:val="0"/>
                      <w:marBottom w:val="0"/>
                      <w:divBdr>
                        <w:top w:val="none" w:sz="0" w:space="0" w:color="auto"/>
                        <w:left w:val="none" w:sz="0" w:space="0" w:color="auto"/>
                        <w:bottom w:val="none" w:sz="0" w:space="0" w:color="auto"/>
                        <w:right w:val="none" w:sz="0" w:space="0" w:color="auto"/>
                      </w:divBdr>
                    </w:div>
                    <w:div w:id="179854180">
                      <w:marLeft w:val="0"/>
                      <w:marRight w:val="0"/>
                      <w:marTop w:val="0"/>
                      <w:marBottom w:val="0"/>
                      <w:divBdr>
                        <w:top w:val="none" w:sz="0" w:space="0" w:color="auto"/>
                        <w:left w:val="none" w:sz="0" w:space="0" w:color="auto"/>
                        <w:bottom w:val="none" w:sz="0" w:space="0" w:color="auto"/>
                        <w:right w:val="none" w:sz="0" w:space="0" w:color="auto"/>
                      </w:divBdr>
                    </w:div>
                    <w:div w:id="1008554994">
                      <w:marLeft w:val="0"/>
                      <w:marRight w:val="0"/>
                      <w:marTop w:val="0"/>
                      <w:marBottom w:val="0"/>
                      <w:divBdr>
                        <w:top w:val="none" w:sz="0" w:space="0" w:color="auto"/>
                        <w:left w:val="none" w:sz="0" w:space="0" w:color="auto"/>
                        <w:bottom w:val="none" w:sz="0" w:space="0" w:color="auto"/>
                        <w:right w:val="none" w:sz="0" w:space="0" w:color="auto"/>
                      </w:divBdr>
                    </w:div>
                    <w:div w:id="347173209">
                      <w:marLeft w:val="0"/>
                      <w:marRight w:val="0"/>
                      <w:marTop w:val="0"/>
                      <w:marBottom w:val="0"/>
                      <w:divBdr>
                        <w:top w:val="none" w:sz="0" w:space="0" w:color="auto"/>
                        <w:left w:val="none" w:sz="0" w:space="0" w:color="auto"/>
                        <w:bottom w:val="none" w:sz="0" w:space="0" w:color="auto"/>
                        <w:right w:val="none" w:sz="0" w:space="0" w:color="auto"/>
                      </w:divBdr>
                    </w:div>
                    <w:div w:id="2085445143">
                      <w:marLeft w:val="0"/>
                      <w:marRight w:val="0"/>
                      <w:marTop w:val="0"/>
                      <w:marBottom w:val="0"/>
                      <w:divBdr>
                        <w:top w:val="none" w:sz="0" w:space="0" w:color="auto"/>
                        <w:left w:val="none" w:sz="0" w:space="0" w:color="auto"/>
                        <w:bottom w:val="none" w:sz="0" w:space="0" w:color="auto"/>
                        <w:right w:val="none" w:sz="0" w:space="0" w:color="auto"/>
                      </w:divBdr>
                    </w:div>
                    <w:div w:id="969479713">
                      <w:marLeft w:val="0"/>
                      <w:marRight w:val="0"/>
                      <w:marTop w:val="0"/>
                      <w:marBottom w:val="0"/>
                      <w:divBdr>
                        <w:top w:val="none" w:sz="0" w:space="0" w:color="auto"/>
                        <w:left w:val="none" w:sz="0" w:space="0" w:color="auto"/>
                        <w:bottom w:val="none" w:sz="0" w:space="0" w:color="auto"/>
                        <w:right w:val="none" w:sz="0" w:space="0" w:color="auto"/>
                      </w:divBdr>
                    </w:div>
                    <w:div w:id="1885556588">
                      <w:marLeft w:val="0"/>
                      <w:marRight w:val="0"/>
                      <w:marTop w:val="0"/>
                      <w:marBottom w:val="0"/>
                      <w:divBdr>
                        <w:top w:val="none" w:sz="0" w:space="0" w:color="auto"/>
                        <w:left w:val="none" w:sz="0" w:space="0" w:color="auto"/>
                        <w:bottom w:val="none" w:sz="0" w:space="0" w:color="auto"/>
                        <w:right w:val="none" w:sz="0" w:space="0" w:color="auto"/>
                      </w:divBdr>
                    </w:div>
                    <w:div w:id="1575968237">
                      <w:marLeft w:val="0"/>
                      <w:marRight w:val="0"/>
                      <w:marTop w:val="0"/>
                      <w:marBottom w:val="0"/>
                      <w:divBdr>
                        <w:top w:val="none" w:sz="0" w:space="0" w:color="auto"/>
                        <w:left w:val="none" w:sz="0" w:space="0" w:color="auto"/>
                        <w:bottom w:val="none" w:sz="0" w:space="0" w:color="auto"/>
                        <w:right w:val="none" w:sz="0" w:space="0" w:color="auto"/>
                      </w:divBdr>
                    </w:div>
                    <w:div w:id="1732848876">
                      <w:marLeft w:val="0"/>
                      <w:marRight w:val="0"/>
                      <w:marTop w:val="0"/>
                      <w:marBottom w:val="0"/>
                      <w:divBdr>
                        <w:top w:val="none" w:sz="0" w:space="0" w:color="auto"/>
                        <w:left w:val="none" w:sz="0" w:space="0" w:color="auto"/>
                        <w:bottom w:val="none" w:sz="0" w:space="0" w:color="auto"/>
                        <w:right w:val="none" w:sz="0" w:space="0" w:color="auto"/>
                      </w:divBdr>
                    </w:div>
                    <w:div w:id="1629506042">
                      <w:marLeft w:val="0"/>
                      <w:marRight w:val="0"/>
                      <w:marTop w:val="0"/>
                      <w:marBottom w:val="0"/>
                      <w:divBdr>
                        <w:top w:val="none" w:sz="0" w:space="0" w:color="auto"/>
                        <w:left w:val="none" w:sz="0" w:space="0" w:color="auto"/>
                        <w:bottom w:val="none" w:sz="0" w:space="0" w:color="auto"/>
                        <w:right w:val="none" w:sz="0" w:space="0" w:color="auto"/>
                      </w:divBdr>
                    </w:div>
                    <w:div w:id="672688627">
                      <w:marLeft w:val="0"/>
                      <w:marRight w:val="0"/>
                      <w:marTop w:val="0"/>
                      <w:marBottom w:val="0"/>
                      <w:divBdr>
                        <w:top w:val="none" w:sz="0" w:space="0" w:color="auto"/>
                        <w:left w:val="none" w:sz="0" w:space="0" w:color="auto"/>
                        <w:bottom w:val="none" w:sz="0" w:space="0" w:color="auto"/>
                        <w:right w:val="none" w:sz="0" w:space="0" w:color="auto"/>
                      </w:divBdr>
                    </w:div>
                    <w:div w:id="708140470">
                      <w:marLeft w:val="0"/>
                      <w:marRight w:val="0"/>
                      <w:marTop w:val="0"/>
                      <w:marBottom w:val="0"/>
                      <w:divBdr>
                        <w:top w:val="none" w:sz="0" w:space="0" w:color="auto"/>
                        <w:left w:val="none" w:sz="0" w:space="0" w:color="auto"/>
                        <w:bottom w:val="none" w:sz="0" w:space="0" w:color="auto"/>
                        <w:right w:val="none" w:sz="0" w:space="0" w:color="auto"/>
                      </w:divBdr>
                    </w:div>
                    <w:div w:id="1061750041">
                      <w:marLeft w:val="0"/>
                      <w:marRight w:val="0"/>
                      <w:marTop w:val="0"/>
                      <w:marBottom w:val="0"/>
                      <w:divBdr>
                        <w:top w:val="none" w:sz="0" w:space="0" w:color="auto"/>
                        <w:left w:val="none" w:sz="0" w:space="0" w:color="auto"/>
                        <w:bottom w:val="none" w:sz="0" w:space="0" w:color="auto"/>
                        <w:right w:val="none" w:sz="0" w:space="0" w:color="auto"/>
                      </w:divBdr>
                    </w:div>
                    <w:div w:id="558639933">
                      <w:marLeft w:val="0"/>
                      <w:marRight w:val="0"/>
                      <w:marTop w:val="0"/>
                      <w:marBottom w:val="0"/>
                      <w:divBdr>
                        <w:top w:val="none" w:sz="0" w:space="0" w:color="auto"/>
                        <w:left w:val="none" w:sz="0" w:space="0" w:color="auto"/>
                        <w:bottom w:val="none" w:sz="0" w:space="0" w:color="auto"/>
                        <w:right w:val="none" w:sz="0" w:space="0" w:color="auto"/>
                      </w:divBdr>
                    </w:div>
                    <w:div w:id="265889338">
                      <w:marLeft w:val="0"/>
                      <w:marRight w:val="0"/>
                      <w:marTop w:val="0"/>
                      <w:marBottom w:val="0"/>
                      <w:divBdr>
                        <w:top w:val="none" w:sz="0" w:space="0" w:color="auto"/>
                        <w:left w:val="none" w:sz="0" w:space="0" w:color="auto"/>
                        <w:bottom w:val="none" w:sz="0" w:space="0" w:color="auto"/>
                        <w:right w:val="none" w:sz="0" w:space="0" w:color="auto"/>
                      </w:divBdr>
                    </w:div>
                    <w:div w:id="468479800">
                      <w:marLeft w:val="0"/>
                      <w:marRight w:val="0"/>
                      <w:marTop w:val="0"/>
                      <w:marBottom w:val="0"/>
                      <w:divBdr>
                        <w:top w:val="none" w:sz="0" w:space="0" w:color="auto"/>
                        <w:left w:val="none" w:sz="0" w:space="0" w:color="auto"/>
                        <w:bottom w:val="none" w:sz="0" w:space="0" w:color="auto"/>
                        <w:right w:val="none" w:sz="0" w:space="0" w:color="auto"/>
                      </w:divBdr>
                    </w:div>
                    <w:div w:id="1321081148">
                      <w:marLeft w:val="0"/>
                      <w:marRight w:val="0"/>
                      <w:marTop w:val="0"/>
                      <w:marBottom w:val="0"/>
                      <w:divBdr>
                        <w:top w:val="none" w:sz="0" w:space="0" w:color="auto"/>
                        <w:left w:val="none" w:sz="0" w:space="0" w:color="auto"/>
                        <w:bottom w:val="none" w:sz="0" w:space="0" w:color="auto"/>
                        <w:right w:val="none" w:sz="0" w:space="0" w:color="auto"/>
                      </w:divBdr>
                    </w:div>
                    <w:div w:id="638537650">
                      <w:marLeft w:val="0"/>
                      <w:marRight w:val="0"/>
                      <w:marTop w:val="0"/>
                      <w:marBottom w:val="0"/>
                      <w:divBdr>
                        <w:top w:val="none" w:sz="0" w:space="0" w:color="auto"/>
                        <w:left w:val="none" w:sz="0" w:space="0" w:color="auto"/>
                        <w:bottom w:val="none" w:sz="0" w:space="0" w:color="auto"/>
                        <w:right w:val="none" w:sz="0" w:space="0" w:color="auto"/>
                      </w:divBdr>
                    </w:div>
                    <w:div w:id="2128964922">
                      <w:marLeft w:val="0"/>
                      <w:marRight w:val="0"/>
                      <w:marTop w:val="0"/>
                      <w:marBottom w:val="0"/>
                      <w:divBdr>
                        <w:top w:val="none" w:sz="0" w:space="0" w:color="auto"/>
                        <w:left w:val="none" w:sz="0" w:space="0" w:color="auto"/>
                        <w:bottom w:val="none" w:sz="0" w:space="0" w:color="auto"/>
                        <w:right w:val="none" w:sz="0" w:space="0" w:color="auto"/>
                      </w:divBdr>
                    </w:div>
                    <w:div w:id="2030525786">
                      <w:marLeft w:val="0"/>
                      <w:marRight w:val="0"/>
                      <w:marTop w:val="0"/>
                      <w:marBottom w:val="0"/>
                      <w:divBdr>
                        <w:top w:val="none" w:sz="0" w:space="0" w:color="auto"/>
                        <w:left w:val="none" w:sz="0" w:space="0" w:color="auto"/>
                        <w:bottom w:val="none" w:sz="0" w:space="0" w:color="auto"/>
                        <w:right w:val="none" w:sz="0" w:space="0" w:color="auto"/>
                      </w:divBdr>
                    </w:div>
                    <w:div w:id="16407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709130">
      <w:bodyDiv w:val="1"/>
      <w:marLeft w:val="0"/>
      <w:marRight w:val="0"/>
      <w:marTop w:val="0"/>
      <w:marBottom w:val="0"/>
      <w:divBdr>
        <w:top w:val="none" w:sz="0" w:space="0" w:color="auto"/>
        <w:left w:val="none" w:sz="0" w:space="0" w:color="auto"/>
        <w:bottom w:val="none" w:sz="0" w:space="0" w:color="auto"/>
        <w:right w:val="none" w:sz="0" w:space="0" w:color="auto"/>
      </w:divBdr>
      <w:divsChild>
        <w:div w:id="350886982">
          <w:marLeft w:val="374"/>
          <w:marRight w:val="0"/>
          <w:marTop w:val="280"/>
          <w:marBottom w:val="0"/>
          <w:divBdr>
            <w:top w:val="none" w:sz="0" w:space="0" w:color="auto"/>
            <w:left w:val="none" w:sz="0" w:space="0" w:color="auto"/>
            <w:bottom w:val="none" w:sz="0" w:space="0" w:color="auto"/>
            <w:right w:val="none" w:sz="0" w:space="0" w:color="auto"/>
          </w:divBdr>
        </w:div>
        <w:div w:id="476528988">
          <w:marLeft w:val="374"/>
          <w:marRight w:val="0"/>
          <w:marTop w:val="280"/>
          <w:marBottom w:val="0"/>
          <w:divBdr>
            <w:top w:val="none" w:sz="0" w:space="0" w:color="auto"/>
            <w:left w:val="none" w:sz="0" w:space="0" w:color="auto"/>
            <w:bottom w:val="none" w:sz="0" w:space="0" w:color="auto"/>
            <w:right w:val="none" w:sz="0" w:space="0" w:color="auto"/>
          </w:divBdr>
        </w:div>
        <w:div w:id="1109085479">
          <w:marLeft w:val="374"/>
          <w:marRight w:val="0"/>
          <w:marTop w:val="280"/>
          <w:marBottom w:val="0"/>
          <w:divBdr>
            <w:top w:val="none" w:sz="0" w:space="0" w:color="auto"/>
            <w:left w:val="none" w:sz="0" w:space="0" w:color="auto"/>
            <w:bottom w:val="none" w:sz="0" w:space="0" w:color="auto"/>
            <w:right w:val="none" w:sz="0" w:space="0" w:color="auto"/>
          </w:divBdr>
        </w:div>
        <w:div w:id="147669655">
          <w:marLeft w:val="374"/>
          <w:marRight w:val="0"/>
          <w:marTop w:val="280"/>
          <w:marBottom w:val="0"/>
          <w:divBdr>
            <w:top w:val="none" w:sz="0" w:space="0" w:color="auto"/>
            <w:left w:val="none" w:sz="0" w:space="0" w:color="auto"/>
            <w:bottom w:val="none" w:sz="0" w:space="0" w:color="auto"/>
            <w:right w:val="none" w:sz="0" w:space="0" w:color="auto"/>
          </w:divBdr>
        </w:div>
        <w:div w:id="67265462">
          <w:marLeft w:val="374"/>
          <w:marRight w:val="0"/>
          <w:marTop w:val="280"/>
          <w:marBottom w:val="0"/>
          <w:divBdr>
            <w:top w:val="none" w:sz="0" w:space="0" w:color="auto"/>
            <w:left w:val="none" w:sz="0" w:space="0" w:color="auto"/>
            <w:bottom w:val="none" w:sz="0" w:space="0" w:color="auto"/>
            <w:right w:val="none" w:sz="0" w:space="0" w:color="auto"/>
          </w:divBdr>
        </w:div>
      </w:divsChild>
    </w:div>
    <w:div w:id="1832721467">
      <w:bodyDiv w:val="1"/>
      <w:marLeft w:val="0"/>
      <w:marRight w:val="0"/>
      <w:marTop w:val="0"/>
      <w:marBottom w:val="0"/>
      <w:divBdr>
        <w:top w:val="none" w:sz="0" w:space="0" w:color="auto"/>
        <w:left w:val="none" w:sz="0" w:space="0" w:color="auto"/>
        <w:bottom w:val="none" w:sz="0" w:space="0" w:color="auto"/>
        <w:right w:val="none" w:sz="0" w:space="0" w:color="auto"/>
      </w:divBdr>
    </w:div>
    <w:div w:id="1877498192">
      <w:bodyDiv w:val="1"/>
      <w:marLeft w:val="0"/>
      <w:marRight w:val="0"/>
      <w:marTop w:val="0"/>
      <w:marBottom w:val="0"/>
      <w:divBdr>
        <w:top w:val="none" w:sz="0" w:space="0" w:color="auto"/>
        <w:left w:val="none" w:sz="0" w:space="0" w:color="auto"/>
        <w:bottom w:val="none" w:sz="0" w:space="0" w:color="auto"/>
        <w:right w:val="none" w:sz="0" w:space="0" w:color="auto"/>
      </w:divBdr>
    </w:div>
    <w:div w:id="1911112369">
      <w:bodyDiv w:val="1"/>
      <w:marLeft w:val="0"/>
      <w:marRight w:val="0"/>
      <w:marTop w:val="0"/>
      <w:marBottom w:val="0"/>
      <w:divBdr>
        <w:top w:val="none" w:sz="0" w:space="0" w:color="auto"/>
        <w:left w:val="none" w:sz="0" w:space="0" w:color="auto"/>
        <w:bottom w:val="none" w:sz="0" w:space="0" w:color="auto"/>
        <w:right w:val="none" w:sz="0" w:space="0" w:color="auto"/>
      </w:divBdr>
    </w:div>
    <w:div w:id="1959411689">
      <w:bodyDiv w:val="1"/>
      <w:marLeft w:val="0"/>
      <w:marRight w:val="0"/>
      <w:marTop w:val="0"/>
      <w:marBottom w:val="0"/>
      <w:divBdr>
        <w:top w:val="none" w:sz="0" w:space="0" w:color="auto"/>
        <w:left w:val="none" w:sz="0" w:space="0" w:color="auto"/>
        <w:bottom w:val="none" w:sz="0" w:space="0" w:color="auto"/>
        <w:right w:val="none" w:sz="0" w:space="0" w:color="auto"/>
      </w:divBdr>
    </w:div>
    <w:div w:id="1982345881">
      <w:bodyDiv w:val="1"/>
      <w:marLeft w:val="0"/>
      <w:marRight w:val="0"/>
      <w:marTop w:val="0"/>
      <w:marBottom w:val="0"/>
      <w:divBdr>
        <w:top w:val="none" w:sz="0" w:space="0" w:color="auto"/>
        <w:left w:val="none" w:sz="0" w:space="0" w:color="auto"/>
        <w:bottom w:val="none" w:sz="0" w:space="0" w:color="auto"/>
        <w:right w:val="none" w:sz="0" w:space="0" w:color="auto"/>
      </w:divBdr>
    </w:div>
    <w:div w:id="2024167061">
      <w:bodyDiv w:val="1"/>
      <w:marLeft w:val="0"/>
      <w:marRight w:val="0"/>
      <w:marTop w:val="0"/>
      <w:marBottom w:val="0"/>
      <w:divBdr>
        <w:top w:val="none" w:sz="0" w:space="0" w:color="auto"/>
        <w:left w:val="none" w:sz="0" w:space="0" w:color="auto"/>
        <w:bottom w:val="none" w:sz="0" w:space="0" w:color="auto"/>
        <w:right w:val="none" w:sz="0" w:space="0" w:color="auto"/>
      </w:divBdr>
      <w:divsChild>
        <w:div w:id="810638055">
          <w:marLeft w:val="0"/>
          <w:marRight w:val="0"/>
          <w:marTop w:val="100"/>
          <w:marBottom w:val="100"/>
          <w:divBdr>
            <w:top w:val="none" w:sz="0" w:space="0" w:color="auto"/>
            <w:left w:val="none" w:sz="0" w:space="0" w:color="auto"/>
            <w:bottom w:val="none" w:sz="0" w:space="0" w:color="auto"/>
            <w:right w:val="none" w:sz="0" w:space="0" w:color="auto"/>
          </w:divBdr>
          <w:divsChild>
            <w:div w:id="530652924">
              <w:marLeft w:val="0"/>
              <w:marRight w:val="0"/>
              <w:marTop w:val="0"/>
              <w:marBottom w:val="0"/>
              <w:divBdr>
                <w:top w:val="none" w:sz="0" w:space="0" w:color="auto"/>
                <w:left w:val="none" w:sz="0" w:space="0" w:color="auto"/>
                <w:bottom w:val="none" w:sz="0" w:space="0" w:color="auto"/>
                <w:right w:val="none" w:sz="0" w:space="0" w:color="auto"/>
              </w:divBdr>
              <w:divsChild>
                <w:div w:id="641233652">
                  <w:marLeft w:val="0"/>
                  <w:marRight w:val="0"/>
                  <w:marTop w:val="316"/>
                  <w:marBottom w:val="0"/>
                  <w:divBdr>
                    <w:top w:val="none" w:sz="0" w:space="0" w:color="auto"/>
                    <w:left w:val="none" w:sz="0" w:space="0" w:color="auto"/>
                    <w:bottom w:val="none" w:sz="0" w:space="0" w:color="auto"/>
                    <w:right w:val="none" w:sz="0" w:space="0" w:color="auto"/>
                  </w:divBdr>
                  <w:divsChild>
                    <w:div w:id="1859545336">
                      <w:marLeft w:val="0"/>
                      <w:marRight w:val="0"/>
                      <w:marTop w:val="0"/>
                      <w:marBottom w:val="0"/>
                      <w:divBdr>
                        <w:top w:val="none" w:sz="0" w:space="0" w:color="auto"/>
                        <w:left w:val="none" w:sz="0" w:space="0" w:color="auto"/>
                        <w:bottom w:val="none" w:sz="0" w:space="0" w:color="auto"/>
                        <w:right w:val="none" w:sz="0" w:space="0" w:color="auto"/>
                      </w:divBdr>
                      <w:divsChild>
                        <w:div w:id="165263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2004824">
      <w:bodyDiv w:val="1"/>
      <w:marLeft w:val="0"/>
      <w:marRight w:val="0"/>
      <w:marTop w:val="0"/>
      <w:marBottom w:val="0"/>
      <w:divBdr>
        <w:top w:val="none" w:sz="0" w:space="0" w:color="auto"/>
        <w:left w:val="none" w:sz="0" w:space="0" w:color="auto"/>
        <w:bottom w:val="none" w:sz="0" w:space="0" w:color="auto"/>
        <w:right w:val="none" w:sz="0" w:space="0" w:color="auto"/>
      </w:divBdr>
    </w:div>
    <w:div w:id="2108579144">
      <w:bodyDiv w:val="1"/>
      <w:marLeft w:val="0"/>
      <w:marRight w:val="0"/>
      <w:marTop w:val="0"/>
      <w:marBottom w:val="0"/>
      <w:divBdr>
        <w:top w:val="none" w:sz="0" w:space="0" w:color="auto"/>
        <w:left w:val="none" w:sz="0" w:space="0" w:color="auto"/>
        <w:bottom w:val="none" w:sz="0" w:space="0" w:color="auto"/>
        <w:right w:val="none" w:sz="0" w:space="0" w:color="auto"/>
      </w:divBdr>
    </w:div>
    <w:div w:id="212199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shelagh.clark@lbbd.gov.uk" TargetMode="External"/><Relationship Id="rId21" Type="http://schemas.openxmlformats.org/officeDocument/2006/relationships/hyperlink" Target="mailto:david.dickinson@lbbd.gov.uk" TargetMode="External"/><Relationship Id="rId42" Type="http://schemas.openxmlformats.org/officeDocument/2006/relationships/header" Target="header3.xml"/><Relationship Id="rId47" Type="http://schemas.openxmlformats.org/officeDocument/2006/relationships/hyperlink" Target="mailto:david.dickinson@lbbd.gov.uk" TargetMode="External"/><Relationship Id="rId63" Type="http://schemas.openxmlformats.org/officeDocument/2006/relationships/image" Target="media/image11.emf"/><Relationship Id="rId68" Type="http://schemas.openxmlformats.org/officeDocument/2006/relationships/image" Target="media/image16.jpeg"/><Relationship Id="rId7" Type="http://schemas.openxmlformats.org/officeDocument/2006/relationships/numbering" Target="numbering.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chart" Target="charts/chart1.xml"/><Relationship Id="rId11" Type="http://schemas.openxmlformats.org/officeDocument/2006/relationships/footnotes" Target="footnotes.xml"/><Relationship Id="rId24" Type="http://schemas.openxmlformats.org/officeDocument/2006/relationships/hyperlink" Target="mailto:madhvi.dodia@lbbd.gov.uk" TargetMode="External"/><Relationship Id="rId32" Type="http://schemas.openxmlformats.org/officeDocument/2006/relationships/chart" Target="charts/chart4.xml"/><Relationship Id="rId37" Type="http://schemas.openxmlformats.org/officeDocument/2006/relationships/chart" Target="charts/chart6.xml"/><Relationship Id="rId40" Type="http://schemas.openxmlformats.org/officeDocument/2006/relationships/hyperlink" Target="http://www.lbbdpensionfund.org" TargetMode="External"/><Relationship Id="rId45" Type="http://schemas.openxmlformats.org/officeDocument/2006/relationships/hyperlink" Target="https://www.gov.uk/government/consultations/public-service-pensions-guaranteed-minimum-pension-indexation-consultation" TargetMode="External"/><Relationship Id="rId53" Type="http://schemas.openxmlformats.org/officeDocument/2006/relationships/hyperlink" Target="https://modgov.lbbd.gov.uk/internet/mgUserInfo.aspx?UID=222" TargetMode="External"/><Relationship Id="rId58" Type="http://schemas.openxmlformats.org/officeDocument/2006/relationships/hyperlink" Target="http://www.ubs.com/global/en/about_ubs/corporate_covernance.htm" TargetMode="External"/><Relationship Id="rId66" Type="http://schemas.openxmlformats.org/officeDocument/2006/relationships/image" Target="media/image14.emf"/><Relationship Id="rId5" Type="http://schemas.openxmlformats.org/officeDocument/2006/relationships/customXml" Target="../customXml/item5.xml"/><Relationship Id="rId61" Type="http://schemas.openxmlformats.org/officeDocument/2006/relationships/image" Target="media/image9.emf"/><Relationship Id="rId19" Type="http://schemas.openxmlformats.org/officeDocument/2006/relationships/hyperlink" Target="http://www.lbbdpensionfund.org" TargetMode="External"/><Relationship Id="rId14" Type="http://schemas.openxmlformats.org/officeDocument/2006/relationships/image" Target="media/image1.gif"/><Relationship Id="rId22" Type="http://schemas.openxmlformats.org/officeDocument/2006/relationships/hyperlink" Target="mailto:justine.spring@lbbd.gov.uk" TargetMode="External"/><Relationship Id="rId27" Type="http://schemas.openxmlformats.org/officeDocument/2006/relationships/hyperlink" Target="mailto:kinny.chauhan@lbbd.gov.uk" TargetMode="External"/><Relationship Id="rId30" Type="http://schemas.openxmlformats.org/officeDocument/2006/relationships/chart" Target="charts/chart2.xml"/><Relationship Id="rId35" Type="http://schemas.openxmlformats.org/officeDocument/2006/relationships/header" Target="header2.xml"/><Relationship Id="rId43" Type="http://schemas.openxmlformats.org/officeDocument/2006/relationships/hyperlink" Target="https://www.google.co.uk/imgres?imgurl=https://www.lbbd.gov.uk/wp-content/uploads/2014/11/coat-of-arms.jpg&amp;imgrefurl=https://www.lbbd.gov.uk/council/councillors-and-committees/mayor/the-boroughs-coat-of-arms/&amp;docid=Ks12fHAcyJTlOM&amp;tbnid=bslI9ftzZeq5pM:&amp;vet=1&amp;w=600&amp;h=539&amp;bih=934&amp;biw=1920&amp;ved=0ahUKEwjMorPsgLLQAhXBCcAKHTBLBzUQMwhVKC0wLQ&amp;iact=mrc&amp;uact=8" TargetMode="External"/><Relationship Id="rId48" Type="http://schemas.openxmlformats.org/officeDocument/2006/relationships/hyperlink" Target="http://www.lbbd.gov.uk/CouncilandDemocracy/Documents/Constitution/const-c-section-m.pdf" TargetMode="External"/><Relationship Id="rId56" Type="http://schemas.openxmlformats.org/officeDocument/2006/relationships/hyperlink" Target="http://www.lbbdpensionfund.org" TargetMode="External"/><Relationship Id="rId64" Type="http://schemas.openxmlformats.org/officeDocument/2006/relationships/image" Target="media/image12.emf"/><Relationship Id="rId69" Type="http://schemas.openxmlformats.org/officeDocument/2006/relationships/footer" Target="footer2.xml"/><Relationship Id="rId8" Type="http://schemas.openxmlformats.org/officeDocument/2006/relationships/styles" Target="styles.xml"/><Relationship Id="rId51" Type="http://schemas.openxmlformats.org/officeDocument/2006/relationships/hyperlink" Target="https://modgov.lbbd.gov.uk/internet/mgUserInfo.aspx?UID=1112" TargetMode="External"/><Relationship Id="rId12" Type="http://schemas.openxmlformats.org/officeDocument/2006/relationships/endnotes" Target="endnotes.xml"/><Relationship Id="rId17" Type="http://schemas.microsoft.com/office/2007/relationships/hdphoto" Target="media/hdphoto1.wdp"/><Relationship Id="rId25" Type="http://schemas.openxmlformats.org/officeDocument/2006/relationships/hyperlink" Target="mailto:jake.campbell@lbbd.gov.uk" TargetMode="External"/><Relationship Id="rId33" Type="http://schemas.openxmlformats.org/officeDocument/2006/relationships/header" Target="header1.xml"/><Relationship Id="rId38" Type="http://schemas.openxmlformats.org/officeDocument/2006/relationships/hyperlink" Target="http://www.lbbdpensionfund.org" TargetMode="External"/><Relationship Id="rId46" Type="http://schemas.openxmlformats.org/officeDocument/2006/relationships/hyperlink" Target="http://www.lbbdpensionfund.org" TargetMode="External"/><Relationship Id="rId59" Type="http://schemas.openxmlformats.org/officeDocument/2006/relationships/image" Target="media/image7.png"/><Relationship Id="rId67" Type="http://schemas.openxmlformats.org/officeDocument/2006/relationships/image" Target="media/image15.emf"/><Relationship Id="rId20" Type="http://schemas.openxmlformats.org/officeDocument/2006/relationships/hyperlink" Target="mailto:philip.gregory@lbbd.gov.uk" TargetMode="External"/><Relationship Id="rId41" Type="http://schemas.openxmlformats.org/officeDocument/2006/relationships/image" Target="media/image5.png"/><Relationship Id="rId54" Type="http://schemas.openxmlformats.org/officeDocument/2006/relationships/hyperlink" Target="https://modgov.lbbd.gov.uk/internet/mgUserInfo.aspx?UID=272" TargetMode="External"/><Relationship Id="rId62" Type="http://schemas.openxmlformats.org/officeDocument/2006/relationships/image" Target="media/image10.emf"/><Relationship Id="rId70" Type="http://schemas.openxmlformats.org/officeDocument/2006/relationships/fontTable" Target="fontTable.xml"/><Relationship Id="rId1" Type="http://schemas.openxmlformats.org/officeDocument/2006/relationships/customXml" Target="../customXml/item1.xml"/><Relationship Id="rId15" Type="http://schemas.openxmlformats.org/officeDocument/2006/relationships/hyperlink" Target="http://www.google.co.uk/url?sa=i&amp;rct=j&amp;q=&amp;esrc=s&amp;source=images&amp;cd=&amp;cad=rja&amp;uact=8&amp;ved=0ahUKEwiCqcfRo-fSAhUmIsAKHbiDBSkQjRwIBw&amp;url=http://www.civicheraldry.co.uk/great_london.html&amp;psig=AFQjCNGdUFGh717DEOWKWfdhrV3twYJVaA&amp;ust=1490174726578871" TargetMode="External"/><Relationship Id="rId23" Type="http://schemas.openxmlformats.org/officeDocument/2006/relationships/hyperlink" Target="mailto:jesmine.anwar@lbbd.gov.uk" TargetMode="External"/><Relationship Id="rId28" Type="http://schemas.openxmlformats.org/officeDocument/2006/relationships/image" Target="media/image4.png"/><Relationship Id="rId36" Type="http://schemas.openxmlformats.org/officeDocument/2006/relationships/chart" Target="charts/chart5.xml"/><Relationship Id="rId49" Type="http://schemas.openxmlformats.org/officeDocument/2006/relationships/hyperlink" Target="https://modgov.lbbd.gov.uk/internet/mgUserInfo.aspx?UID=2570" TargetMode="External"/><Relationship Id="rId57" Type="http://schemas.openxmlformats.org/officeDocument/2006/relationships/hyperlink" Target="http://www.bailliegifford.com/pages/UKInstitutional/CorporateGovernance/CorporateGovernaceSRI.aspx" TargetMode="External"/><Relationship Id="rId10" Type="http://schemas.openxmlformats.org/officeDocument/2006/relationships/webSettings" Target="webSettings.xml"/><Relationship Id="rId31" Type="http://schemas.openxmlformats.org/officeDocument/2006/relationships/chart" Target="charts/chart3.xml"/><Relationship Id="rId44" Type="http://schemas.openxmlformats.org/officeDocument/2006/relationships/image" Target="media/image6.jpeg"/><Relationship Id="rId52" Type="http://schemas.openxmlformats.org/officeDocument/2006/relationships/hyperlink" Target="https://modgov.lbbd.gov.uk/internet/mgUserInfo.aspx?UID=1731" TargetMode="External"/><Relationship Id="rId60" Type="http://schemas.openxmlformats.org/officeDocument/2006/relationships/image" Target="media/image8.emf"/><Relationship Id="rId65" Type="http://schemas.openxmlformats.org/officeDocument/2006/relationships/image" Target="media/image13.emf"/><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google.co.uk/url?sa=i&amp;rct=j&amp;q=&amp;esrc=s&amp;source=images&amp;cd=&amp;cad=rja&amp;uact=8&amp;ved=0ahUKEwiG7azD4enSAhUhJcAKHWOYCmEQjRwIBw&amp;url=https://jobs.theguardian.com/jobs/social-care/marketing-and-pr-1/city-of-bristol/&amp;psig=AFQjCNGXOOwnkI2vEl_l8VftX8_9FIzn5Q&amp;ust=1490260011492713" TargetMode="External"/><Relationship Id="rId18" Type="http://schemas.openxmlformats.org/officeDocument/2006/relationships/image" Target="media/image3.jpeg"/><Relationship Id="rId39" Type="http://schemas.openxmlformats.org/officeDocument/2006/relationships/hyperlink" Target="http://www.legislation.gov.uk" TargetMode="External"/><Relationship Id="rId34" Type="http://schemas.openxmlformats.org/officeDocument/2006/relationships/footer" Target="footer1.xml"/><Relationship Id="rId50" Type="http://schemas.openxmlformats.org/officeDocument/2006/relationships/hyperlink" Target="https://modgov.lbbd.gov.uk/internet/mgUserInfo.aspx?UID=3127" TargetMode="External"/><Relationship Id="rId55" Type="http://schemas.openxmlformats.org/officeDocument/2006/relationships/hyperlink" Target="https://modgov.lbbd.gov.uk/internet/mgUserInfo.aspx?UID=174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lbbd.sharepoint.com/teams/T0437-INT-FNC-Pensions-Investment/Shared%20Documents/General/Pension%20Panel/June%202022/Fund%20Performance%20March%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lbbd.sharepoint.com/teams/T0437-INT-FNC-Pensions-Investment/Shared%20Documents/General/2021-22%20Pension%20Fund/Closedown/Annual%20Report%20Working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lbbd.sharepoint.com/teams/T0437-INT-FNC-Pensions-Investment/Shared%20Documents/General/2021-22%20Pension%20Fund/Closedown/Annual%20Report%20Working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lbbd.sharepoint.com/teams/T0437-INT-FNC-Pensions-Investment/Shared%20Documents/General/2021-22%20Pension%20Fund/Closedown/Annual%20Report%20Working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lbbd.sharepoint.com/teams/T0437-INT-FNC-Pensions-Investment/Shared%20Documents/General/2021-22%20Pension%20Fund/Closedown/Annual%20Report%20Working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lbbd.sharepoint.com/teams/T0437-INT-FNC-Pensions-Investment/Shared%20Documents/General/2021-22%20Pension%20Fund/Closedown/Annual%20Report%20Working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Returns!$B$1</c:f>
              <c:strCache>
                <c:ptCount val="1"/>
                <c:pt idx="0">
                  <c:v> Amount </c:v>
                </c:pt>
              </c:strCache>
            </c:strRef>
          </c:tx>
          <c:spPr>
            <a:ln w="34925" cap="rnd">
              <a:solidFill>
                <a:srgbClr val="FF0000"/>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Returns!$A$2:$A$15</c:f>
              <c:strCache>
                <c:ptCount val="13"/>
                <c:pt idx="0">
                  <c:v>09/10</c:v>
                </c:pt>
                <c:pt idx="1">
                  <c:v>10/11</c:v>
                </c:pt>
                <c:pt idx="2">
                  <c:v>11/12</c:v>
                </c:pt>
                <c:pt idx="3">
                  <c:v>12/13</c:v>
                </c:pt>
                <c:pt idx="4">
                  <c:v>13/14</c:v>
                </c:pt>
                <c:pt idx="5">
                  <c:v>14/15</c:v>
                </c:pt>
                <c:pt idx="6">
                  <c:v>15/16</c:v>
                </c:pt>
                <c:pt idx="7">
                  <c:v>16/17</c:v>
                </c:pt>
                <c:pt idx="8">
                  <c:v>17/18</c:v>
                </c:pt>
                <c:pt idx="9">
                  <c:v>18/19</c:v>
                </c:pt>
                <c:pt idx="10">
                  <c:v>19/20</c:v>
                </c:pt>
                <c:pt idx="11">
                  <c:v>20/21</c:v>
                </c:pt>
                <c:pt idx="12">
                  <c:v>21/22</c:v>
                </c:pt>
              </c:strCache>
            </c:strRef>
          </c:cat>
          <c:val>
            <c:numRef>
              <c:f>Returns!$B$2:$B$15</c:f>
              <c:numCache>
                <c:formatCode>_-* #,##0_-;\-* #,##0_-;_-* "-"??_-;_-@_-</c:formatCode>
                <c:ptCount val="14"/>
                <c:pt idx="0">
                  <c:v>549</c:v>
                </c:pt>
                <c:pt idx="1">
                  <c:v>585</c:v>
                </c:pt>
                <c:pt idx="2">
                  <c:v>585</c:v>
                </c:pt>
                <c:pt idx="3">
                  <c:v>636</c:v>
                </c:pt>
                <c:pt idx="4">
                  <c:v>667</c:v>
                </c:pt>
                <c:pt idx="5">
                  <c:v>758</c:v>
                </c:pt>
                <c:pt idx="6">
                  <c:v>772</c:v>
                </c:pt>
                <c:pt idx="7">
                  <c:v>917</c:v>
                </c:pt>
                <c:pt idx="8">
                  <c:v>967</c:v>
                </c:pt>
                <c:pt idx="9">
                  <c:v>1022</c:v>
                </c:pt>
                <c:pt idx="10">
                  <c:v>975</c:v>
                </c:pt>
                <c:pt idx="11">
                  <c:v>1282</c:v>
                </c:pt>
                <c:pt idx="12">
                  <c:v>1341.9</c:v>
                </c:pt>
              </c:numCache>
            </c:numRef>
          </c:val>
          <c:smooth val="0"/>
          <c:extLst>
            <c:ext xmlns:c16="http://schemas.microsoft.com/office/drawing/2014/chart" uri="{C3380CC4-5D6E-409C-BE32-E72D297353CC}">
              <c16:uniqueId val="{00000000-B5C0-455D-8699-C67DEE328B72}"/>
            </c:ext>
          </c:extLst>
        </c:ser>
        <c:dLbls>
          <c:showLegendKey val="0"/>
          <c:showVal val="0"/>
          <c:showCatName val="0"/>
          <c:showSerName val="0"/>
          <c:showPercent val="0"/>
          <c:showBubbleSize val="0"/>
        </c:dLbls>
        <c:smooth val="0"/>
        <c:axId val="703458816"/>
        <c:axId val="703456192"/>
      </c:lineChart>
      <c:catAx>
        <c:axId val="703458816"/>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03456192"/>
        <c:crosses val="autoZero"/>
        <c:auto val="1"/>
        <c:lblAlgn val="ctr"/>
        <c:lblOffset val="100"/>
        <c:noMultiLvlLbl val="0"/>
      </c:catAx>
      <c:valAx>
        <c:axId val="703456192"/>
        <c:scaling>
          <c:orientation val="minMax"/>
        </c:scaling>
        <c:delete val="0"/>
        <c:axPos val="l"/>
        <c:majorGridlines>
          <c:spPr>
            <a:ln w="9525" cap="flat" cmpd="sng" algn="ctr">
              <a:solidFill>
                <a:schemeClr val="lt1">
                  <a:lumMod val="95000"/>
                  <a:alpha val="10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0345881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4'!$C$2</c:f>
              <c:strCache>
                <c:ptCount val="1"/>
                <c:pt idx="0">
                  <c:v>LBBD Fund % pa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'Chart 4'!$B$3:$B$10</c:f>
              <c:strCache>
                <c:ptCount val="8"/>
                <c:pt idx="0">
                  <c:v>14/15</c:v>
                </c:pt>
                <c:pt idx="1">
                  <c:v>15/16</c:v>
                </c:pt>
                <c:pt idx="2">
                  <c:v>16/17</c:v>
                </c:pt>
                <c:pt idx="3">
                  <c:v>17/18</c:v>
                </c:pt>
                <c:pt idx="4">
                  <c:v>18/19</c:v>
                </c:pt>
                <c:pt idx="5">
                  <c:v>19/20</c:v>
                </c:pt>
                <c:pt idx="6">
                  <c:v>20/21</c:v>
                </c:pt>
                <c:pt idx="7">
                  <c:v>21/22</c:v>
                </c:pt>
              </c:strCache>
            </c:strRef>
          </c:cat>
          <c:val>
            <c:numRef>
              <c:f>'Chart 4'!$C$3:$C$10</c:f>
              <c:numCache>
                <c:formatCode>_-* #,##0.0_-;\-* #,##0.0_-;_-* "-"??_-;_-@_-</c:formatCode>
                <c:ptCount val="8"/>
                <c:pt idx="0">
                  <c:v>13.7</c:v>
                </c:pt>
                <c:pt idx="1">
                  <c:v>1.1000000000000001</c:v>
                </c:pt>
                <c:pt idx="2">
                  <c:v>18</c:v>
                </c:pt>
                <c:pt idx="3">
                  <c:v>5.2</c:v>
                </c:pt>
                <c:pt idx="4">
                  <c:v>5.6</c:v>
                </c:pt>
                <c:pt idx="5">
                  <c:v>-4.5</c:v>
                </c:pt>
                <c:pt idx="6">
                  <c:v>29.1</c:v>
                </c:pt>
                <c:pt idx="7">
                  <c:v>5.0999999999999996</c:v>
                </c:pt>
              </c:numCache>
            </c:numRef>
          </c:val>
          <c:extLst>
            <c:ext xmlns:c16="http://schemas.microsoft.com/office/drawing/2014/chart" uri="{C3380CC4-5D6E-409C-BE32-E72D297353CC}">
              <c16:uniqueId val="{00000000-255F-4A37-9798-A9D42B616CEB}"/>
            </c:ext>
          </c:extLst>
        </c:ser>
        <c:ser>
          <c:idx val="1"/>
          <c:order val="1"/>
          <c:tx>
            <c:strRef>
              <c:f>'Chart 4'!$D$2</c:f>
              <c:strCache>
                <c:ptCount val="1"/>
                <c:pt idx="0">
                  <c:v>Benchmark % pa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'Chart 4'!$B$3:$B$10</c:f>
              <c:strCache>
                <c:ptCount val="8"/>
                <c:pt idx="0">
                  <c:v>14/15</c:v>
                </c:pt>
                <c:pt idx="1">
                  <c:v>15/16</c:v>
                </c:pt>
                <c:pt idx="2">
                  <c:v>16/17</c:v>
                </c:pt>
                <c:pt idx="3">
                  <c:v>17/18</c:v>
                </c:pt>
                <c:pt idx="4">
                  <c:v>18/19</c:v>
                </c:pt>
                <c:pt idx="5">
                  <c:v>19/20</c:v>
                </c:pt>
                <c:pt idx="6">
                  <c:v>20/21</c:v>
                </c:pt>
                <c:pt idx="7">
                  <c:v>21/22</c:v>
                </c:pt>
              </c:strCache>
            </c:strRef>
          </c:cat>
          <c:val>
            <c:numRef>
              <c:f>'Chart 4'!$D$3:$D$10</c:f>
              <c:numCache>
                <c:formatCode>_-* #,##0.0_-;\-* #,##0.0_-;_-* "-"??_-;_-@_-</c:formatCode>
                <c:ptCount val="8"/>
                <c:pt idx="0">
                  <c:v>12.9</c:v>
                </c:pt>
                <c:pt idx="1">
                  <c:v>3.3</c:v>
                </c:pt>
                <c:pt idx="2">
                  <c:v>17</c:v>
                </c:pt>
                <c:pt idx="3">
                  <c:v>5</c:v>
                </c:pt>
                <c:pt idx="4">
                  <c:v>8</c:v>
                </c:pt>
                <c:pt idx="5">
                  <c:v>-0.1</c:v>
                </c:pt>
                <c:pt idx="6">
                  <c:v>21</c:v>
                </c:pt>
                <c:pt idx="7">
                  <c:v>10.5</c:v>
                </c:pt>
              </c:numCache>
            </c:numRef>
          </c:val>
          <c:extLst>
            <c:ext xmlns:c16="http://schemas.microsoft.com/office/drawing/2014/chart" uri="{C3380CC4-5D6E-409C-BE32-E72D297353CC}">
              <c16:uniqueId val="{00000001-255F-4A37-9798-A9D42B616CEB}"/>
            </c:ext>
          </c:extLst>
        </c:ser>
        <c:dLbls>
          <c:showLegendKey val="0"/>
          <c:showVal val="0"/>
          <c:showCatName val="0"/>
          <c:showSerName val="0"/>
          <c:showPercent val="0"/>
          <c:showBubbleSize val="0"/>
        </c:dLbls>
        <c:gapWidth val="100"/>
        <c:overlap val="-24"/>
        <c:axId val="1065948264"/>
        <c:axId val="1065948592"/>
      </c:barChart>
      <c:catAx>
        <c:axId val="1065948264"/>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65948592"/>
        <c:crosses val="autoZero"/>
        <c:auto val="1"/>
        <c:lblAlgn val="ctr"/>
        <c:lblOffset val="100"/>
        <c:noMultiLvlLbl val="0"/>
      </c:catAx>
      <c:valAx>
        <c:axId val="1065948592"/>
        <c:scaling>
          <c:orientation val="minMax"/>
        </c:scaling>
        <c:delete val="0"/>
        <c:axPos val="l"/>
        <c:majorGridlines>
          <c:spPr>
            <a:ln w="9525" cap="flat" cmpd="sng" algn="ctr">
              <a:solidFill>
                <a:schemeClr val="lt1">
                  <a:lumMod val="95000"/>
                  <a:alpha val="10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1065948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5'!$B$2</c:f>
              <c:strCache>
                <c:ptCount val="1"/>
                <c:pt idx="0">
                  <c:v>LBBD Fund % pa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'Chart 5'!$A$3:$A$5</c:f>
              <c:strCache>
                <c:ptCount val="3"/>
                <c:pt idx="0">
                  <c:v>One Year</c:v>
                </c:pt>
                <c:pt idx="1">
                  <c:v>Three Year</c:v>
                </c:pt>
                <c:pt idx="2">
                  <c:v>Five Year</c:v>
                </c:pt>
              </c:strCache>
            </c:strRef>
          </c:cat>
          <c:val>
            <c:numRef>
              <c:f>'Chart 5'!$B$3:$B$5</c:f>
              <c:numCache>
                <c:formatCode>General</c:formatCode>
                <c:ptCount val="3"/>
                <c:pt idx="0">
                  <c:v>5.0999999999999996</c:v>
                </c:pt>
                <c:pt idx="1">
                  <c:v>8.8000000000000007</c:v>
                </c:pt>
                <c:pt idx="2">
                  <c:v>7.4</c:v>
                </c:pt>
              </c:numCache>
            </c:numRef>
          </c:val>
          <c:extLst>
            <c:ext xmlns:c16="http://schemas.microsoft.com/office/drawing/2014/chart" uri="{C3380CC4-5D6E-409C-BE32-E72D297353CC}">
              <c16:uniqueId val="{00000000-297A-4637-B298-CE1251B6C20F}"/>
            </c:ext>
          </c:extLst>
        </c:ser>
        <c:ser>
          <c:idx val="1"/>
          <c:order val="1"/>
          <c:tx>
            <c:strRef>
              <c:f>'Chart 5'!$C$2</c:f>
              <c:strCache>
                <c:ptCount val="1"/>
                <c:pt idx="0">
                  <c:v>Benchmark % pa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9800000"/>
              </a:lightRig>
            </a:scene3d>
            <a:sp3d prstMaterial="plastic">
              <a:bevelT w="38100" h="31750"/>
            </a:sp3d>
          </c:spPr>
          <c:invertIfNegative val="0"/>
          <c:cat>
            <c:strRef>
              <c:f>'Chart 5'!$A$3:$A$5</c:f>
              <c:strCache>
                <c:ptCount val="3"/>
                <c:pt idx="0">
                  <c:v>One Year</c:v>
                </c:pt>
                <c:pt idx="1">
                  <c:v>Three Year</c:v>
                </c:pt>
                <c:pt idx="2">
                  <c:v>Five Year</c:v>
                </c:pt>
              </c:strCache>
            </c:strRef>
          </c:cat>
          <c:val>
            <c:numRef>
              <c:f>'Chart 5'!$C$3:$C$5</c:f>
              <c:numCache>
                <c:formatCode>General</c:formatCode>
                <c:ptCount val="3"/>
                <c:pt idx="0">
                  <c:v>10.5</c:v>
                </c:pt>
                <c:pt idx="1">
                  <c:v>10.1</c:v>
                </c:pt>
                <c:pt idx="2">
                  <c:v>8.6</c:v>
                </c:pt>
              </c:numCache>
            </c:numRef>
          </c:val>
          <c:extLst>
            <c:ext xmlns:c16="http://schemas.microsoft.com/office/drawing/2014/chart" uri="{C3380CC4-5D6E-409C-BE32-E72D297353CC}">
              <c16:uniqueId val="{00000001-297A-4637-B298-CE1251B6C20F}"/>
            </c:ext>
          </c:extLst>
        </c:ser>
        <c:dLbls>
          <c:showLegendKey val="0"/>
          <c:showVal val="0"/>
          <c:showCatName val="0"/>
          <c:showSerName val="0"/>
          <c:showPercent val="0"/>
          <c:showBubbleSize val="0"/>
        </c:dLbls>
        <c:gapWidth val="100"/>
        <c:overlap val="-24"/>
        <c:axId val="740848072"/>
        <c:axId val="740842168"/>
      </c:barChart>
      <c:catAx>
        <c:axId val="740848072"/>
        <c:scaling>
          <c:orientation val="minMax"/>
        </c:scaling>
        <c:delete val="0"/>
        <c:axPos val="b"/>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40842168"/>
        <c:crosses val="autoZero"/>
        <c:auto val="1"/>
        <c:lblAlgn val="ctr"/>
        <c:lblOffset val="100"/>
        <c:noMultiLvlLbl val="0"/>
      </c:catAx>
      <c:valAx>
        <c:axId val="740842168"/>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7408480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'Charts 4 and 5'!$A$2</c:f>
              <c:strCache>
                <c:ptCount val="1"/>
                <c:pt idx="0">
                  <c:v>Current </c:v>
                </c:pt>
              </c:strCache>
            </c:strRef>
          </c:tx>
          <c:spPr>
            <a:ln w="22225" cap="rnd">
              <a:solidFill>
                <a:schemeClr val="accent1">
                  <a:lumMod val="60000"/>
                  <a:lumOff val="40000"/>
                </a:schemeClr>
              </a:solidFill>
            </a:ln>
            <a:effectLst>
              <a:glow rad="139700">
                <a:schemeClr val="accent1">
                  <a:satMod val="175000"/>
                  <a:alpha val="14000"/>
                </a:schemeClr>
              </a:glow>
            </a:effectLst>
          </c:spPr>
          <c:marker>
            <c:symbol val="none"/>
          </c:marker>
          <c:cat>
            <c:strRef>
              <c:f>'Charts 4 and 5'!$B$1:$J$1</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'Charts 4 and 5'!$B$2:$J$2</c:f>
              <c:numCache>
                <c:formatCode>#,##0</c:formatCode>
                <c:ptCount val="9"/>
                <c:pt idx="0">
                  <c:v>5710</c:v>
                </c:pt>
                <c:pt idx="1">
                  <c:v>5942</c:v>
                </c:pt>
                <c:pt idx="2">
                  <c:v>6158</c:v>
                </c:pt>
                <c:pt idx="3">
                  <c:v>6496</c:v>
                </c:pt>
                <c:pt idx="4">
                  <c:v>6312</c:v>
                </c:pt>
                <c:pt idx="5">
                  <c:v>6276</c:v>
                </c:pt>
                <c:pt idx="6" formatCode="General">
                  <c:v>5981</c:v>
                </c:pt>
                <c:pt idx="7">
                  <c:v>6299</c:v>
                </c:pt>
                <c:pt idx="8">
                  <c:v>5940</c:v>
                </c:pt>
              </c:numCache>
            </c:numRef>
          </c:val>
          <c:smooth val="0"/>
          <c:extLst>
            <c:ext xmlns:c16="http://schemas.microsoft.com/office/drawing/2014/chart" uri="{C3380CC4-5D6E-409C-BE32-E72D297353CC}">
              <c16:uniqueId val="{00000000-BFB9-4640-AA90-B36928EAE95B}"/>
            </c:ext>
          </c:extLst>
        </c:ser>
        <c:ser>
          <c:idx val="1"/>
          <c:order val="1"/>
          <c:tx>
            <c:strRef>
              <c:f>'Charts 4 and 5'!$A$3</c:f>
              <c:strCache>
                <c:ptCount val="1"/>
                <c:pt idx="0">
                  <c:v>Pensioner</c:v>
                </c:pt>
              </c:strCache>
            </c:strRef>
          </c:tx>
          <c:spPr>
            <a:ln w="22225" cap="rnd">
              <a:solidFill>
                <a:srgbClr val="FF0000"/>
              </a:solidFill>
            </a:ln>
            <a:effectLst>
              <a:glow rad="139700">
                <a:schemeClr val="accent2">
                  <a:satMod val="175000"/>
                  <a:alpha val="14000"/>
                </a:schemeClr>
              </a:glow>
            </a:effectLst>
          </c:spPr>
          <c:marker>
            <c:symbol val="none"/>
          </c:marker>
          <c:cat>
            <c:strRef>
              <c:f>'Charts 4 and 5'!$B$1:$J$1</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'Charts 4 and 5'!$B$3:$J$3</c:f>
              <c:numCache>
                <c:formatCode>#,##0</c:formatCode>
                <c:ptCount val="9"/>
                <c:pt idx="0">
                  <c:v>4992</c:v>
                </c:pt>
                <c:pt idx="1">
                  <c:v>4907</c:v>
                </c:pt>
                <c:pt idx="2">
                  <c:v>5029</c:v>
                </c:pt>
                <c:pt idx="3">
                  <c:v>5465</c:v>
                </c:pt>
                <c:pt idx="4">
                  <c:v>5670</c:v>
                </c:pt>
                <c:pt idx="5">
                  <c:v>5652</c:v>
                </c:pt>
                <c:pt idx="6" formatCode="General">
                  <c:v>5683</c:v>
                </c:pt>
                <c:pt idx="7">
                  <c:v>5630</c:v>
                </c:pt>
                <c:pt idx="8">
                  <c:v>5756</c:v>
                </c:pt>
              </c:numCache>
            </c:numRef>
          </c:val>
          <c:smooth val="0"/>
          <c:extLst>
            <c:ext xmlns:c16="http://schemas.microsoft.com/office/drawing/2014/chart" uri="{C3380CC4-5D6E-409C-BE32-E72D297353CC}">
              <c16:uniqueId val="{00000001-BFB9-4640-AA90-B36928EAE95B}"/>
            </c:ext>
          </c:extLst>
        </c:ser>
        <c:ser>
          <c:idx val="2"/>
          <c:order val="2"/>
          <c:tx>
            <c:strRef>
              <c:f>'Charts 4 and 5'!$A$4</c:f>
              <c:strCache>
                <c:ptCount val="1"/>
                <c:pt idx="0">
                  <c:v>Defferred</c:v>
                </c:pt>
              </c:strCache>
            </c:strRef>
          </c:tx>
          <c:spPr>
            <a:ln w="22225" cap="rnd">
              <a:solidFill>
                <a:schemeClr val="bg1"/>
              </a:solidFill>
            </a:ln>
            <a:effectLst>
              <a:glow rad="139700">
                <a:schemeClr val="accent3">
                  <a:satMod val="175000"/>
                  <a:alpha val="14000"/>
                </a:schemeClr>
              </a:glow>
            </a:effectLst>
          </c:spPr>
          <c:marker>
            <c:symbol val="none"/>
          </c:marker>
          <c:cat>
            <c:strRef>
              <c:f>'Charts 4 and 5'!$B$1:$J$1</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'Charts 4 and 5'!$B$4:$J$4</c:f>
              <c:numCache>
                <c:formatCode>#,##0</c:formatCode>
                <c:ptCount val="9"/>
                <c:pt idx="0">
                  <c:v>4904</c:v>
                </c:pt>
                <c:pt idx="1">
                  <c:v>5240</c:v>
                </c:pt>
                <c:pt idx="2">
                  <c:v>5455</c:v>
                </c:pt>
                <c:pt idx="3">
                  <c:v>5655</c:v>
                </c:pt>
                <c:pt idx="4">
                  <c:v>5803</c:v>
                </c:pt>
                <c:pt idx="5">
                  <c:v>6197</c:v>
                </c:pt>
                <c:pt idx="6" formatCode="General">
                  <c:v>6461</c:v>
                </c:pt>
                <c:pt idx="7">
                  <c:v>6503</c:v>
                </c:pt>
                <c:pt idx="8">
                  <c:v>6794</c:v>
                </c:pt>
              </c:numCache>
            </c:numRef>
          </c:val>
          <c:smooth val="0"/>
          <c:extLst>
            <c:ext xmlns:c16="http://schemas.microsoft.com/office/drawing/2014/chart" uri="{C3380CC4-5D6E-409C-BE32-E72D297353CC}">
              <c16:uniqueId val="{00000002-BFB9-4640-AA90-B36928EAE95B}"/>
            </c:ext>
          </c:extLst>
        </c:ser>
        <c:dLbls>
          <c:showLegendKey val="0"/>
          <c:showVal val="0"/>
          <c:showCatName val="0"/>
          <c:showSerName val="0"/>
          <c:showPercent val="0"/>
          <c:showBubbleSize val="0"/>
        </c:dLbls>
        <c:smooth val="0"/>
        <c:axId val="853115968"/>
        <c:axId val="853116624"/>
      </c:lineChart>
      <c:catAx>
        <c:axId val="85311596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853116624"/>
        <c:crosses val="autoZero"/>
        <c:auto val="1"/>
        <c:lblAlgn val="ctr"/>
        <c:lblOffset val="100"/>
        <c:noMultiLvlLbl val="0"/>
      </c:catAx>
      <c:valAx>
        <c:axId val="853116624"/>
        <c:scaling>
          <c:orientation val="minMax"/>
          <c:min val="3000"/>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853115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'Charts 4 and 5'!$L$2</c:f>
              <c:strCache>
                <c:ptCount val="1"/>
                <c:pt idx="0">
                  <c:v>Contributions received </c:v>
                </c:pt>
              </c:strCache>
            </c:strRef>
          </c:tx>
          <c:spPr>
            <a:ln w="22225" cap="rnd">
              <a:solidFill>
                <a:schemeClr val="accent1"/>
              </a:solidFill>
            </a:ln>
            <a:effectLst>
              <a:glow rad="139700">
                <a:schemeClr val="accent1">
                  <a:satMod val="175000"/>
                  <a:alpha val="14000"/>
                </a:schemeClr>
              </a:glow>
            </a:effectLst>
          </c:spPr>
          <c:marker>
            <c:symbol val="none"/>
          </c:marker>
          <c:cat>
            <c:strRef>
              <c:f>'Charts 4 and 5'!$M$1:$U$1</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'Charts 4 and 5'!$M$2:$U$2</c:f>
              <c:numCache>
                <c:formatCode>#,##0</c:formatCode>
                <c:ptCount val="9"/>
                <c:pt idx="0">
                  <c:v>38377</c:v>
                </c:pt>
                <c:pt idx="1">
                  <c:v>41466</c:v>
                </c:pt>
                <c:pt idx="2">
                  <c:v>43916</c:v>
                </c:pt>
                <c:pt idx="3">
                  <c:v>45556</c:v>
                </c:pt>
                <c:pt idx="4">
                  <c:v>44781</c:v>
                </c:pt>
                <c:pt idx="5">
                  <c:v>45571</c:v>
                </c:pt>
                <c:pt idx="6">
                  <c:v>45653</c:v>
                </c:pt>
                <c:pt idx="7">
                  <c:v>46161</c:v>
                </c:pt>
                <c:pt idx="8">
                  <c:v>47558</c:v>
                </c:pt>
              </c:numCache>
            </c:numRef>
          </c:val>
          <c:smooth val="0"/>
          <c:extLst>
            <c:ext xmlns:c16="http://schemas.microsoft.com/office/drawing/2014/chart" uri="{C3380CC4-5D6E-409C-BE32-E72D297353CC}">
              <c16:uniqueId val="{00000000-394C-4097-BD6F-11E6BC7C1154}"/>
            </c:ext>
          </c:extLst>
        </c:ser>
        <c:ser>
          <c:idx val="1"/>
          <c:order val="1"/>
          <c:tx>
            <c:strRef>
              <c:f>'Charts 4 and 5'!$L$3</c:f>
              <c:strCache>
                <c:ptCount val="1"/>
                <c:pt idx="0">
                  <c:v>Pension Payments Made </c:v>
                </c:pt>
              </c:strCache>
            </c:strRef>
          </c:tx>
          <c:spPr>
            <a:ln w="22225" cap="rnd">
              <a:solidFill>
                <a:schemeClr val="accent2"/>
              </a:solidFill>
            </a:ln>
            <a:effectLst>
              <a:glow rad="139700">
                <a:schemeClr val="accent2">
                  <a:satMod val="175000"/>
                  <a:alpha val="14000"/>
                </a:schemeClr>
              </a:glow>
            </a:effectLst>
          </c:spPr>
          <c:marker>
            <c:symbol val="none"/>
          </c:marker>
          <c:cat>
            <c:strRef>
              <c:f>'Charts 4 and 5'!$M$1:$U$1</c:f>
              <c:strCache>
                <c:ptCount val="9"/>
                <c:pt idx="0">
                  <c:v>2013/14</c:v>
                </c:pt>
                <c:pt idx="1">
                  <c:v>2014/15</c:v>
                </c:pt>
                <c:pt idx="2">
                  <c:v>2015/16</c:v>
                </c:pt>
                <c:pt idx="3">
                  <c:v>2016/17</c:v>
                </c:pt>
                <c:pt idx="4">
                  <c:v>2017/18</c:v>
                </c:pt>
                <c:pt idx="5">
                  <c:v>2018/19</c:v>
                </c:pt>
                <c:pt idx="6">
                  <c:v>2019/20</c:v>
                </c:pt>
                <c:pt idx="7">
                  <c:v>2020/21</c:v>
                </c:pt>
                <c:pt idx="8">
                  <c:v>2021/22</c:v>
                </c:pt>
              </c:strCache>
            </c:strRef>
          </c:cat>
          <c:val>
            <c:numRef>
              <c:f>'Charts 4 and 5'!$M$3:$U$3</c:f>
              <c:numCache>
                <c:formatCode>#,##0</c:formatCode>
                <c:ptCount val="9"/>
                <c:pt idx="0">
                  <c:v>32230</c:v>
                </c:pt>
                <c:pt idx="1">
                  <c:v>34434</c:v>
                </c:pt>
                <c:pt idx="2">
                  <c:v>35053</c:v>
                </c:pt>
                <c:pt idx="3">
                  <c:v>39929</c:v>
                </c:pt>
                <c:pt idx="4">
                  <c:v>38240</c:v>
                </c:pt>
                <c:pt idx="5">
                  <c:v>40216</c:v>
                </c:pt>
                <c:pt idx="6">
                  <c:v>41307</c:v>
                </c:pt>
                <c:pt idx="7">
                  <c:v>42074</c:v>
                </c:pt>
                <c:pt idx="8">
                  <c:v>42330</c:v>
                </c:pt>
              </c:numCache>
            </c:numRef>
          </c:val>
          <c:smooth val="0"/>
          <c:extLst>
            <c:ext xmlns:c16="http://schemas.microsoft.com/office/drawing/2014/chart" uri="{C3380CC4-5D6E-409C-BE32-E72D297353CC}">
              <c16:uniqueId val="{00000001-394C-4097-BD6F-11E6BC7C1154}"/>
            </c:ext>
          </c:extLst>
        </c:ser>
        <c:dLbls>
          <c:showLegendKey val="0"/>
          <c:showVal val="0"/>
          <c:showCatName val="0"/>
          <c:showSerName val="0"/>
          <c:showPercent val="0"/>
          <c:showBubbleSize val="0"/>
        </c:dLbls>
        <c:smooth val="0"/>
        <c:axId val="795852528"/>
        <c:axId val="858000832"/>
      </c:lineChart>
      <c:catAx>
        <c:axId val="795852528"/>
        <c:scaling>
          <c:orientation val="minMax"/>
        </c:scaling>
        <c:delete val="0"/>
        <c:axPos val="b"/>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858000832"/>
        <c:crosses val="autoZero"/>
        <c:auto val="1"/>
        <c:lblAlgn val="ctr"/>
        <c:lblOffset val="100"/>
        <c:noMultiLvlLbl val="0"/>
      </c:catAx>
      <c:valAx>
        <c:axId val="858000832"/>
        <c:scaling>
          <c:orientation val="minMax"/>
          <c:min val="15000"/>
        </c:scaling>
        <c:delete val="0"/>
        <c:axPos val="l"/>
        <c:majorGridlines>
          <c:spPr>
            <a:ln w="9525" cap="flat" cmpd="sng" algn="ctr">
              <a:gradFill>
                <a:gsLst>
                  <a:gs pos="100000">
                    <a:schemeClr val="dk1">
                      <a:lumMod val="75000"/>
                      <a:lumOff val="25000"/>
                    </a:schemeClr>
                  </a:gs>
                  <a:gs pos="0">
                    <a:schemeClr val="dk1">
                      <a:lumMod val="65000"/>
                      <a:lumOff val="35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crossAx val="79585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lt1">
                  <a:lumMod val="7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dk1">
        <a:lumMod val="75000"/>
        <a:lumOff val="25000"/>
      </a:schemeClr>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'Chart 8'!$A$9</c:f>
              <c:strCache>
                <c:ptCount val="1"/>
                <c:pt idx="0">
                  <c:v>Pensioners</c:v>
                </c:pt>
              </c:strCache>
            </c:strRef>
          </c:tx>
          <c:spPr>
            <a:solidFill>
              <a:schemeClr val="bg1">
                <a:alpha val="85000"/>
              </a:schemeClr>
            </a:solidFill>
            <a:ln w="9525" cap="flat" cmpd="sng" algn="ctr">
              <a:solidFill>
                <a:schemeClr val="tx1"/>
              </a:solidFill>
              <a:round/>
            </a:ln>
            <a:effectLst/>
          </c:spPr>
          <c:invertIfNegative val="0"/>
          <c:dLbls>
            <c:delete val="1"/>
          </c:dLbls>
          <c:cat>
            <c:strRef>
              <c:f>'Chart 8'!$B$8:$S$8</c:f>
              <c:strCache>
                <c:ptCount val="18"/>
                <c:pt idx="0">
                  <c:v>0-19</c:v>
                </c:pt>
                <c:pt idx="1">
                  <c:v>20-24</c:v>
                </c:pt>
                <c:pt idx="2">
                  <c:v>25-29</c:v>
                </c:pt>
                <c:pt idx="3">
                  <c:v>30-34</c:v>
                </c:pt>
                <c:pt idx="4">
                  <c:v>35-39</c:v>
                </c:pt>
                <c:pt idx="5">
                  <c:v>40-44</c:v>
                </c:pt>
                <c:pt idx="6">
                  <c:v>45-49</c:v>
                </c:pt>
                <c:pt idx="7">
                  <c:v>50-54</c:v>
                </c:pt>
                <c:pt idx="8">
                  <c:v>55-59</c:v>
                </c:pt>
                <c:pt idx="9">
                  <c:v>60-64</c:v>
                </c:pt>
                <c:pt idx="10">
                  <c:v>65-69</c:v>
                </c:pt>
                <c:pt idx="11">
                  <c:v>70-74</c:v>
                </c:pt>
                <c:pt idx="12">
                  <c:v>75-79</c:v>
                </c:pt>
                <c:pt idx="13">
                  <c:v>80-84</c:v>
                </c:pt>
                <c:pt idx="14">
                  <c:v>85-89</c:v>
                </c:pt>
                <c:pt idx="15">
                  <c:v>90-94</c:v>
                </c:pt>
                <c:pt idx="16">
                  <c:v>95-99</c:v>
                </c:pt>
                <c:pt idx="17">
                  <c:v>100+</c:v>
                </c:pt>
              </c:strCache>
            </c:strRef>
          </c:cat>
          <c:val>
            <c:numRef>
              <c:f>'Chart 8'!$B$9:$S$9</c:f>
              <c:numCache>
                <c:formatCode>General</c:formatCode>
                <c:ptCount val="18"/>
                <c:pt idx="0">
                  <c:v>33</c:v>
                </c:pt>
                <c:pt idx="1">
                  <c:v>28</c:v>
                </c:pt>
                <c:pt idx="2">
                  <c:v>0</c:v>
                </c:pt>
                <c:pt idx="3">
                  <c:v>0</c:v>
                </c:pt>
                <c:pt idx="4">
                  <c:v>0</c:v>
                </c:pt>
                <c:pt idx="5">
                  <c:v>3</c:v>
                </c:pt>
                <c:pt idx="6">
                  <c:v>14</c:v>
                </c:pt>
                <c:pt idx="7">
                  <c:v>27</c:v>
                </c:pt>
                <c:pt idx="8">
                  <c:v>159</c:v>
                </c:pt>
                <c:pt idx="9">
                  <c:v>708</c:v>
                </c:pt>
                <c:pt idx="10">
                  <c:v>1183</c:v>
                </c:pt>
                <c:pt idx="11">
                  <c:v>1209</c:v>
                </c:pt>
                <c:pt idx="12">
                  <c:v>1109</c:v>
                </c:pt>
                <c:pt idx="13">
                  <c:v>682</c:v>
                </c:pt>
                <c:pt idx="14">
                  <c:v>494</c:v>
                </c:pt>
                <c:pt idx="15">
                  <c:v>276</c:v>
                </c:pt>
                <c:pt idx="16">
                  <c:v>100</c:v>
                </c:pt>
                <c:pt idx="17">
                  <c:v>15</c:v>
                </c:pt>
              </c:numCache>
            </c:numRef>
          </c:val>
          <c:extLst>
            <c:ext xmlns:c16="http://schemas.microsoft.com/office/drawing/2014/chart" uri="{C3380CC4-5D6E-409C-BE32-E72D297353CC}">
              <c16:uniqueId val="{00000000-324F-420F-B755-9770A739EF28}"/>
            </c:ext>
          </c:extLst>
        </c:ser>
        <c:ser>
          <c:idx val="1"/>
          <c:order val="1"/>
          <c:tx>
            <c:strRef>
              <c:f>'Chart 8'!$A$10</c:f>
              <c:strCache>
                <c:ptCount val="1"/>
                <c:pt idx="0">
                  <c:v>Deferred</c:v>
                </c:pt>
              </c:strCache>
            </c:strRef>
          </c:tx>
          <c:spPr>
            <a:solidFill>
              <a:srgbClr val="FF0000"/>
            </a:solidFill>
            <a:ln w="9525" cap="flat" cmpd="sng" algn="ctr">
              <a:solidFill>
                <a:schemeClr val="lt1">
                  <a:alpha val="50000"/>
                </a:schemeClr>
              </a:solidFill>
              <a:round/>
            </a:ln>
            <a:effectLst/>
          </c:spPr>
          <c:invertIfNegative val="0"/>
          <c:dLbls>
            <c:delete val="1"/>
          </c:dLbls>
          <c:cat>
            <c:strRef>
              <c:f>'Chart 8'!$B$8:$S$8</c:f>
              <c:strCache>
                <c:ptCount val="18"/>
                <c:pt idx="0">
                  <c:v>0-19</c:v>
                </c:pt>
                <c:pt idx="1">
                  <c:v>20-24</c:v>
                </c:pt>
                <c:pt idx="2">
                  <c:v>25-29</c:v>
                </c:pt>
                <c:pt idx="3">
                  <c:v>30-34</c:v>
                </c:pt>
                <c:pt idx="4">
                  <c:v>35-39</c:v>
                </c:pt>
                <c:pt idx="5">
                  <c:v>40-44</c:v>
                </c:pt>
                <c:pt idx="6">
                  <c:v>45-49</c:v>
                </c:pt>
                <c:pt idx="7">
                  <c:v>50-54</c:v>
                </c:pt>
                <c:pt idx="8">
                  <c:v>55-59</c:v>
                </c:pt>
                <c:pt idx="9">
                  <c:v>60-64</c:v>
                </c:pt>
                <c:pt idx="10">
                  <c:v>65-69</c:v>
                </c:pt>
                <c:pt idx="11">
                  <c:v>70-74</c:v>
                </c:pt>
                <c:pt idx="12">
                  <c:v>75-79</c:v>
                </c:pt>
                <c:pt idx="13">
                  <c:v>80-84</c:v>
                </c:pt>
                <c:pt idx="14">
                  <c:v>85-89</c:v>
                </c:pt>
                <c:pt idx="15">
                  <c:v>90-94</c:v>
                </c:pt>
                <c:pt idx="16">
                  <c:v>95-99</c:v>
                </c:pt>
                <c:pt idx="17">
                  <c:v>100+</c:v>
                </c:pt>
              </c:strCache>
            </c:strRef>
          </c:cat>
          <c:val>
            <c:numRef>
              <c:f>'Chart 8'!$B$10:$S$10</c:f>
              <c:numCache>
                <c:formatCode>General</c:formatCode>
                <c:ptCount val="18"/>
                <c:pt idx="0">
                  <c:v>0</c:v>
                </c:pt>
                <c:pt idx="1">
                  <c:v>14</c:v>
                </c:pt>
                <c:pt idx="2">
                  <c:v>198</c:v>
                </c:pt>
                <c:pt idx="3">
                  <c:v>494</c:v>
                </c:pt>
                <c:pt idx="4">
                  <c:v>710</c:v>
                </c:pt>
                <c:pt idx="5">
                  <c:v>912</c:v>
                </c:pt>
                <c:pt idx="6">
                  <c:v>1069</c:v>
                </c:pt>
                <c:pt idx="7">
                  <c:v>1261</c:v>
                </c:pt>
                <c:pt idx="8">
                  <c:v>1267</c:v>
                </c:pt>
                <c:pt idx="9">
                  <c:v>808</c:v>
                </c:pt>
                <c:pt idx="10">
                  <c:v>237</c:v>
                </c:pt>
                <c:pt idx="11">
                  <c:v>44</c:v>
                </c:pt>
                <c:pt idx="12">
                  <c:v>7</c:v>
                </c:pt>
                <c:pt idx="13">
                  <c:v>2</c:v>
                </c:pt>
                <c:pt idx="14">
                  <c:v>4</c:v>
                </c:pt>
                <c:pt idx="15">
                  <c:v>1</c:v>
                </c:pt>
                <c:pt idx="16">
                  <c:v>0</c:v>
                </c:pt>
                <c:pt idx="17">
                  <c:v>0</c:v>
                </c:pt>
              </c:numCache>
            </c:numRef>
          </c:val>
          <c:extLst>
            <c:ext xmlns:c16="http://schemas.microsoft.com/office/drawing/2014/chart" uri="{C3380CC4-5D6E-409C-BE32-E72D297353CC}">
              <c16:uniqueId val="{00000001-324F-420F-B755-9770A739EF28}"/>
            </c:ext>
          </c:extLst>
        </c:ser>
        <c:ser>
          <c:idx val="2"/>
          <c:order val="2"/>
          <c:tx>
            <c:strRef>
              <c:f>'Chart 8'!$A$11</c:f>
              <c:strCache>
                <c:ptCount val="1"/>
                <c:pt idx="0">
                  <c:v>Actives</c:v>
                </c:pt>
              </c:strCache>
            </c:strRef>
          </c:tx>
          <c:spPr>
            <a:solidFill>
              <a:srgbClr val="0070C0"/>
            </a:solidFill>
            <a:ln w="9525" cap="flat" cmpd="sng" algn="ctr">
              <a:solidFill>
                <a:schemeClr val="lt1">
                  <a:alpha val="50000"/>
                </a:schemeClr>
              </a:solidFill>
              <a:round/>
            </a:ln>
            <a:effectLst/>
          </c:spPr>
          <c:invertIfNegative val="0"/>
          <c:dLbls>
            <c:delete val="1"/>
          </c:dLbls>
          <c:cat>
            <c:strRef>
              <c:f>'Chart 8'!$B$8:$S$8</c:f>
              <c:strCache>
                <c:ptCount val="18"/>
                <c:pt idx="0">
                  <c:v>0-19</c:v>
                </c:pt>
                <c:pt idx="1">
                  <c:v>20-24</c:v>
                </c:pt>
                <c:pt idx="2">
                  <c:v>25-29</c:v>
                </c:pt>
                <c:pt idx="3">
                  <c:v>30-34</c:v>
                </c:pt>
                <c:pt idx="4">
                  <c:v>35-39</c:v>
                </c:pt>
                <c:pt idx="5">
                  <c:v>40-44</c:v>
                </c:pt>
                <c:pt idx="6">
                  <c:v>45-49</c:v>
                </c:pt>
                <c:pt idx="7">
                  <c:v>50-54</c:v>
                </c:pt>
                <c:pt idx="8">
                  <c:v>55-59</c:v>
                </c:pt>
                <c:pt idx="9">
                  <c:v>60-64</c:v>
                </c:pt>
                <c:pt idx="10">
                  <c:v>65-69</c:v>
                </c:pt>
                <c:pt idx="11">
                  <c:v>70-74</c:v>
                </c:pt>
                <c:pt idx="12">
                  <c:v>75-79</c:v>
                </c:pt>
                <c:pt idx="13">
                  <c:v>80-84</c:v>
                </c:pt>
                <c:pt idx="14">
                  <c:v>85-89</c:v>
                </c:pt>
                <c:pt idx="15">
                  <c:v>90-94</c:v>
                </c:pt>
                <c:pt idx="16">
                  <c:v>95-99</c:v>
                </c:pt>
                <c:pt idx="17">
                  <c:v>100+</c:v>
                </c:pt>
              </c:strCache>
            </c:strRef>
          </c:cat>
          <c:val>
            <c:numRef>
              <c:f>'Chart 8'!$B$11:$S$11</c:f>
              <c:numCache>
                <c:formatCode>General</c:formatCode>
                <c:ptCount val="18"/>
                <c:pt idx="0">
                  <c:v>15</c:v>
                </c:pt>
                <c:pt idx="1">
                  <c:v>144</c:v>
                </c:pt>
                <c:pt idx="2">
                  <c:v>319</c:v>
                </c:pt>
                <c:pt idx="3">
                  <c:v>453</c:v>
                </c:pt>
                <c:pt idx="4">
                  <c:v>622</c:v>
                </c:pt>
                <c:pt idx="5">
                  <c:v>849</c:v>
                </c:pt>
                <c:pt idx="6">
                  <c:v>861</c:v>
                </c:pt>
                <c:pt idx="7">
                  <c:v>900</c:v>
                </c:pt>
                <c:pt idx="8">
                  <c:v>934</c:v>
                </c:pt>
                <c:pt idx="9">
                  <c:v>789</c:v>
                </c:pt>
                <c:pt idx="10">
                  <c:v>278</c:v>
                </c:pt>
                <c:pt idx="11">
                  <c:v>54</c:v>
                </c:pt>
                <c:pt idx="12">
                  <c:v>7</c:v>
                </c:pt>
                <c:pt idx="13">
                  <c:v>0</c:v>
                </c:pt>
                <c:pt idx="14">
                  <c:v>0</c:v>
                </c:pt>
                <c:pt idx="15">
                  <c:v>0</c:v>
                </c:pt>
                <c:pt idx="16">
                  <c:v>0</c:v>
                </c:pt>
                <c:pt idx="17">
                  <c:v>0</c:v>
                </c:pt>
              </c:numCache>
            </c:numRef>
          </c:val>
          <c:extLst>
            <c:ext xmlns:c16="http://schemas.microsoft.com/office/drawing/2014/chart" uri="{C3380CC4-5D6E-409C-BE32-E72D297353CC}">
              <c16:uniqueId val="{00000002-324F-420F-B755-9770A739EF28}"/>
            </c:ext>
          </c:extLst>
        </c:ser>
        <c:dLbls>
          <c:dLblPos val="inEnd"/>
          <c:showLegendKey val="0"/>
          <c:showVal val="1"/>
          <c:showCatName val="0"/>
          <c:showSerName val="0"/>
          <c:showPercent val="0"/>
          <c:showBubbleSize val="0"/>
        </c:dLbls>
        <c:gapWidth val="65"/>
        <c:axId val="352451183"/>
        <c:axId val="352453151"/>
      </c:barChart>
      <c:catAx>
        <c:axId val="352451183"/>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52453151"/>
        <c:crosses val="autoZero"/>
        <c:auto val="1"/>
        <c:lblAlgn val="ctr"/>
        <c:lblOffset val="100"/>
        <c:noMultiLvlLbl val="0"/>
      </c:catAx>
      <c:valAx>
        <c:axId val="352453151"/>
        <c:scaling>
          <c:orientation val="minMax"/>
        </c:scaling>
        <c:delete val="1"/>
        <c:axPos val="l"/>
        <c:majorGridlines>
          <c:spPr>
            <a:ln w="9525" cap="flat" cmpd="sng" algn="ctr">
              <a:solidFill>
                <a:schemeClr val="bg2">
                  <a:lumMod val="50000"/>
                </a:schemeClr>
              </a:solidFill>
              <a:round/>
            </a:ln>
            <a:effectLst/>
          </c:spPr>
        </c:majorGridlines>
        <c:numFmt formatCode="General" sourceLinked="1"/>
        <c:majorTickMark val="none"/>
        <c:minorTickMark val="none"/>
        <c:tickLblPos val="nextTo"/>
        <c:crossAx val="352451183"/>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tx2">
        <a:lumMod val="20000"/>
        <a:lumOff val="80000"/>
      </a:schemeClr>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09">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lt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lt1"/>
    </cs:fontRef>
    <cs:spPr>
      <a:ln w="9525">
        <a:solidFill>
          <a:schemeClr val="lt1">
            <a:lumMod val="95000"/>
            <a:alpha val="54000"/>
          </a:schemeClr>
        </a:solidFill>
        <a:prstDash val="dash"/>
      </a:ln>
    </cs:spPr>
  </cs:dropLine>
  <cs:errorBar>
    <cs:lnRef idx="0"/>
    <cs:fillRef idx="0"/>
    <cs:effectRef idx="0"/>
    <cs:fontRef idx="minor">
      <a:schemeClr val="lt1"/>
    </cs:fontRef>
    <cs:spPr>
      <a:ln w="9525" cap="flat" cmpd="sng" algn="ctr">
        <a:solidFill>
          <a:schemeClr val="lt1">
            <a:lumMod val="95000"/>
          </a:schemeClr>
        </a:solidFill>
        <a:round/>
      </a:ln>
    </cs:spPr>
  </cs:errorBar>
  <cs:floor>
    <cs:lnRef idx="0"/>
    <cs:fillRef idx="0"/>
    <cs:effectRef idx="0"/>
    <cs:fontRef idx="minor">
      <a:schemeClr val="lt1"/>
    </cs:fontRef>
  </cs:floor>
  <cs:gridlineMajor>
    <cs:lnRef idx="0"/>
    <cs:fillRef idx="0"/>
    <cs:effectRef idx="0"/>
    <cs:fontRef idx="minor">
      <a:schemeClr val="lt1"/>
    </cs:fontRef>
    <cs:spPr>
      <a:ln w="9525" cap="flat" cmpd="sng" algn="ctr">
        <a:solidFill>
          <a:schemeClr val="lt1">
            <a:lumMod val="95000"/>
            <a:alpha val="10000"/>
          </a:schemeClr>
        </a:solidFill>
        <a:round/>
      </a:ln>
    </cs:spPr>
  </cs:gridlineMajor>
  <cs:gridlineMinor>
    <cs:lnRef idx="0"/>
    <cs:fillRef idx="0"/>
    <cs:effectRef idx="0"/>
    <cs:fontRef idx="minor">
      <a:schemeClr val="lt1"/>
    </cs:fontRef>
    <cs:spPr>
      <a:ln>
        <a:solidFill>
          <a:schemeClr val="lt1">
            <a:lumMod val="95000"/>
            <a:alpha val="5000"/>
          </a:schemeClr>
        </a:solidFill>
      </a:ln>
    </cs:spPr>
  </cs:gridlineMinor>
  <cs:hiLoLine>
    <cs:lnRef idx="0"/>
    <cs:fillRef idx="0"/>
    <cs:effectRef idx="0"/>
    <cs:fontRef idx="minor">
      <a:schemeClr val="lt1"/>
    </cs:fontRef>
    <cs:spPr>
      <a:ln w="9525">
        <a:solidFill>
          <a:schemeClr val="lt1">
            <a:lumMod val="95000"/>
            <a:alpha val="54000"/>
          </a:schemeClr>
        </a:solidFill>
        <a:prstDash val="dash"/>
      </a:ln>
    </cs:spPr>
  </cs:hiLoLine>
  <cs:leaderLine>
    <cs:lnRef idx="0"/>
    <cs:fillRef idx="0"/>
    <cs:effectRef idx="0"/>
    <cs:fontRef idx="minor">
      <a:schemeClr val="lt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lt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36">
  <cs:axisTitle>
    <cs:lnRef idx="0"/>
    <cs:fillRef idx="0"/>
    <cs:effectRef idx="0"/>
    <cs:fontRef idx="minor">
      <a:schemeClr val="lt1">
        <a:lumMod val="75000"/>
      </a:schemeClr>
    </cs:fontRef>
    <cs:defRPr sz="900" b="1" kern="1200"/>
  </cs:axisTitle>
  <cs:categoryAxis>
    <cs:lnRef idx="0"/>
    <cs:fillRef idx="0"/>
    <cs:effectRef idx="0"/>
    <cs:fontRef idx="minor">
      <a:schemeClr val="lt1">
        <a:lumMod val="75000"/>
      </a:schemeClr>
    </cs:fontRef>
    <cs:defRPr sz="900" kern="1200"/>
  </cs:categoryAxis>
  <cs:chartArea>
    <cs:lnRef idx="0"/>
    <cs:fillRef idx="0"/>
    <cs:effectRef idx="0"/>
    <cs:fontRef idx="minor">
      <a:schemeClr val="dk1"/>
    </cs:fontRef>
    <cs:spPr>
      <a:solidFill>
        <a:schemeClr val="dk1">
          <a:lumMod val="75000"/>
          <a:lumOff val="25000"/>
        </a:schemeClr>
      </a:solidFill>
      <a:ln w="9525" cap="flat" cmpd="sng" algn="ctr">
        <a:solidFill>
          <a:schemeClr val="dk1">
            <a:lumMod val="15000"/>
            <a:lumOff val="85000"/>
          </a:schemeClr>
        </a:solidFill>
        <a:round/>
      </a:ln>
    </cs:spPr>
    <cs:defRPr sz="900" kern="1200"/>
  </cs:chartArea>
  <cs:dataLabel>
    <cs:lnRef idx="0"/>
    <cs:fillRef idx="0"/>
    <cs:effectRef idx="0"/>
    <cs:fontRef idx="minor">
      <a:schemeClr val="lt1">
        <a:lumMod val="75000"/>
      </a:schemeClr>
    </cs:fontRef>
    <cs:defRPr sz="900" kern="1200"/>
  </cs:dataLabel>
  <cs:dataLabelCallout>
    <cs:lnRef idx="0"/>
    <cs:fillRef idx="0"/>
    <cs:effectRef idx="0"/>
    <cs:fontRef idx="minor">
      <a:schemeClr val="lt1">
        <a:lumMod val="15000"/>
        <a:lumOff val="85000"/>
      </a:schemeClr>
    </cs:fontRef>
    <cs:spPr>
      <a:solidFill>
        <a:schemeClr val="dk1">
          <a:lumMod val="65000"/>
          <a:lumOff val="35000"/>
        </a:schemeClr>
      </a:solidFill>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0"/>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
  <cs:dataPoint3D>
    <cs:lnRef idx="0">
      <cs:styleClr val="auto"/>
    </cs:lnRef>
    <cs:fillRef idx="0">
      <cs:styleClr val="auto"/>
    </cs:fillRef>
    <cs:effectRef idx="0">
      <cs:styleClr val="auto"/>
    </cs:effectRef>
    <cs:fontRef idx="minor">
      <a:schemeClr val="dk1"/>
    </cs:fontRef>
    <cs:spPr>
      <a:ln w="9525" cap="flat" cmpd="sng" algn="ctr">
        <a:solidFill>
          <a:schemeClr val="phClr"/>
        </a:solidFill>
        <a:miter lim="800000"/>
      </a:ln>
      <a:effectLst>
        <a:glow rad="63500">
          <a:schemeClr val="phClr">
            <a:satMod val="175000"/>
            <a:alpha val="25000"/>
          </a:schemeClr>
        </a:glow>
      </a:effectLst>
    </cs:spPr>
  </cs:dataPoint3D>
  <cs:dataPointLine>
    <cs:lnRef idx="0">
      <cs:styleClr val="auto"/>
    </cs:lnRef>
    <cs:fillRef idx="0">
      <cs:styleClr val="auto"/>
    </cs:fillRef>
    <cs:effectRef idx="0">
      <cs:styleClr val="auto"/>
    </cs:effectRef>
    <cs:fontRef idx="minor">
      <a:schemeClr val="dk1"/>
    </cs:fontRef>
    <cs:spPr>
      <a:ln w="22225" cap="rnd">
        <a:solidFill>
          <a:schemeClr val="phClr"/>
        </a:solidFill>
      </a:ln>
      <a:effectLst>
        <a:glow rad="139700">
          <a:schemeClr val="phClr">
            <a:satMod val="175000"/>
            <a:alpha val="14000"/>
          </a:schemeClr>
        </a:glow>
      </a:effectLst>
    </cs:spPr>
  </cs:dataPointLine>
  <cs:dataPointMarker>
    <cs:lnRef idx="0">
      <cs:styleClr val="auto"/>
    </cs:lnRef>
    <cs:fillRef idx="0">
      <cs:styleClr val="auto"/>
    </cs:fillRef>
    <cs:effectRef idx="0">
      <cs:styleClr val="auto"/>
    </cs:effectRef>
    <cs:fontRef idx="minor">
      <a:schemeClr val="dk1"/>
    </cs:fontRef>
    <cs:spPr>
      <a:solidFill>
        <a:schemeClr val="phClr">
          <a:lumMod val="60000"/>
          <a:lumOff val="40000"/>
        </a:schemeClr>
      </a:solidFill>
      <a:effectLst>
        <a:glow rad="63500">
          <a:schemeClr val="phClr">
            <a:satMod val="175000"/>
            <a:alpha val="25000"/>
          </a:schemeClr>
        </a:glow>
      </a:effectLst>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lt1">
        <a:lumMod val="75000"/>
      </a:schemeClr>
    </cs:fontRef>
    <cs:spPr>
      <a:ln w="9525">
        <a:solidFill>
          <a:schemeClr val="dk1">
            <a:lumMod val="50000"/>
            <a:lumOff val="50000"/>
          </a:schemeClr>
        </a:solidFill>
      </a:ln>
    </cs:spPr>
    <cs:defRPr sz="900" kern="1200"/>
  </cs:dataTable>
  <cs:downBar>
    <cs:lnRef idx="0"/>
    <cs:fillRef idx="0"/>
    <cs:effectRef idx="0"/>
    <cs:fontRef idx="minor">
      <a:schemeClr val="lt1"/>
    </cs:fontRef>
    <cs:spPr>
      <a:solidFill>
        <a:schemeClr val="dk1">
          <a:lumMod val="50000"/>
          <a:lumOff val="50000"/>
        </a:schemeClr>
      </a:solidFill>
      <a:ln w="9525">
        <a:solidFill>
          <a:schemeClr val="dk1">
            <a:lumMod val="75000"/>
          </a:schemeClr>
        </a:solidFill>
        <a:round/>
      </a:ln>
    </cs:spPr>
  </cs:downBar>
  <cs:dropLine>
    <cs:lnRef idx="0"/>
    <cs:fillRef idx="0"/>
    <cs:effectRef idx="0"/>
    <cs:fontRef idx="minor">
      <a:schemeClr val="dk1"/>
    </cs:fontRef>
    <cs:spPr>
      <a:ln w="9525">
        <a:solidFill>
          <a:schemeClr val="lt1">
            <a:lumMod val="50000"/>
          </a:schemeClr>
        </a:solidFill>
        <a:round/>
      </a:ln>
    </cs:spPr>
  </cs:dropLine>
  <cs:errorBar>
    <cs:lnRef idx="0"/>
    <cs:fillRef idx="0"/>
    <cs:effectRef idx="0"/>
    <cs:fontRef idx="minor">
      <a:schemeClr val="dk1"/>
    </cs:fontRef>
    <cs:spPr>
      <a:ln w="9525">
        <a:solidFill>
          <a:schemeClr val="lt1">
            <a:lumMod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75000"/>
                <a:lumOff val="25000"/>
              </a:schemeClr>
            </a:gs>
            <a:gs pos="0">
              <a:schemeClr val="dk1">
                <a:lumMod val="65000"/>
                <a:lumOff val="3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dk1">
                <a:lumMod val="75000"/>
                <a:lumOff val="25000"/>
                <a:alpha val="25000"/>
              </a:schemeClr>
            </a:gs>
            <a:gs pos="0">
              <a:schemeClr val="dk1">
                <a:lumMod val="65000"/>
                <a:lumOff val="35000"/>
                <a:alpha val="25000"/>
              </a:schemeClr>
            </a:gs>
          </a:gsLst>
          <a:lin ang="5400000" scaled="0"/>
        </a:gradFill>
        <a:round/>
      </a:ln>
    </cs:spPr>
  </cs:gridlineMinor>
  <cs:hiLoLine>
    <cs:lnRef idx="0"/>
    <cs:fillRef idx="0"/>
    <cs:effectRef idx="0"/>
    <cs:fontRef idx="minor">
      <a:schemeClr val="dk1"/>
    </cs:fontRef>
    <cs:spPr>
      <a:ln w="9525">
        <a:solidFill>
          <a:schemeClr val="lt1">
            <a:lumMod val="50000"/>
          </a:schemeClr>
        </a:solidFill>
        <a:round/>
      </a:ln>
    </cs:spPr>
  </cs:hiLoLine>
  <cs:leaderLine>
    <cs:lnRef idx="0"/>
    <cs:fillRef idx="0"/>
    <cs:effectRef idx="0"/>
    <cs:fontRef idx="minor">
      <a:schemeClr val="dk1"/>
    </cs:fontRef>
    <cs:spPr>
      <a:ln w="9525">
        <a:solidFill>
          <a:schemeClr val="lt1">
            <a:lumMod val="50000"/>
          </a:schemeClr>
        </a:solidFill>
        <a:round/>
      </a:ln>
    </cs:spPr>
  </cs:leaderLine>
  <cs:legend>
    <cs:lnRef idx="0"/>
    <cs:fillRef idx="0"/>
    <cs:effectRef idx="0"/>
    <cs:fontRef idx="minor">
      <a:schemeClr val="lt1">
        <a:lumMod val="7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lt1">
        <a:lumMod val="75000"/>
      </a:schemeClr>
    </cs:fontRef>
    <cs:defRPr sz="900" kern="1200"/>
  </cs:seriesAxis>
  <cs:seriesLine>
    <cs:lnRef idx="0"/>
    <cs:fillRef idx="0"/>
    <cs:effectRef idx="0"/>
    <cs:fontRef idx="minor">
      <a:schemeClr val="dk1"/>
    </cs:fontRef>
    <cs:spPr>
      <a:ln w="9525">
        <a:solidFill>
          <a:schemeClr val="lt1">
            <a:lumMod val="50000"/>
          </a:schemeClr>
        </a:solidFill>
        <a:round/>
      </a:ln>
    </cs:spPr>
  </cs:seriesLine>
  <cs:title>
    <cs:lnRef idx="0"/>
    <cs:fillRef idx="0"/>
    <cs:effectRef idx="0"/>
    <cs:fontRef idx="minor">
      <a:schemeClr val="lt1">
        <a:lumMod val="85000"/>
      </a:schemeClr>
    </cs:fontRef>
    <cs:defRPr sz="1400" b="1" kern="1200" cap="none" baseline="0"/>
  </cs:title>
  <cs:trendline>
    <cs:lnRef idx="0">
      <cs:styleClr val="auto"/>
    </cs:lnRef>
    <cs:fillRef idx="0"/>
    <cs:effectRef idx="0"/>
    <cs:fontRef idx="minor">
      <a:schemeClr val="lt1"/>
    </cs:fontRef>
    <cs:spPr>
      <a:ln w="25400" cap="rnd">
        <a:solidFill>
          <a:schemeClr val="phClr">
            <a:alpha val="50000"/>
          </a:schemeClr>
        </a:solidFill>
      </a:ln>
    </cs:spPr>
  </cs:trendline>
  <cs:trendlineLabel>
    <cs:lnRef idx="0"/>
    <cs:fillRef idx="0"/>
    <cs:effectRef idx="0"/>
    <cs:fontRef idx="minor">
      <a:schemeClr val="lt1">
        <a:lumMod val="75000"/>
      </a:schemeClr>
    </cs:fontRef>
    <cs:defRPr sz="900" kern="1200"/>
  </cs:trendlineLabel>
  <cs:upBar>
    <cs:lnRef idx="0"/>
    <cs:fillRef idx="0"/>
    <cs:effectRef idx="0"/>
    <cs:fontRef idx="minor">
      <a:schemeClr val="dk1"/>
    </cs:fontRef>
    <cs:spPr>
      <a:solidFill>
        <a:schemeClr val="lt1">
          <a:lumMod val="85000"/>
        </a:schemeClr>
      </a:solidFill>
      <a:ln w="9525">
        <a:solidFill>
          <a:schemeClr val="dk1">
            <a:lumMod val="50000"/>
          </a:schemeClr>
        </a:solidFill>
        <a:round/>
      </a:ln>
    </cs:spPr>
  </cs:upBar>
  <cs:valueAxis>
    <cs:lnRef idx="0"/>
    <cs:fillRef idx="0"/>
    <cs:effectRef idx="0"/>
    <cs:fontRef idx="minor">
      <a:schemeClr val="lt1">
        <a:lumMod val="7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6F0826163FA5534889CC93342288752E" ma:contentTypeVersion="242" ma:contentTypeDescription="Document with LGCS and Type of Content Classification" ma:contentTypeScope="" ma:versionID="84fe5e2da6a3d3547b7fc017e0dd8b45">
  <xsd:schema xmlns:xsd="http://www.w3.org/2001/XMLSchema" xmlns:xs="http://www.w3.org/2001/XMLSchema" xmlns:p="http://schemas.microsoft.com/office/2006/metadata/properties" xmlns:ns2="6f247cf5-36db-4625-96bb-fe9ae63417ad" targetNamespace="http://schemas.microsoft.com/office/2006/metadata/properties" ma:root="true" ma:fieldsID="c59ca63e00cf1b9694bf5ef1ec8b23e8" ns2:_="">
    <xsd:import namespace="6f247cf5-36db-4625-96bb-fe9ae63417ad"/>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210b10d-b4ad-4651-8b53-95687461fc8e}" ma:internalName="TaxCatchAll" ma:showField="CatchAllData" ma:web="78e24578-5fde-46d4-af88-eda26f228f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10b10d-b4ad-4651-8b53-95687461fc8e}" ma:internalName="TaxCatchAllLabel" ma:readOnly="true" ma:showField="CatchAllDataLabel" ma:web="78e24578-5fde-46d4-af88-eda26f228fa1">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Meeting xmlns="d6169fa9-7409-4fcd-a707-8498962b0e0f">2023-03-09T16:00:53+00:00</Meeting>
    <lcf76f155ced4ddcb4097134ff3c332f xmlns="d6169fa9-7409-4fcd-a707-8498962b0e0f">
      <Terms xmlns="http://schemas.microsoft.com/office/infopath/2007/PartnerControls"/>
    </lcf76f155ced4ddcb4097134ff3c332f>
    <subject xmlns="d6169fa9-7409-4fcd-a707-8498962b0e0f">Subject</subjec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E4DC5B70071C044AD3A28458262D543" ma:contentTypeVersion="18" ma:contentTypeDescription="Create a new document." ma:contentTypeScope="" ma:versionID="90b64ddda4f07dca6721aa4bbd672734">
  <xsd:schema xmlns:xsd="http://www.w3.org/2001/XMLSchema" xmlns:xs="http://www.w3.org/2001/XMLSchema" xmlns:p="http://schemas.microsoft.com/office/2006/metadata/properties" xmlns:ns1="d6169fa9-7409-4fcd-a707-8498962b0e0f" xmlns:ns3="4c0fc6d1-1ff6-4501-9111-f8704c4ff172" targetNamespace="http://schemas.microsoft.com/office/2006/metadata/properties" ma:root="true" ma:fieldsID="caf13ee4c4eb30c72d2b9dce90ff16d6" ns1:_="" ns3:_="">
    <xsd:import namespace="d6169fa9-7409-4fcd-a707-8498962b0e0f"/>
    <xsd:import namespace="4c0fc6d1-1ff6-4501-9111-f8704c4ff172"/>
    <xsd:element name="properties">
      <xsd:complexType>
        <xsd:sequence>
          <xsd:element name="documentManagement">
            <xsd:complexType>
              <xsd:all>
                <xsd:element ref="ns1:Meeting"/>
                <xsd:element ref="ns1:subject"/>
                <xsd:element ref="ns1:MediaServiceMetadata" minOccurs="0"/>
                <xsd:element ref="ns1:MediaServiceFastMetadata" minOccurs="0"/>
                <xsd:element ref="ns1:MediaServiceAutoKeyPoints" minOccurs="0"/>
                <xsd:element ref="ns1:MediaServiceKeyPoints" minOccurs="0"/>
                <xsd:element ref="ns3:SharedWithUsers" minOccurs="0"/>
                <xsd:element ref="ns3:SharedWithDetails" minOccurs="0"/>
                <xsd:element ref="ns1:MediaServiceAutoTags" minOccurs="0"/>
                <xsd:element ref="ns1:MediaServiceOCR" minOccurs="0"/>
                <xsd:element ref="ns1:MediaServiceGenerationTime" minOccurs="0"/>
                <xsd:element ref="ns1:MediaServiceEventHashCode" minOccurs="0"/>
                <xsd:element ref="ns1:MediaServiceDateTaken" minOccurs="0"/>
                <xsd:element ref="ns1:MediaServiceLocation" minOccurs="0"/>
                <xsd:element ref="ns1: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69fa9-7409-4fcd-a707-8498962b0e0f" elementFormDefault="qualified">
    <xsd:import namespace="http://schemas.microsoft.com/office/2006/documentManagement/types"/>
    <xsd:import namespace="http://schemas.microsoft.com/office/infopath/2007/PartnerControls"/>
    <xsd:element name="Meeting" ma:index="0" ma:displayName="Relevant Date" ma:default="[today]" ma:description="For meeting folders use the date of the meeting. For other folders use an appropriate relevant date other this defaults to today" ma:format="DateOnly" ma:internalName="Meeting">
      <xsd:simpleType>
        <xsd:restriction base="dms:DateTime"/>
      </xsd:simpleType>
    </xsd:element>
    <xsd:element name="subject" ma:index="1" ma:displayName="Subject" ma:default="Subject" ma:description="subject of meeting item - for example project name" ma:format="Dropdown" ma:internalName="subject">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411D791-B8A2-4396-B48A-B53864C61A6B}">
  <ds:schemaRefs>
    <ds:schemaRef ds:uri="http://schemas.microsoft.com/sharepoint/v3/contenttype/forms"/>
  </ds:schemaRefs>
</ds:datastoreItem>
</file>

<file path=customXml/itemProps2.xml><?xml version="1.0" encoding="utf-8"?>
<ds:datastoreItem xmlns:ds="http://schemas.openxmlformats.org/officeDocument/2006/customXml" ds:itemID="{3FCC9380-39B6-4D42-B015-87EB8E384B89}">
  <ds:schemaRefs>
    <ds:schemaRef ds:uri="http://schemas.openxmlformats.org/officeDocument/2006/bibliography"/>
  </ds:schemaRefs>
</ds:datastoreItem>
</file>

<file path=customXml/itemProps3.xml><?xml version="1.0" encoding="utf-8"?>
<ds:datastoreItem xmlns:ds="http://schemas.openxmlformats.org/officeDocument/2006/customXml" ds:itemID="{013BC4BB-44C6-4379-8DA4-407944E40038}"/>
</file>

<file path=customXml/itemProps4.xml><?xml version="1.0" encoding="utf-8"?>
<ds:datastoreItem xmlns:ds="http://schemas.openxmlformats.org/officeDocument/2006/customXml" ds:itemID="{D56BBD4E-AEB0-42CE-94F0-CA45EABCDBAC}">
  <ds:schemaRefs>
    <ds:schemaRef ds:uri="78e24578-5fde-46d4-af88-eda26f228fa1"/>
    <ds:schemaRef ds:uri="http://purl.org/dc/terms/"/>
    <ds:schemaRef ds:uri="6f247cf5-36db-4625-96bb-fe9ae63417ad"/>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377A404F-FDE2-4BBE-B71A-F5D48CE6FA37}"/>
</file>

<file path=customXml/itemProps6.xml><?xml version="1.0" encoding="utf-8"?>
<ds:datastoreItem xmlns:ds="http://schemas.openxmlformats.org/officeDocument/2006/customXml" ds:itemID="{BFF280C0-4987-46FF-83E9-11245370A520}"/>
</file>

<file path=docProps/app.xml><?xml version="1.0" encoding="utf-8"?>
<Properties xmlns="http://schemas.openxmlformats.org/officeDocument/2006/extended-properties" xmlns:vt="http://schemas.openxmlformats.org/officeDocument/2006/docPropsVTypes">
  <Template>Normal</Template>
  <TotalTime>5</TotalTime>
  <Pages>139</Pages>
  <Words>44201</Words>
  <Characters>251946</Characters>
  <Application>Microsoft Office Word</Application>
  <DocSecurity>0</DocSecurity>
  <Lines>2099</Lines>
  <Paragraphs>591</Paragraphs>
  <ScaleCrop>false</ScaleCrop>
  <HeadingPairs>
    <vt:vector size="2" baseType="variant">
      <vt:variant>
        <vt:lpstr>Title</vt:lpstr>
      </vt:variant>
      <vt:variant>
        <vt:i4>1</vt:i4>
      </vt:variant>
    </vt:vector>
  </HeadingPairs>
  <TitlesOfParts>
    <vt:vector size="1" baseType="lpstr">
      <vt:lpstr/>
    </vt:vector>
  </TitlesOfParts>
  <Company>LBBD</Company>
  <LinksUpToDate>false</LinksUpToDate>
  <CharactersWithSpaces>295556</CharactersWithSpaces>
  <SharedDoc>false</SharedDoc>
  <HLinks>
    <vt:vector size="618" baseType="variant">
      <vt:variant>
        <vt:i4>3276848</vt:i4>
      </vt:variant>
      <vt:variant>
        <vt:i4>588</vt:i4>
      </vt:variant>
      <vt:variant>
        <vt:i4>0</vt:i4>
      </vt:variant>
      <vt:variant>
        <vt:i4>5</vt:i4>
      </vt:variant>
      <vt:variant>
        <vt:lpwstr>http://www.ubs.com/global/en/about_ubs/corporate_covernance.htm</vt:lpwstr>
      </vt:variant>
      <vt:variant>
        <vt:lpwstr/>
      </vt:variant>
      <vt:variant>
        <vt:i4>4128815</vt:i4>
      </vt:variant>
      <vt:variant>
        <vt:i4>585</vt:i4>
      </vt:variant>
      <vt:variant>
        <vt:i4>0</vt:i4>
      </vt:variant>
      <vt:variant>
        <vt:i4>5</vt:i4>
      </vt:variant>
      <vt:variant>
        <vt:lpwstr>http://www.bailliegifford.com/pages/UKInstitutional/CorporateGovernance/CorporateGovernaceSRI.aspx</vt:lpwstr>
      </vt:variant>
      <vt:variant>
        <vt:lpwstr/>
      </vt:variant>
      <vt:variant>
        <vt:i4>2424955</vt:i4>
      </vt:variant>
      <vt:variant>
        <vt:i4>582</vt:i4>
      </vt:variant>
      <vt:variant>
        <vt:i4>0</vt:i4>
      </vt:variant>
      <vt:variant>
        <vt:i4>5</vt:i4>
      </vt:variant>
      <vt:variant>
        <vt:lpwstr>http://www.lbbdpensionfund.org/</vt:lpwstr>
      </vt:variant>
      <vt:variant>
        <vt:lpwstr/>
      </vt:variant>
      <vt:variant>
        <vt:i4>7274615</vt:i4>
      </vt:variant>
      <vt:variant>
        <vt:i4>579</vt:i4>
      </vt:variant>
      <vt:variant>
        <vt:i4>0</vt:i4>
      </vt:variant>
      <vt:variant>
        <vt:i4>5</vt:i4>
      </vt:variant>
      <vt:variant>
        <vt:lpwstr>http://www.lbbd.gov.uk/CouncilandDemocracy/Documents/Constitution/const-c-section-m.pdf</vt:lpwstr>
      </vt:variant>
      <vt:variant>
        <vt:lpwstr/>
      </vt:variant>
      <vt:variant>
        <vt:i4>7143501</vt:i4>
      </vt:variant>
      <vt:variant>
        <vt:i4>576</vt:i4>
      </vt:variant>
      <vt:variant>
        <vt:i4>0</vt:i4>
      </vt:variant>
      <vt:variant>
        <vt:i4>5</vt:i4>
      </vt:variant>
      <vt:variant>
        <vt:lpwstr>mailto:david.dickinson@lbbd.gov.uk</vt:lpwstr>
      </vt:variant>
      <vt:variant>
        <vt:lpwstr/>
      </vt:variant>
      <vt:variant>
        <vt:i4>2424955</vt:i4>
      </vt:variant>
      <vt:variant>
        <vt:i4>573</vt:i4>
      </vt:variant>
      <vt:variant>
        <vt:i4>0</vt:i4>
      </vt:variant>
      <vt:variant>
        <vt:i4>5</vt:i4>
      </vt:variant>
      <vt:variant>
        <vt:lpwstr>http://www.lbbdpensionfund.org/</vt:lpwstr>
      </vt:variant>
      <vt:variant>
        <vt:lpwstr/>
      </vt:variant>
      <vt:variant>
        <vt:i4>589846</vt:i4>
      </vt:variant>
      <vt:variant>
        <vt:i4>570</vt:i4>
      </vt:variant>
      <vt:variant>
        <vt:i4>0</vt:i4>
      </vt:variant>
      <vt:variant>
        <vt:i4>5</vt:i4>
      </vt:variant>
      <vt:variant>
        <vt:lpwstr/>
      </vt:variant>
      <vt:variant>
        <vt:lpwstr>AppendixD</vt:lpwstr>
      </vt:variant>
      <vt:variant>
        <vt:i4>1966099</vt:i4>
      </vt:variant>
      <vt:variant>
        <vt:i4>567</vt:i4>
      </vt:variant>
      <vt:variant>
        <vt:i4>0</vt:i4>
      </vt:variant>
      <vt:variant>
        <vt:i4>5</vt:i4>
      </vt:variant>
      <vt:variant>
        <vt:lpwstr/>
      </vt:variant>
      <vt:variant>
        <vt:lpwstr>whatdifferenttypesof</vt:lpwstr>
      </vt:variant>
      <vt:variant>
        <vt:i4>589872</vt:i4>
      </vt:variant>
      <vt:variant>
        <vt:i4>564</vt:i4>
      </vt:variant>
      <vt:variant>
        <vt:i4>0</vt:i4>
      </vt:variant>
      <vt:variant>
        <vt:i4>5</vt:i4>
      </vt:variant>
      <vt:variant>
        <vt:lpwstr/>
      </vt:variant>
      <vt:variant>
        <vt:lpwstr>TheDifferentApproachesUsedForDiffEmps3_3</vt:lpwstr>
      </vt:variant>
      <vt:variant>
        <vt:i4>655386</vt:i4>
      </vt:variant>
      <vt:variant>
        <vt:i4>561</vt:i4>
      </vt:variant>
      <vt:variant>
        <vt:i4>0</vt:i4>
      </vt:variant>
      <vt:variant>
        <vt:i4>5</vt:i4>
      </vt:variant>
      <vt:variant>
        <vt:lpwstr/>
      </vt:variant>
      <vt:variant>
        <vt:lpwstr>Notee</vt:lpwstr>
      </vt:variant>
      <vt:variant>
        <vt:i4>655386</vt:i4>
      </vt:variant>
      <vt:variant>
        <vt:i4>558</vt:i4>
      </vt:variant>
      <vt:variant>
        <vt:i4>0</vt:i4>
      </vt:variant>
      <vt:variant>
        <vt:i4>5</vt:i4>
      </vt:variant>
      <vt:variant>
        <vt:lpwstr/>
      </vt:variant>
      <vt:variant>
        <vt:lpwstr>Notec</vt:lpwstr>
      </vt:variant>
      <vt:variant>
        <vt:i4>1507418</vt:i4>
      </vt:variant>
      <vt:variant>
        <vt:i4>555</vt:i4>
      </vt:variant>
      <vt:variant>
        <vt:i4>0</vt:i4>
      </vt:variant>
      <vt:variant>
        <vt:i4>5</vt:i4>
      </vt:variant>
      <vt:variant>
        <vt:lpwstr/>
      </vt:variant>
      <vt:variant>
        <vt:lpwstr>D5How_is_each_employers_asset_share_cal</vt:lpwstr>
      </vt:variant>
      <vt:variant>
        <vt:i4>655386</vt:i4>
      </vt:variant>
      <vt:variant>
        <vt:i4>552</vt:i4>
      </vt:variant>
      <vt:variant>
        <vt:i4>0</vt:i4>
      </vt:variant>
      <vt:variant>
        <vt:i4>5</vt:i4>
      </vt:variant>
      <vt:variant>
        <vt:lpwstr/>
      </vt:variant>
      <vt:variant>
        <vt:lpwstr>Notee</vt:lpwstr>
      </vt:variant>
      <vt:variant>
        <vt:i4>655386</vt:i4>
      </vt:variant>
      <vt:variant>
        <vt:i4>549</vt:i4>
      </vt:variant>
      <vt:variant>
        <vt:i4>0</vt:i4>
      </vt:variant>
      <vt:variant>
        <vt:i4>5</vt:i4>
      </vt:variant>
      <vt:variant>
        <vt:lpwstr/>
      </vt:variant>
      <vt:variant>
        <vt:lpwstr>Notec</vt:lpwstr>
      </vt:variant>
      <vt:variant>
        <vt:i4>720899</vt:i4>
      </vt:variant>
      <vt:variant>
        <vt:i4>546</vt:i4>
      </vt:variant>
      <vt:variant>
        <vt:i4>0</vt:i4>
      </vt:variant>
      <vt:variant>
        <vt:i4>5</vt:i4>
      </vt:variant>
      <vt:variant>
        <vt:lpwstr/>
      </vt:variant>
      <vt:variant>
        <vt:lpwstr>howisthesecondarycontributionrate</vt:lpwstr>
      </vt:variant>
      <vt:variant>
        <vt:i4>262171</vt:i4>
      </vt:variant>
      <vt:variant>
        <vt:i4>543</vt:i4>
      </vt:variant>
      <vt:variant>
        <vt:i4>0</vt:i4>
      </vt:variant>
      <vt:variant>
        <vt:i4>5</vt:i4>
      </vt:variant>
      <vt:variant>
        <vt:lpwstr/>
      </vt:variant>
      <vt:variant>
        <vt:lpwstr>howistheprimarycontributionratecalculate</vt:lpwstr>
      </vt:variant>
      <vt:variant>
        <vt:i4>589846</vt:i4>
      </vt:variant>
      <vt:variant>
        <vt:i4>540</vt:i4>
      </vt:variant>
      <vt:variant>
        <vt:i4>0</vt:i4>
      </vt:variant>
      <vt:variant>
        <vt:i4>5</vt:i4>
      </vt:variant>
      <vt:variant>
        <vt:lpwstr/>
      </vt:variant>
      <vt:variant>
        <vt:lpwstr>AppendixE</vt:lpwstr>
      </vt:variant>
      <vt:variant>
        <vt:i4>4980759</vt:i4>
      </vt:variant>
      <vt:variant>
        <vt:i4>537</vt:i4>
      </vt:variant>
      <vt:variant>
        <vt:i4>0</vt:i4>
      </vt:variant>
      <vt:variant>
        <vt:i4>5</vt:i4>
      </vt:variant>
      <vt:variant>
        <vt:lpwstr/>
      </vt:variant>
      <vt:variant>
        <vt:lpwstr>Section2</vt:lpwstr>
      </vt:variant>
      <vt:variant>
        <vt:i4>655386</vt:i4>
      </vt:variant>
      <vt:variant>
        <vt:i4>534</vt:i4>
      </vt:variant>
      <vt:variant>
        <vt:i4>0</vt:i4>
      </vt:variant>
      <vt:variant>
        <vt:i4>5</vt:i4>
      </vt:variant>
      <vt:variant>
        <vt:lpwstr/>
      </vt:variant>
      <vt:variant>
        <vt:lpwstr>Notek</vt:lpwstr>
      </vt:variant>
      <vt:variant>
        <vt:i4>589872</vt:i4>
      </vt:variant>
      <vt:variant>
        <vt:i4>531</vt:i4>
      </vt:variant>
      <vt:variant>
        <vt:i4>0</vt:i4>
      </vt:variant>
      <vt:variant>
        <vt:i4>5</vt:i4>
      </vt:variant>
      <vt:variant>
        <vt:lpwstr/>
      </vt:variant>
      <vt:variant>
        <vt:lpwstr>TheDifferentApproachesUsedForDiffEmps3_3</vt:lpwstr>
      </vt:variant>
      <vt:variant>
        <vt:i4>655386</vt:i4>
      </vt:variant>
      <vt:variant>
        <vt:i4>528</vt:i4>
      </vt:variant>
      <vt:variant>
        <vt:i4>0</vt:i4>
      </vt:variant>
      <vt:variant>
        <vt:i4>5</vt:i4>
      </vt:variant>
      <vt:variant>
        <vt:lpwstr/>
      </vt:variant>
      <vt:variant>
        <vt:lpwstr>Notea</vt:lpwstr>
      </vt:variant>
      <vt:variant>
        <vt:i4>589872</vt:i4>
      </vt:variant>
      <vt:variant>
        <vt:i4>525</vt:i4>
      </vt:variant>
      <vt:variant>
        <vt:i4>0</vt:i4>
      </vt:variant>
      <vt:variant>
        <vt:i4>5</vt:i4>
      </vt:variant>
      <vt:variant>
        <vt:lpwstr/>
      </vt:variant>
      <vt:variant>
        <vt:lpwstr>TheDifferentApproachesUsedForDiffEmps3_3</vt:lpwstr>
      </vt:variant>
      <vt:variant>
        <vt:i4>655386</vt:i4>
      </vt:variant>
      <vt:variant>
        <vt:i4>522</vt:i4>
      </vt:variant>
      <vt:variant>
        <vt:i4>0</vt:i4>
      </vt:variant>
      <vt:variant>
        <vt:i4>5</vt:i4>
      </vt:variant>
      <vt:variant>
        <vt:lpwstr/>
      </vt:variant>
      <vt:variant>
        <vt:lpwstr>Notef</vt:lpwstr>
      </vt:variant>
      <vt:variant>
        <vt:i4>589872</vt:i4>
      </vt:variant>
      <vt:variant>
        <vt:i4>519</vt:i4>
      </vt:variant>
      <vt:variant>
        <vt:i4>0</vt:i4>
      </vt:variant>
      <vt:variant>
        <vt:i4>5</vt:i4>
      </vt:variant>
      <vt:variant>
        <vt:lpwstr/>
      </vt:variant>
      <vt:variant>
        <vt:lpwstr>TheDifferentApproachesUsedForDiffEmps3_3</vt:lpwstr>
      </vt:variant>
      <vt:variant>
        <vt:i4>655386</vt:i4>
      </vt:variant>
      <vt:variant>
        <vt:i4>516</vt:i4>
      </vt:variant>
      <vt:variant>
        <vt:i4>0</vt:i4>
      </vt:variant>
      <vt:variant>
        <vt:i4>5</vt:i4>
      </vt:variant>
      <vt:variant>
        <vt:lpwstr/>
      </vt:variant>
      <vt:variant>
        <vt:lpwstr>Notej</vt:lpwstr>
      </vt:variant>
      <vt:variant>
        <vt:i4>655386</vt:i4>
      </vt:variant>
      <vt:variant>
        <vt:i4>513</vt:i4>
      </vt:variant>
      <vt:variant>
        <vt:i4>0</vt:i4>
      </vt:variant>
      <vt:variant>
        <vt:i4>5</vt:i4>
      </vt:variant>
      <vt:variant>
        <vt:lpwstr/>
      </vt:variant>
      <vt:variant>
        <vt:lpwstr>Noteh</vt:lpwstr>
      </vt:variant>
      <vt:variant>
        <vt:i4>4915223</vt:i4>
      </vt:variant>
      <vt:variant>
        <vt:i4>510</vt:i4>
      </vt:variant>
      <vt:variant>
        <vt:i4>0</vt:i4>
      </vt:variant>
      <vt:variant>
        <vt:i4>5</vt:i4>
      </vt:variant>
      <vt:variant>
        <vt:lpwstr/>
      </vt:variant>
      <vt:variant>
        <vt:lpwstr>Section5</vt:lpwstr>
      </vt:variant>
      <vt:variant>
        <vt:i4>589872</vt:i4>
      </vt:variant>
      <vt:variant>
        <vt:i4>507</vt:i4>
      </vt:variant>
      <vt:variant>
        <vt:i4>0</vt:i4>
      </vt:variant>
      <vt:variant>
        <vt:i4>5</vt:i4>
      </vt:variant>
      <vt:variant>
        <vt:lpwstr/>
      </vt:variant>
      <vt:variant>
        <vt:lpwstr>TheDifferentApproachesUsedForDiffEmps3_3</vt:lpwstr>
      </vt:variant>
      <vt:variant>
        <vt:i4>655386</vt:i4>
      </vt:variant>
      <vt:variant>
        <vt:i4>504</vt:i4>
      </vt:variant>
      <vt:variant>
        <vt:i4>0</vt:i4>
      </vt:variant>
      <vt:variant>
        <vt:i4>5</vt:i4>
      </vt:variant>
      <vt:variant>
        <vt:lpwstr/>
      </vt:variant>
      <vt:variant>
        <vt:lpwstr>Notef</vt:lpwstr>
      </vt:variant>
      <vt:variant>
        <vt:i4>589872</vt:i4>
      </vt:variant>
      <vt:variant>
        <vt:i4>501</vt:i4>
      </vt:variant>
      <vt:variant>
        <vt:i4>0</vt:i4>
      </vt:variant>
      <vt:variant>
        <vt:i4>5</vt:i4>
      </vt:variant>
      <vt:variant>
        <vt:lpwstr/>
      </vt:variant>
      <vt:variant>
        <vt:lpwstr>TheDifferentApproachesUsedForDiffEmps3_3</vt:lpwstr>
      </vt:variant>
      <vt:variant>
        <vt:i4>655386</vt:i4>
      </vt:variant>
      <vt:variant>
        <vt:i4>498</vt:i4>
      </vt:variant>
      <vt:variant>
        <vt:i4>0</vt:i4>
      </vt:variant>
      <vt:variant>
        <vt:i4>5</vt:i4>
      </vt:variant>
      <vt:variant>
        <vt:lpwstr/>
      </vt:variant>
      <vt:variant>
        <vt:lpwstr>Noteb</vt:lpwstr>
      </vt:variant>
      <vt:variant>
        <vt:i4>983084</vt:i4>
      </vt:variant>
      <vt:variant>
        <vt:i4>495</vt:i4>
      </vt:variant>
      <vt:variant>
        <vt:i4>0</vt:i4>
      </vt:variant>
      <vt:variant>
        <vt:i4>5</vt:i4>
      </vt:variant>
      <vt:variant>
        <vt:lpwstr/>
      </vt:variant>
      <vt:variant>
        <vt:lpwstr>EmployersWithNoRemainingActiveMembers3_9</vt:lpwstr>
      </vt:variant>
      <vt:variant>
        <vt:i4>4915223</vt:i4>
      </vt:variant>
      <vt:variant>
        <vt:i4>492</vt:i4>
      </vt:variant>
      <vt:variant>
        <vt:i4>0</vt:i4>
      </vt:variant>
      <vt:variant>
        <vt:i4>5</vt:i4>
      </vt:variant>
      <vt:variant>
        <vt:lpwstr/>
      </vt:variant>
      <vt:variant>
        <vt:lpwstr>Section5</vt:lpwstr>
      </vt:variant>
      <vt:variant>
        <vt:i4>4915223</vt:i4>
      </vt:variant>
      <vt:variant>
        <vt:i4>489</vt:i4>
      </vt:variant>
      <vt:variant>
        <vt:i4>0</vt:i4>
      </vt:variant>
      <vt:variant>
        <vt:i4>5</vt:i4>
      </vt:variant>
      <vt:variant>
        <vt:lpwstr/>
      </vt:variant>
      <vt:variant>
        <vt:lpwstr>Section5</vt:lpwstr>
      </vt:variant>
      <vt:variant>
        <vt:i4>4980746</vt:i4>
      </vt:variant>
      <vt:variant>
        <vt:i4>213</vt:i4>
      </vt:variant>
      <vt:variant>
        <vt:i4>0</vt:i4>
      </vt:variant>
      <vt:variant>
        <vt:i4>5</vt:i4>
      </vt:variant>
      <vt:variant>
        <vt:lpwstr/>
      </vt:variant>
      <vt:variant>
        <vt:lpwstr>A1WhyDoesTheFundNeedAFSS</vt:lpwstr>
      </vt:variant>
      <vt:variant>
        <vt:i4>655386</vt:i4>
      </vt:variant>
      <vt:variant>
        <vt:i4>210</vt:i4>
      </vt:variant>
      <vt:variant>
        <vt:i4>0</vt:i4>
      </vt:variant>
      <vt:variant>
        <vt:i4>5</vt:i4>
      </vt:variant>
      <vt:variant>
        <vt:lpwstr/>
      </vt:variant>
      <vt:variant>
        <vt:lpwstr>Notej</vt:lpwstr>
      </vt:variant>
      <vt:variant>
        <vt:i4>589872</vt:i4>
      </vt:variant>
      <vt:variant>
        <vt:i4>207</vt:i4>
      </vt:variant>
      <vt:variant>
        <vt:i4>0</vt:i4>
      </vt:variant>
      <vt:variant>
        <vt:i4>5</vt:i4>
      </vt:variant>
      <vt:variant>
        <vt:lpwstr/>
      </vt:variant>
      <vt:variant>
        <vt:lpwstr>TheDifferentApproachesUsedForDiffEmps3_3</vt:lpwstr>
      </vt:variant>
      <vt:variant>
        <vt:i4>7143551</vt:i4>
      </vt:variant>
      <vt:variant>
        <vt:i4>204</vt:i4>
      </vt:variant>
      <vt:variant>
        <vt:i4>0</vt:i4>
      </vt:variant>
      <vt:variant>
        <vt:i4>5</vt:i4>
      </vt:variant>
      <vt:variant>
        <vt:lpwstr/>
      </vt:variant>
      <vt:variant>
        <vt:lpwstr>externalillhealthinsurance</vt:lpwstr>
      </vt:variant>
      <vt:variant>
        <vt:i4>589846</vt:i4>
      </vt:variant>
      <vt:variant>
        <vt:i4>201</vt:i4>
      </vt:variant>
      <vt:variant>
        <vt:i4>0</vt:i4>
      </vt:variant>
      <vt:variant>
        <vt:i4>5</vt:i4>
      </vt:variant>
      <vt:variant>
        <vt:lpwstr/>
      </vt:variant>
      <vt:variant>
        <vt:lpwstr>AppendixE</vt:lpwstr>
      </vt:variant>
      <vt:variant>
        <vt:i4>655386</vt:i4>
      </vt:variant>
      <vt:variant>
        <vt:i4>198</vt:i4>
      </vt:variant>
      <vt:variant>
        <vt:i4>0</vt:i4>
      </vt:variant>
      <vt:variant>
        <vt:i4>5</vt:i4>
      </vt:variant>
      <vt:variant>
        <vt:lpwstr/>
      </vt:variant>
      <vt:variant>
        <vt:lpwstr>Notek</vt:lpwstr>
      </vt:variant>
      <vt:variant>
        <vt:i4>655386</vt:i4>
      </vt:variant>
      <vt:variant>
        <vt:i4>195</vt:i4>
      </vt:variant>
      <vt:variant>
        <vt:i4>0</vt:i4>
      </vt:variant>
      <vt:variant>
        <vt:i4>5</vt:i4>
      </vt:variant>
      <vt:variant>
        <vt:lpwstr/>
      </vt:variant>
      <vt:variant>
        <vt:lpwstr>Notej</vt:lpwstr>
      </vt:variant>
      <vt:variant>
        <vt:i4>655386</vt:i4>
      </vt:variant>
      <vt:variant>
        <vt:i4>192</vt:i4>
      </vt:variant>
      <vt:variant>
        <vt:i4>0</vt:i4>
      </vt:variant>
      <vt:variant>
        <vt:i4>5</vt:i4>
      </vt:variant>
      <vt:variant>
        <vt:lpwstr/>
      </vt:variant>
      <vt:variant>
        <vt:lpwstr>Notei</vt:lpwstr>
      </vt:variant>
      <vt:variant>
        <vt:i4>6357025</vt:i4>
      </vt:variant>
      <vt:variant>
        <vt:i4>189</vt:i4>
      </vt:variant>
      <vt:variant>
        <vt:i4>0</vt:i4>
      </vt:variant>
      <vt:variant>
        <vt:i4>5</vt:i4>
      </vt:variant>
      <vt:variant>
        <vt:lpwstr>X:\BRKG\Valuations\2019\FSS\2019v Funding Stategy Statement.docx</vt:lpwstr>
      </vt:variant>
      <vt:variant>
        <vt:lpwstr>TheDifferentApproachesUsedForDiffEmps3_3</vt:lpwstr>
      </vt:variant>
      <vt:variant>
        <vt:i4>589846</vt:i4>
      </vt:variant>
      <vt:variant>
        <vt:i4>186</vt:i4>
      </vt:variant>
      <vt:variant>
        <vt:i4>0</vt:i4>
      </vt:variant>
      <vt:variant>
        <vt:i4>5</vt:i4>
      </vt:variant>
      <vt:variant>
        <vt:lpwstr/>
      </vt:variant>
      <vt:variant>
        <vt:lpwstr>AppendixD</vt:lpwstr>
      </vt:variant>
      <vt:variant>
        <vt:i4>655386</vt:i4>
      </vt:variant>
      <vt:variant>
        <vt:i4>183</vt:i4>
      </vt:variant>
      <vt:variant>
        <vt:i4>0</vt:i4>
      </vt:variant>
      <vt:variant>
        <vt:i4>5</vt:i4>
      </vt:variant>
      <vt:variant>
        <vt:lpwstr/>
      </vt:variant>
      <vt:variant>
        <vt:lpwstr>Notej</vt:lpwstr>
      </vt:variant>
      <vt:variant>
        <vt:i4>655386</vt:i4>
      </vt:variant>
      <vt:variant>
        <vt:i4>180</vt:i4>
      </vt:variant>
      <vt:variant>
        <vt:i4>0</vt:i4>
      </vt:variant>
      <vt:variant>
        <vt:i4>5</vt:i4>
      </vt:variant>
      <vt:variant>
        <vt:lpwstr/>
      </vt:variant>
      <vt:variant>
        <vt:lpwstr>Notej</vt:lpwstr>
      </vt:variant>
      <vt:variant>
        <vt:i4>655386</vt:i4>
      </vt:variant>
      <vt:variant>
        <vt:i4>177</vt:i4>
      </vt:variant>
      <vt:variant>
        <vt:i4>0</vt:i4>
      </vt:variant>
      <vt:variant>
        <vt:i4>5</vt:i4>
      </vt:variant>
      <vt:variant>
        <vt:lpwstr/>
      </vt:variant>
      <vt:variant>
        <vt:lpwstr>Notei</vt:lpwstr>
      </vt:variant>
      <vt:variant>
        <vt:i4>655386</vt:i4>
      </vt:variant>
      <vt:variant>
        <vt:i4>174</vt:i4>
      </vt:variant>
      <vt:variant>
        <vt:i4>0</vt:i4>
      </vt:variant>
      <vt:variant>
        <vt:i4>5</vt:i4>
      </vt:variant>
      <vt:variant>
        <vt:lpwstr/>
      </vt:variant>
      <vt:variant>
        <vt:lpwstr>Noteh</vt:lpwstr>
      </vt:variant>
      <vt:variant>
        <vt:i4>655386</vt:i4>
      </vt:variant>
      <vt:variant>
        <vt:i4>171</vt:i4>
      </vt:variant>
      <vt:variant>
        <vt:i4>0</vt:i4>
      </vt:variant>
      <vt:variant>
        <vt:i4>5</vt:i4>
      </vt:variant>
      <vt:variant>
        <vt:lpwstr/>
      </vt:variant>
      <vt:variant>
        <vt:lpwstr>Noteh</vt:lpwstr>
      </vt:variant>
      <vt:variant>
        <vt:i4>655386</vt:i4>
      </vt:variant>
      <vt:variant>
        <vt:i4>168</vt:i4>
      </vt:variant>
      <vt:variant>
        <vt:i4>0</vt:i4>
      </vt:variant>
      <vt:variant>
        <vt:i4>5</vt:i4>
      </vt:variant>
      <vt:variant>
        <vt:lpwstr/>
      </vt:variant>
      <vt:variant>
        <vt:lpwstr>Noteg</vt:lpwstr>
      </vt:variant>
      <vt:variant>
        <vt:i4>655386</vt:i4>
      </vt:variant>
      <vt:variant>
        <vt:i4>165</vt:i4>
      </vt:variant>
      <vt:variant>
        <vt:i4>0</vt:i4>
      </vt:variant>
      <vt:variant>
        <vt:i4>5</vt:i4>
      </vt:variant>
      <vt:variant>
        <vt:lpwstr/>
      </vt:variant>
      <vt:variant>
        <vt:lpwstr>Notef</vt:lpwstr>
      </vt:variant>
      <vt:variant>
        <vt:i4>655386</vt:i4>
      </vt:variant>
      <vt:variant>
        <vt:i4>162</vt:i4>
      </vt:variant>
      <vt:variant>
        <vt:i4>0</vt:i4>
      </vt:variant>
      <vt:variant>
        <vt:i4>5</vt:i4>
      </vt:variant>
      <vt:variant>
        <vt:lpwstr/>
      </vt:variant>
      <vt:variant>
        <vt:lpwstr>Notee</vt:lpwstr>
      </vt:variant>
      <vt:variant>
        <vt:i4>655386</vt:i4>
      </vt:variant>
      <vt:variant>
        <vt:i4>159</vt:i4>
      </vt:variant>
      <vt:variant>
        <vt:i4>0</vt:i4>
      </vt:variant>
      <vt:variant>
        <vt:i4>5</vt:i4>
      </vt:variant>
      <vt:variant>
        <vt:lpwstr/>
      </vt:variant>
      <vt:variant>
        <vt:lpwstr>Noted</vt:lpwstr>
      </vt:variant>
      <vt:variant>
        <vt:i4>655386</vt:i4>
      </vt:variant>
      <vt:variant>
        <vt:i4>156</vt:i4>
      </vt:variant>
      <vt:variant>
        <vt:i4>0</vt:i4>
      </vt:variant>
      <vt:variant>
        <vt:i4>5</vt:i4>
      </vt:variant>
      <vt:variant>
        <vt:lpwstr/>
      </vt:variant>
      <vt:variant>
        <vt:lpwstr>Notec</vt:lpwstr>
      </vt:variant>
      <vt:variant>
        <vt:i4>655386</vt:i4>
      </vt:variant>
      <vt:variant>
        <vt:i4>153</vt:i4>
      </vt:variant>
      <vt:variant>
        <vt:i4>0</vt:i4>
      </vt:variant>
      <vt:variant>
        <vt:i4>5</vt:i4>
      </vt:variant>
      <vt:variant>
        <vt:lpwstr/>
      </vt:variant>
      <vt:variant>
        <vt:lpwstr>Noteb</vt:lpwstr>
      </vt:variant>
      <vt:variant>
        <vt:i4>589846</vt:i4>
      </vt:variant>
      <vt:variant>
        <vt:i4>150</vt:i4>
      </vt:variant>
      <vt:variant>
        <vt:i4>0</vt:i4>
      </vt:variant>
      <vt:variant>
        <vt:i4>5</vt:i4>
      </vt:variant>
      <vt:variant>
        <vt:lpwstr/>
      </vt:variant>
      <vt:variant>
        <vt:lpwstr>AppendixD</vt:lpwstr>
      </vt:variant>
      <vt:variant>
        <vt:i4>589846</vt:i4>
      </vt:variant>
      <vt:variant>
        <vt:i4>147</vt:i4>
      </vt:variant>
      <vt:variant>
        <vt:i4>0</vt:i4>
      </vt:variant>
      <vt:variant>
        <vt:i4>5</vt:i4>
      </vt:variant>
      <vt:variant>
        <vt:lpwstr/>
      </vt:variant>
      <vt:variant>
        <vt:lpwstr>AppendixE</vt:lpwstr>
      </vt:variant>
      <vt:variant>
        <vt:i4>655386</vt:i4>
      </vt:variant>
      <vt:variant>
        <vt:i4>144</vt:i4>
      </vt:variant>
      <vt:variant>
        <vt:i4>0</vt:i4>
      </vt:variant>
      <vt:variant>
        <vt:i4>5</vt:i4>
      </vt:variant>
      <vt:variant>
        <vt:lpwstr/>
      </vt:variant>
      <vt:variant>
        <vt:lpwstr>Notea</vt:lpwstr>
      </vt:variant>
      <vt:variant>
        <vt:i4>589846</vt:i4>
      </vt:variant>
      <vt:variant>
        <vt:i4>141</vt:i4>
      </vt:variant>
      <vt:variant>
        <vt:i4>0</vt:i4>
      </vt:variant>
      <vt:variant>
        <vt:i4>5</vt:i4>
      </vt:variant>
      <vt:variant>
        <vt:lpwstr/>
      </vt:variant>
      <vt:variant>
        <vt:lpwstr>AppendixE</vt:lpwstr>
      </vt:variant>
      <vt:variant>
        <vt:i4>6291536</vt:i4>
      </vt:variant>
      <vt:variant>
        <vt:i4>138</vt:i4>
      </vt:variant>
      <vt:variant>
        <vt:i4>0</vt:i4>
      </vt:variant>
      <vt:variant>
        <vt:i4>5</vt:i4>
      </vt:variant>
      <vt:variant>
        <vt:lpwstr/>
      </vt:variant>
      <vt:variant>
        <vt:lpwstr>PooledContributions3_4</vt:lpwstr>
      </vt:variant>
      <vt:variant>
        <vt:i4>589872</vt:i4>
      </vt:variant>
      <vt:variant>
        <vt:i4>135</vt:i4>
      </vt:variant>
      <vt:variant>
        <vt:i4>0</vt:i4>
      </vt:variant>
      <vt:variant>
        <vt:i4>5</vt:i4>
      </vt:variant>
      <vt:variant>
        <vt:lpwstr/>
      </vt:variant>
      <vt:variant>
        <vt:lpwstr>TheDifferentApproachesUsedForDiffEmps3_3</vt:lpwstr>
      </vt:variant>
      <vt:variant>
        <vt:i4>5439566</vt:i4>
      </vt:variant>
      <vt:variant>
        <vt:i4>132</vt:i4>
      </vt:variant>
      <vt:variant>
        <vt:i4>0</vt:i4>
      </vt:variant>
      <vt:variant>
        <vt:i4>5</vt:i4>
      </vt:variant>
      <vt:variant>
        <vt:lpwstr>https://www.gov.uk/government/consultations/local-government-pension-scheme-changes-to-the-local-valuation-cycle-and-management-of-employer-risk</vt:lpwstr>
      </vt:variant>
      <vt:variant>
        <vt:lpwstr/>
      </vt:variant>
      <vt:variant>
        <vt:i4>2424857</vt:i4>
      </vt:variant>
      <vt:variant>
        <vt:i4>129</vt:i4>
      </vt:variant>
      <vt:variant>
        <vt:i4>0</vt:i4>
      </vt:variant>
      <vt:variant>
        <vt:i4>5</vt:i4>
      </vt:variant>
      <vt:variant>
        <vt:lpwstr>http://lgpsboard.org/images/Other/Advice_from_the_SAB_on_McCloud_May_2019.pdf</vt:lpwstr>
      </vt:variant>
      <vt:variant>
        <vt:lpwstr/>
      </vt:variant>
      <vt:variant>
        <vt:i4>589846</vt:i4>
      </vt:variant>
      <vt:variant>
        <vt:i4>126</vt:i4>
      </vt:variant>
      <vt:variant>
        <vt:i4>0</vt:i4>
      </vt:variant>
      <vt:variant>
        <vt:i4>5</vt:i4>
      </vt:variant>
      <vt:variant>
        <vt:lpwstr/>
      </vt:variant>
      <vt:variant>
        <vt:lpwstr>AppendixA</vt:lpwstr>
      </vt:variant>
      <vt:variant>
        <vt:i4>655386</vt:i4>
      </vt:variant>
      <vt:variant>
        <vt:i4>123</vt:i4>
      </vt:variant>
      <vt:variant>
        <vt:i4>0</vt:i4>
      </vt:variant>
      <vt:variant>
        <vt:i4>5</vt:i4>
      </vt:variant>
      <vt:variant>
        <vt:lpwstr/>
      </vt:variant>
      <vt:variant>
        <vt:lpwstr>Noteb</vt:lpwstr>
      </vt:variant>
      <vt:variant>
        <vt:i4>8126551</vt:i4>
      </vt:variant>
      <vt:variant>
        <vt:i4>120</vt:i4>
      </vt:variant>
      <vt:variant>
        <vt:i4>0</vt:i4>
      </vt:variant>
      <vt:variant>
        <vt:i4>5</vt:i4>
      </vt:variant>
      <vt:variant>
        <vt:lpwstr/>
      </vt:variant>
      <vt:variant>
        <vt:lpwstr>GeneralComments3_1</vt:lpwstr>
      </vt:variant>
      <vt:variant>
        <vt:i4>1507418</vt:i4>
      </vt:variant>
      <vt:variant>
        <vt:i4>117</vt:i4>
      </vt:variant>
      <vt:variant>
        <vt:i4>0</vt:i4>
      </vt:variant>
      <vt:variant>
        <vt:i4>5</vt:i4>
      </vt:variant>
      <vt:variant>
        <vt:lpwstr/>
      </vt:variant>
      <vt:variant>
        <vt:lpwstr>D5How_is_each_employers_asset_share_cal</vt:lpwstr>
      </vt:variant>
      <vt:variant>
        <vt:i4>589846</vt:i4>
      </vt:variant>
      <vt:variant>
        <vt:i4>114</vt:i4>
      </vt:variant>
      <vt:variant>
        <vt:i4>0</vt:i4>
      </vt:variant>
      <vt:variant>
        <vt:i4>5</vt:i4>
      </vt:variant>
      <vt:variant>
        <vt:lpwstr/>
      </vt:variant>
      <vt:variant>
        <vt:lpwstr>AppendixD</vt:lpwstr>
      </vt:variant>
      <vt:variant>
        <vt:i4>7143551</vt:i4>
      </vt:variant>
      <vt:variant>
        <vt:i4>111</vt:i4>
      </vt:variant>
      <vt:variant>
        <vt:i4>0</vt:i4>
      </vt:variant>
      <vt:variant>
        <vt:i4>5</vt:i4>
      </vt:variant>
      <vt:variant>
        <vt:lpwstr/>
      </vt:variant>
      <vt:variant>
        <vt:lpwstr>externalillhealthinsurance</vt:lpwstr>
      </vt:variant>
      <vt:variant>
        <vt:i4>1835022</vt:i4>
      </vt:variant>
      <vt:variant>
        <vt:i4>108</vt:i4>
      </vt:variant>
      <vt:variant>
        <vt:i4>0</vt:i4>
      </vt:variant>
      <vt:variant>
        <vt:i4>5</vt:i4>
      </vt:variant>
      <vt:variant>
        <vt:lpwstr/>
      </vt:variant>
      <vt:variant>
        <vt:lpwstr>illhealthearlyretirementcosts</vt:lpwstr>
      </vt:variant>
      <vt:variant>
        <vt:i4>8192076</vt:i4>
      </vt:variant>
      <vt:variant>
        <vt:i4>105</vt:i4>
      </vt:variant>
      <vt:variant>
        <vt:i4>0</vt:i4>
      </vt:variant>
      <vt:variant>
        <vt:i4>5</vt:i4>
      </vt:variant>
      <vt:variant>
        <vt:lpwstr/>
      </vt:variant>
      <vt:variant>
        <vt:lpwstr>NonIllHealthEarlyRetirmentCosts3_6</vt:lpwstr>
      </vt:variant>
      <vt:variant>
        <vt:i4>6291536</vt:i4>
      </vt:variant>
      <vt:variant>
        <vt:i4>102</vt:i4>
      </vt:variant>
      <vt:variant>
        <vt:i4>0</vt:i4>
      </vt:variant>
      <vt:variant>
        <vt:i4>5</vt:i4>
      </vt:variant>
      <vt:variant>
        <vt:lpwstr/>
      </vt:variant>
      <vt:variant>
        <vt:lpwstr>PooledContributions3_4</vt:lpwstr>
      </vt:variant>
      <vt:variant>
        <vt:i4>589846</vt:i4>
      </vt:variant>
      <vt:variant>
        <vt:i4>99</vt:i4>
      </vt:variant>
      <vt:variant>
        <vt:i4>0</vt:i4>
      </vt:variant>
      <vt:variant>
        <vt:i4>5</vt:i4>
      </vt:variant>
      <vt:variant>
        <vt:lpwstr/>
      </vt:variant>
      <vt:variant>
        <vt:lpwstr>AppendixD</vt:lpwstr>
      </vt:variant>
      <vt:variant>
        <vt:i4>5046295</vt:i4>
      </vt:variant>
      <vt:variant>
        <vt:i4>96</vt:i4>
      </vt:variant>
      <vt:variant>
        <vt:i4>0</vt:i4>
      </vt:variant>
      <vt:variant>
        <vt:i4>5</vt:i4>
      </vt:variant>
      <vt:variant>
        <vt:lpwstr/>
      </vt:variant>
      <vt:variant>
        <vt:lpwstr>Section3</vt:lpwstr>
      </vt:variant>
      <vt:variant>
        <vt:i4>589846</vt:i4>
      </vt:variant>
      <vt:variant>
        <vt:i4>93</vt:i4>
      </vt:variant>
      <vt:variant>
        <vt:i4>0</vt:i4>
      </vt:variant>
      <vt:variant>
        <vt:i4>5</vt:i4>
      </vt:variant>
      <vt:variant>
        <vt:lpwstr/>
      </vt:variant>
      <vt:variant>
        <vt:lpwstr>AppendixD</vt:lpwstr>
      </vt:variant>
      <vt:variant>
        <vt:i4>589846</vt:i4>
      </vt:variant>
      <vt:variant>
        <vt:i4>90</vt:i4>
      </vt:variant>
      <vt:variant>
        <vt:i4>0</vt:i4>
      </vt:variant>
      <vt:variant>
        <vt:i4>5</vt:i4>
      </vt:variant>
      <vt:variant>
        <vt:lpwstr/>
      </vt:variant>
      <vt:variant>
        <vt:lpwstr>AppendixD</vt:lpwstr>
      </vt:variant>
      <vt:variant>
        <vt:i4>655386</vt:i4>
      </vt:variant>
      <vt:variant>
        <vt:i4>87</vt:i4>
      </vt:variant>
      <vt:variant>
        <vt:i4>0</vt:i4>
      </vt:variant>
      <vt:variant>
        <vt:i4>5</vt:i4>
      </vt:variant>
      <vt:variant>
        <vt:lpwstr/>
      </vt:variant>
      <vt:variant>
        <vt:lpwstr>Notee</vt:lpwstr>
      </vt:variant>
      <vt:variant>
        <vt:i4>589872</vt:i4>
      </vt:variant>
      <vt:variant>
        <vt:i4>84</vt:i4>
      </vt:variant>
      <vt:variant>
        <vt:i4>0</vt:i4>
      </vt:variant>
      <vt:variant>
        <vt:i4>5</vt:i4>
      </vt:variant>
      <vt:variant>
        <vt:lpwstr/>
      </vt:variant>
      <vt:variant>
        <vt:lpwstr>TheDifferentApproachesUsedForDiffEmps3_3</vt:lpwstr>
      </vt:variant>
      <vt:variant>
        <vt:i4>1966099</vt:i4>
      </vt:variant>
      <vt:variant>
        <vt:i4>81</vt:i4>
      </vt:variant>
      <vt:variant>
        <vt:i4>0</vt:i4>
      </vt:variant>
      <vt:variant>
        <vt:i4>5</vt:i4>
      </vt:variant>
      <vt:variant>
        <vt:lpwstr/>
      </vt:variant>
      <vt:variant>
        <vt:lpwstr>whatdifferenttypesof</vt:lpwstr>
      </vt:variant>
      <vt:variant>
        <vt:i4>655386</vt:i4>
      </vt:variant>
      <vt:variant>
        <vt:i4>78</vt:i4>
      </vt:variant>
      <vt:variant>
        <vt:i4>0</vt:i4>
      </vt:variant>
      <vt:variant>
        <vt:i4>5</vt:i4>
      </vt:variant>
      <vt:variant>
        <vt:lpwstr/>
      </vt:variant>
      <vt:variant>
        <vt:lpwstr>Notec</vt:lpwstr>
      </vt:variant>
      <vt:variant>
        <vt:i4>589872</vt:i4>
      </vt:variant>
      <vt:variant>
        <vt:i4>75</vt:i4>
      </vt:variant>
      <vt:variant>
        <vt:i4>0</vt:i4>
      </vt:variant>
      <vt:variant>
        <vt:i4>5</vt:i4>
      </vt:variant>
      <vt:variant>
        <vt:lpwstr/>
      </vt:variant>
      <vt:variant>
        <vt:lpwstr>TheDifferentApproachesUsedForDiffEmps3_3</vt:lpwstr>
      </vt:variant>
      <vt:variant>
        <vt:i4>589846</vt:i4>
      </vt:variant>
      <vt:variant>
        <vt:i4>72</vt:i4>
      </vt:variant>
      <vt:variant>
        <vt:i4>0</vt:i4>
      </vt:variant>
      <vt:variant>
        <vt:i4>5</vt:i4>
      </vt:variant>
      <vt:variant>
        <vt:lpwstr/>
      </vt:variant>
      <vt:variant>
        <vt:lpwstr>AppendixE</vt:lpwstr>
      </vt:variant>
      <vt:variant>
        <vt:i4>589846</vt:i4>
      </vt:variant>
      <vt:variant>
        <vt:i4>69</vt:i4>
      </vt:variant>
      <vt:variant>
        <vt:i4>0</vt:i4>
      </vt:variant>
      <vt:variant>
        <vt:i4>5</vt:i4>
      </vt:variant>
      <vt:variant>
        <vt:lpwstr/>
      </vt:variant>
      <vt:variant>
        <vt:lpwstr>AppendixD</vt:lpwstr>
      </vt:variant>
      <vt:variant>
        <vt:i4>7143501</vt:i4>
      </vt:variant>
      <vt:variant>
        <vt:i4>66</vt:i4>
      </vt:variant>
      <vt:variant>
        <vt:i4>0</vt:i4>
      </vt:variant>
      <vt:variant>
        <vt:i4>5</vt:i4>
      </vt:variant>
      <vt:variant>
        <vt:lpwstr>mailto:david.dickinson@lbbd.gov.uk</vt:lpwstr>
      </vt:variant>
      <vt:variant>
        <vt:lpwstr/>
      </vt:variant>
      <vt:variant>
        <vt:i4>589846</vt:i4>
      </vt:variant>
      <vt:variant>
        <vt:i4>63</vt:i4>
      </vt:variant>
      <vt:variant>
        <vt:i4>0</vt:i4>
      </vt:variant>
      <vt:variant>
        <vt:i4>5</vt:i4>
      </vt:variant>
      <vt:variant>
        <vt:lpwstr/>
      </vt:variant>
      <vt:variant>
        <vt:lpwstr>AppendixF</vt:lpwstr>
      </vt:variant>
      <vt:variant>
        <vt:i4>589846</vt:i4>
      </vt:variant>
      <vt:variant>
        <vt:i4>60</vt:i4>
      </vt:variant>
      <vt:variant>
        <vt:i4>0</vt:i4>
      </vt:variant>
      <vt:variant>
        <vt:i4>5</vt:i4>
      </vt:variant>
      <vt:variant>
        <vt:lpwstr/>
      </vt:variant>
      <vt:variant>
        <vt:lpwstr>AppendixA</vt:lpwstr>
      </vt:variant>
      <vt:variant>
        <vt:i4>4849687</vt:i4>
      </vt:variant>
      <vt:variant>
        <vt:i4>57</vt:i4>
      </vt:variant>
      <vt:variant>
        <vt:i4>0</vt:i4>
      </vt:variant>
      <vt:variant>
        <vt:i4>5</vt:i4>
      </vt:variant>
      <vt:variant>
        <vt:lpwstr/>
      </vt:variant>
      <vt:variant>
        <vt:lpwstr>Section4</vt:lpwstr>
      </vt:variant>
      <vt:variant>
        <vt:i4>5046295</vt:i4>
      </vt:variant>
      <vt:variant>
        <vt:i4>54</vt:i4>
      </vt:variant>
      <vt:variant>
        <vt:i4>0</vt:i4>
      </vt:variant>
      <vt:variant>
        <vt:i4>5</vt:i4>
      </vt:variant>
      <vt:variant>
        <vt:lpwstr/>
      </vt:variant>
      <vt:variant>
        <vt:lpwstr>Section3</vt:lpwstr>
      </vt:variant>
      <vt:variant>
        <vt:i4>4980759</vt:i4>
      </vt:variant>
      <vt:variant>
        <vt:i4>51</vt:i4>
      </vt:variant>
      <vt:variant>
        <vt:i4>0</vt:i4>
      </vt:variant>
      <vt:variant>
        <vt:i4>5</vt:i4>
      </vt:variant>
      <vt:variant>
        <vt:lpwstr/>
      </vt:variant>
      <vt:variant>
        <vt:lpwstr>Section2</vt:lpwstr>
      </vt:variant>
      <vt:variant>
        <vt:i4>4849687</vt:i4>
      </vt:variant>
      <vt:variant>
        <vt:i4>48</vt:i4>
      </vt:variant>
      <vt:variant>
        <vt:i4>0</vt:i4>
      </vt:variant>
      <vt:variant>
        <vt:i4>5</vt:i4>
      </vt:variant>
      <vt:variant>
        <vt:lpwstr/>
      </vt:variant>
      <vt:variant>
        <vt:lpwstr>Section4</vt:lpwstr>
      </vt:variant>
      <vt:variant>
        <vt:i4>589846</vt:i4>
      </vt:variant>
      <vt:variant>
        <vt:i4>45</vt:i4>
      </vt:variant>
      <vt:variant>
        <vt:i4>0</vt:i4>
      </vt:variant>
      <vt:variant>
        <vt:i4>5</vt:i4>
      </vt:variant>
      <vt:variant>
        <vt:lpwstr/>
      </vt:variant>
      <vt:variant>
        <vt:lpwstr>AppendixB</vt:lpwstr>
      </vt:variant>
      <vt:variant>
        <vt:i4>2424955</vt:i4>
      </vt:variant>
      <vt:variant>
        <vt:i4>33</vt:i4>
      </vt:variant>
      <vt:variant>
        <vt:i4>0</vt:i4>
      </vt:variant>
      <vt:variant>
        <vt:i4>5</vt:i4>
      </vt:variant>
      <vt:variant>
        <vt:lpwstr>http://www.lbbdpensionfund.org/</vt:lpwstr>
      </vt:variant>
      <vt:variant>
        <vt:lpwstr/>
      </vt:variant>
      <vt:variant>
        <vt:i4>8257583</vt:i4>
      </vt:variant>
      <vt:variant>
        <vt:i4>30</vt:i4>
      </vt:variant>
      <vt:variant>
        <vt:i4>0</vt:i4>
      </vt:variant>
      <vt:variant>
        <vt:i4>5</vt:i4>
      </vt:variant>
      <vt:variant>
        <vt:lpwstr>http://www.legislation.gov.uk/</vt:lpwstr>
      </vt:variant>
      <vt:variant>
        <vt:lpwstr/>
      </vt:variant>
      <vt:variant>
        <vt:i4>2424955</vt:i4>
      </vt:variant>
      <vt:variant>
        <vt:i4>27</vt:i4>
      </vt:variant>
      <vt:variant>
        <vt:i4>0</vt:i4>
      </vt:variant>
      <vt:variant>
        <vt:i4>5</vt:i4>
      </vt:variant>
      <vt:variant>
        <vt:lpwstr>http://www.lbbdpensionfund.org/</vt:lpwstr>
      </vt:variant>
      <vt:variant>
        <vt:lpwstr/>
      </vt:variant>
      <vt:variant>
        <vt:i4>1048637</vt:i4>
      </vt:variant>
      <vt:variant>
        <vt:i4>24</vt:i4>
      </vt:variant>
      <vt:variant>
        <vt:i4>0</vt:i4>
      </vt:variant>
      <vt:variant>
        <vt:i4>5</vt:i4>
      </vt:variant>
      <vt:variant>
        <vt:lpwstr>mailto:kinny.chauhan@lbbd.gov.uk</vt:lpwstr>
      </vt:variant>
      <vt:variant>
        <vt:lpwstr/>
      </vt:variant>
      <vt:variant>
        <vt:i4>1966139</vt:i4>
      </vt:variant>
      <vt:variant>
        <vt:i4>21</vt:i4>
      </vt:variant>
      <vt:variant>
        <vt:i4>0</vt:i4>
      </vt:variant>
      <vt:variant>
        <vt:i4>5</vt:i4>
      </vt:variant>
      <vt:variant>
        <vt:lpwstr>mailto:shelagh.clark@lbbd.gov.uk</vt:lpwstr>
      </vt:variant>
      <vt:variant>
        <vt:lpwstr/>
      </vt:variant>
      <vt:variant>
        <vt:i4>3080207</vt:i4>
      </vt:variant>
      <vt:variant>
        <vt:i4>18</vt:i4>
      </vt:variant>
      <vt:variant>
        <vt:i4>0</vt:i4>
      </vt:variant>
      <vt:variant>
        <vt:i4>5</vt:i4>
      </vt:variant>
      <vt:variant>
        <vt:lpwstr>mailto:gary.stephenson@lbbd.gov.uk</vt:lpwstr>
      </vt:variant>
      <vt:variant>
        <vt:lpwstr/>
      </vt:variant>
      <vt:variant>
        <vt:i4>1507370</vt:i4>
      </vt:variant>
      <vt:variant>
        <vt:i4>15</vt:i4>
      </vt:variant>
      <vt:variant>
        <vt:i4>0</vt:i4>
      </vt:variant>
      <vt:variant>
        <vt:i4>5</vt:i4>
      </vt:variant>
      <vt:variant>
        <vt:lpwstr>mailto:madhvi.dodia@lbbd.gov.uk</vt:lpwstr>
      </vt:variant>
      <vt:variant>
        <vt:lpwstr/>
      </vt:variant>
      <vt:variant>
        <vt:i4>1638447</vt:i4>
      </vt:variant>
      <vt:variant>
        <vt:i4>12</vt:i4>
      </vt:variant>
      <vt:variant>
        <vt:i4>0</vt:i4>
      </vt:variant>
      <vt:variant>
        <vt:i4>5</vt:i4>
      </vt:variant>
      <vt:variant>
        <vt:lpwstr>mailto:jesmine.anwar@lbbd.gov.uk</vt:lpwstr>
      </vt:variant>
      <vt:variant>
        <vt:lpwstr/>
      </vt:variant>
      <vt:variant>
        <vt:i4>3801108</vt:i4>
      </vt:variant>
      <vt:variant>
        <vt:i4>9</vt:i4>
      </vt:variant>
      <vt:variant>
        <vt:i4>0</vt:i4>
      </vt:variant>
      <vt:variant>
        <vt:i4>5</vt:i4>
      </vt:variant>
      <vt:variant>
        <vt:lpwstr>mailto:justine.spring@lbbd.gov.uk</vt:lpwstr>
      </vt:variant>
      <vt:variant>
        <vt:lpwstr/>
      </vt:variant>
      <vt:variant>
        <vt:i4>7143501</vt:i4>
      </vt:variant>
      <vt:variant>
        <vt:i4>6</vt:i4>
      </vt:variant>
      <vt:variant>
        <vt:i4>0</vt:i4>
      </vt:variant>
      <vt:variant>
        <vt:i4>5</vt:i4>
      </vt:variant>
      <vt:variant>
        <vt:lpwstr>mailto:david.dickinson@lbbd.gov.uk</vt:lpwstr>
      </vt:variant>
      <vt:variant>
        <vt:lpwstr/>
      </vt:variant>
      <vt:variant>
        <vt:i4>7929931</vt:i4>
      </vt:variant>
      <vt:variant>
        <vt:i4>3</vt:i4>
      </vt:variant>
      <vt:variant>
        <vt:i4>0</vt:i4>
      </vt:variant>
      <vt:variant>
        <vt:i4>5</vt:i4>
      </vt:variant>
      <vt:variant>
        <vt:lpwstr>mailto:philip.gregory@lbbd.gov.uk</vt:lpwstr>
      </vt:variant>
      <vt:variant>
        <vt:lpwstr/>
      </vt:variant>
      <vt:variant>
        <vt:i4>2424955</vt:i4>
      </vt:variant>
      <vt:variant>
        <vt:i4>0</vt:i4>
      </vt:variant>
      <vt:variant>
        <vt:i4>0</vt:i4>
      </vt:variant>
      <vt:variant>
        <vt:i4>5</vt:i4>
      </vt:variant>
      <vt:variant>
        <vt:lpwstr>http://www.lbbdpensionfund.org/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ddickinson</dc:creator>
  <cp:lastModifiedBy>Justine Spring</cp:lastModifiedBy>
  <cp:revision>2</cp:revision>
  <cp:lastPrinted>2022-02-03T13:07:00Z</cp:lastPrinted>
  <dcterms:created xsi:type="dcterms:W3CDTF">2023-03-09T08:40:00Z</dcterms:created>
  <dcterms:modified xsi:type="dcterms:W3CDTF">2023-03-09T08:40:00Z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0x010100AE4DC5B70071C044AD3A28458262D543</vt:lpwstr>
  </property>
  <property fmtid="{D5CDD505-2E9C-101B-9397-08002B2CF9AE}" pid="3" name="a8455ed1fd22475083a09a91de16b8fd">
    <vt:lpwstr/>
  </property>
  <property fmtid="{D5CDD505-2E9C-101B-9397-08002B2CF9AE}" pid="4" name="LGCS">
    <vt:lpwstr/>
  </property>
  <property fmtid="{D5CDD505-2E9C-101B-9397-08002B2CF9AE}" pid="5" name="CType">
    <vt:lpwstr/>
  </property>
  <property fmtid="{D5CDD505-2E9C-101B-9397-08002B2CF9AE}" pid="6" name="Financial_x0020_Year">
    <vt:lpwstr/>
  </property>
  <property fmtid="{D5CDD505-2E9C-101B-9397-08002B2CF9AE}" pid="7" name="Financial Year">
    <vt:lpwstr/>
  </property>
  <property fmtid="{D5CDD505-2E9C-101B-9397-08002B2CF9AE}" pid="8" name="_dlc_DocIdItemGuid">
    <vt:lpwstr>e17bddef-0eee-4f6c-9681-651e34a7910a</vt:lpwstr>
  </property>
  <property fmtid="{D5CDD505-2E9C-101B-9397-08002B2CF9AE}" pid="9" name="MediaServiceImageTags">
    <vt:lpwstr/>
  </property>
</Properties>
</file>